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2026-06-06</w:t>
      </w:r>
    </w:p>
    <w:p>
      <w:pPr>
        <w:pStyle w:val="Heading2"/>
      </w:pPr>
      <w:r>
        <w:t>1. What Happened This Week</w:t>
      </w:r>
    </w:p>
    <w:p>
      <w:r>
        <w:t xml:space="preserve">Nifty closed the week at </w:t>
      </w:r>
      <w:r>
        <w:rPr>
          <w:b/>
        </w:rPr>
        <w:t>23,368.25</w:t>
      </w:r>
      <w:r>
        <w:t xml:space="preserve">, down </w:t>
      </w:r>
      <w:r>
        <w:rPr>
          <w:b/>
        </w:rPr>
        <w:t>-1.0%</w:t>
      </w:r>
      <w:r>
        <w:t xml:space="preserve"> from the prior Sunday's 23,605.55 — a soft, rotational week dominated by Friday's </w:t>
      </w:r>
      <w:r>
        <w:rPr>
          <w:b/>
        </w:rPr>
        <w:t>RBI policy decision</w:t>
      </w:r>
      <w:r>
        <w:t xml:space="preserve">. The MPC held the repo rate steady at </w:t>
      </w:r>
      <w:r>
        <w:rPr>
          <w:b/>
        </w:rPr>
        <w:t>5.25%</w:t>
      </w:r>
      <w:r>
        <w:t xml:space="preserve">, cut its FY27 growth forecast to </w:t>
      </w:r>
      <w:r>
        <w:rPr>
          <w:b/>
        </w:rPr>
        <w:t>6.6%</w:t>
      </w:r>
      <w:r>
        <w:t xml:space="preserve">, and raised the inflation projection by 50 bps to </w:t>
      </w:r>
      <w:r>
        <w:rPr>
          <w:b/>
        </w:rPr>
        <w:t>5.1%</w:t>
      </w:r>
      <w:r>
        <w:t xml:space="preserve"> — a stagflation-tinted message that markets didn't love. Layered on top: </w:t>
      </w:r>
      <w:r>
        <w:rPr>
          <w:b/>
        </w:rPr>
        <w:t>Brent crude jumped 4.0% to $95.49</w:t>
      </w:r>
      <w:r>
        <w:t xml:space="preserve"> on US-Iran tensions, </w:t>
      </w:r>
      <w:r>
        <w:rPr>
          <w:b/>
        </w:rPr>
        <w:t>FY27 Nifty earnings estimates were cut 9%</w:t>
      </w:r>
      <w:r>
        <w:t xml:space="preserve">, and a fresh </w:t>
      </w:r>
      <w:r>
        <w:rPr>
          <w:b/>
        </w:rPr>
        <w:t>US proposal of a 12.5% tariff on India over forced-labour concerns</w:t>
      </w:r>
      <w:r>
        <w:t xml:space="preserve"> rattled export-facing sentiment. Offsetting the gloom, </w:t>
      </w:r>
      <w:r>
        <w:rPr>
          <w:b/>
        </w:rPr>
        <w:t>RBI simplified FPI (Foreign Portfolio Investor — overseas institutional buyers of Indian securities) rules for government bonds</w:t>
      </w:r>
      <w:r>
        <w:t xml:space="preserve"> and </w:t>
      </w:r>
      <w:r>
        <w:rPr>
          <w:b/>
        </w:rPr>
        <w:t>India-Oman CEPA went live</w:t>
      </w:r>
      <w:r>
        <w:t xml:space="preserve"> — both quietly bullish.</w:t>
      </w:r>
    </w:p>
    <w:p>
      <w:pPr>
        <w:pStyle w:val="Heading2"/>
      </w:pPr>
      <w:r>
        <w:t>2. The Trend Picture</w:t>
      </w:r>
    </w:p>
    <w:p>
      <w:r>
        <w:t xml:space="preserve">Nifty is </w:t>
      </w:r>
      <w:r>
        <w:rPr>
          <w:b/>
        </w:rPr>
        <w:t>below all three key EMAs (Exponential Moving Average — a smoothed average of recent closes used as a trend reference)</w:t>
      </w:r>
      <w:r>
        <w:t xml:space="preserve">: -1.3% under the 20-day (23,679.75), -2.0% under the 50-day (23,850.21), and -4.8% below the 200-day (24,541.07). That's a textbook </w:t>
      </w:r>
      <w:r>
        <w:rPr>
          <w:b/>
        </w:rPr>
        <w:t>downtrend stack</w:t>
      </w:r>
      <w:r>
        <w:t xml:space="preserve"> — short, medium, and long-term trends all pointing the same way.</w:t>
      </w:r>
    </w:p>
    <w:p>
      <w:r>
        <w:t xml:space="preserve">Breadth confirms the cautious tape. </w:t>
      </w:r>
      <w:r>
        <w:rPr>
          <w:b/>
        </w:rPr>
        <w:t>Only 44% of stocks are above their 200-day EMA</w:t>
      </w:r>
      <w:r>
        <w:t xml:space="preserve">, drifting in the low-40s all week. Tuesday (2026-06-02) was the strongest day with </w:t>
      </w:r>
      <w:r>
        <w:rPr>
          <w:b/>
        </w:rPr>
        <w:t>367 advances vs 217 declines</w:t>
      </w:r>
      <w:r>
        <w:t xml:space="preserve"> — a clean 1.7:1 split, the only proper up-day of the week. Concerning: </w:t>
      </w:r>
      <w:r>
        <w:rPr>
          <w:b/>
        </w:rPr>
        <w:t>fresh 52-week highs were zero every single session</w:t>
      </w:r>
      <w:r>
        <w:t>, while 52-week lows ranged 10–18 daily. So the market isn't crashing — it's grinding, with leadership scarce and damage accumulating quietly in the laggards.</w:t>
      </w:r>
    </w:p>
    <w:p>
      <w:pPr>
        <w:pStyle w:val="Heading2"/>
      </w:pPr>
      <w:r>
        <w:t>3. Sector Rotation — Where Money Is Flowing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Top 5D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Return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Bottom 5D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Return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+5.3%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-4.1%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Trading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+4.8%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Financial Services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-2.1%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Textiles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+4.2%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FMCG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-1.8%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Conglomerate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+1.9%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Realty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-1.6%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Aviation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+1.6%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ETF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-1.5%</w:t>
            </w:r>
          </w:p>
        </w:tc>
      </w:tr>
    </w:tbl>
    <w:p/>
    <w:p>
      <w:r>
        <w:t xml:space="preserve">The rotation here is large and worth unpacking. </w:t>
      </w:r>
      <w:r>
        <w:rPr>
          <w:b/>
        </w:rPr>
        <w:t>Thirteen sectors flipped quadrants on the RRG (Relative Rotation Graph — a tool that maps sectors across Leading/Weakening/Lagging/Improving quadrants based on relative strength and momentum)</w:t>
      </w:r>
      <w:r>
        <w:t xml:space="preserve">. The most striking flips into </w:t>
      </w:r>
      <w:r>
        <w:rPr>
          <w:b/>
        </w:rPr>
        <w:t>Leading</w:t>
      </w:r>
      <w:r>
        <w:t xml:space="preserve">: Media (RS Δ +4.8), Trading (RS Δ +5.4), Auto Components (+2.5), Automobile (+2.1), Energy (+2.4), and Infrastructure. </w:t>
      </w:r>
      <w:r>
        <w:rPr>
          <w:b/>
        </w:rPr>
        <w:t>Energy turning Leading</w:t>
      </w:r>
      <w:r>
        <w:t xml:space="preserve"> ties directly to Brent's 4% jump — ONGC, NTPC, Adani Power benefit from the price tailwind. </w:t>
      </w:r>
      <w:r>
        <w:rPr>
          <w:b/>
        </w:rPr>
        <w:t>Autos flipping Leading</w:t>
      </w:r>
      <w:r>
        <w:t xml:space="preserve"> is the more interesting story: it's not commodity-driven, it's about M&amp;M's +42% EPS print and Maruti's +28% revenue beat (more on those in Section 4) — fundamentals catching up to a beaten-down complex.</w:t>
      </w:r>
    </w:p>
    <w:p>
      <w:r>
        <w:t xml:space="preserve">On the other side, </w:t>
      </w:r>
      <w:r>
        <w:rPr>
          <w:b/>
        </w:rPr>
        <w:t>Cement collapsed from Weakening to Lagging</w:t>
      </w:r>
      <w:r>
        <w:t xml:space="preserve"> (RS Δ -4.2, weekly return -4.1%) — and given UltraTech's -5.0% 5-day move, the message is consistent. </w:t>
      </w:r>
      <w:r>
        <w:rPr>
          <w:b/>
        </w:rPr>
        <w:t>Financial Services slipped into Lagging</w:t>
      </w:r>
      <w:r>
        <w:t xml:space="preserve"> despite a healthy +23% sector EPS median, suggesting rate-cut-deferral disappointment after RBI's hold. </w:t>
      </w:r>
      <w:r>
        <w:rPr>
          <w:b/>
        </w:rPr>
        <w:t>Defence flipped to Lagging</w:t>
      </w:r>
      <w:r>
        <w:t xml:space="preserve"> — the only sector on the earnings list with single-digit EPS growth (+4.5% median).</w:t>
      </w:r>
    </w:p>
    <w:p>
      <w:r>
        <w:t xml:space="preserve">A note on </w:t>
      </w:r>
      <w:r>
        <w:rPr>
          <w:b/>
        </w:rPr>
        <w:t>ETF -1.5% this week vs +109% over 1Y</w:t>
      </w:r>
      <w:r>
        <w:t xml:space="preserve"> — that 1Y figure is dominated by precious-metal ETFs that ran hard last year on the gold/silver duty trade, not broad equity ETFs.</w:t>
      </w:r>
    </w:p>
    <w:p>
      <w:pPr>
        <w:pStyle w:val="Heading2"/>
      </w:pPr>
      <w:r>
        <w:t>4. Earnings Pulse — Mar 2026 Season</w:t>
      </w:r>
    </w:p>
    <w:p>
      <w:r>
        <w:t xml:space="preserve">The season covers </w:t>
      </w:r>
      <w:r>
        <w:rPr>
          <w:b/>
        </w:rPr>
        <w:t>504 stocks reporting Mar 2026 results</w:t>
      </w:r>
      <w:r>
        <w:t xml:space="preserve">; 29 stocks excluded as stale. Aggregate season is strong: </w:t>
      </w:r>
      <w:r>
        <w:rPr>
          <w:b/>
        </w:rPr>
        <w:t>15 of 18 sectors show double-digit median EPS growth</w:t>
      </w:r>
      <w:r>
        <w:t xml:space="preserve">. Agriculture leads (+48.1%), Telecom (+43%) and Metals (+42.7%) follow. Banking (+9.9%) and Defence (+4.5%) are the laggards. </w:t>
      </w:r>
      <w:r>
        <w:rPr>
          <w:b/>
        </w:rPr>
        <w:t>Consumer Services is the danger zone</w:t>
      </w:r>
      <w:r>
        <w:t xml:space="preserve"> for individual prints — three of the top-5 misses (Shoppers Stop, ABFRL, Sapphire) all sit there, all on the discretionary-retail side of the sector.</w:t>
      </w:r>
    </w:p>
    <w:p>
      <w:r>
        <w:rPr>
          <w:b/>
        </w:rPr>
        <w:t>Top-of-list extremes</w:t>
      </w:r>
      <w:r>
        <w:t xml:space="preserve"> are mostly low-base effects: JSWSteel's +988% EPS print on +14% revenue is a commodity cycle base effect; Prestige (+902%) reflects lumpy real-estate revenue recognition. Useful colour, not signals.</w:t>
      </w:r>
    </w:p>
    <w:p>
      <w:r>
        <w:rPr>
          <w:b/>
        </w:rPr>
        <w:t>Bellwether read-through (this is the important part).</w:t>
      </w:r>
      <w:r>
        <w:t xml:space="preserve"> Critical staleness note: the </w:t>
      </w:r>
      <w:r>
        <w:rPr>
          <w:b/>
        </w:rPr>
        <w:t>only stock that reported in the last 10 days is NATCOPHARM (May 29)</w:t>
      </w:r>
      <w:r>
        <w:t xml:space="preserve">. All bellwether EPS prints below were filed weeks ago — so the 1-day/5-day price columns are </w:t>
      </w:r>
      <w:r>
        <w:rPr>
          <w:b/>
        </w:rPr>
        <w:t>current sector-rotation action, not fresh earnings reactions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Stock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EPS YoY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1d / 5d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NTPC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+38%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-1.3% / </w:t>
            </w:r>
            <w:r>
              <w:rPr>
                <w:b/>
                <w:sz w:val="20"/>
              </w:rPr>
              <w:t>-6.5%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Strong old print, but the 5-day collapse is what matters — rate-hold disappointment + Adani Power's -4.4% suggest the </w:t>
            </w:r>
            <w:r>
              <w:rPr>
                <w:b/>
                <w:sz w:val="20"/>
              </w:rPr>
              <w:t>PSU power complex is being faded</w:t>
            </w:r>
            <w:r>
              <w:rPr>
                <w:sz w:val="20"/>
              </w:rPr>
              <w:t xml:space="preserve"> despite a strong Energy sector tag.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TITAN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+35%, Rev +80%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+0.7% / </w:t>
            </w:r>
            <w:r>
              <w:rPr>
                <w:b/>
                <w:sz w:val="20"/>
              </w:rPr>
              <w:t>+4.5%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Best 5-day move in the bellwether list. Premium-discretionary spend holding up cleanly — read-through bullish for Consumer Durables leadership.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UltraTech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-0.8% / </w:t>
            </w:r>
            <w:r>
              <w:rPr>
                <w:b/>
                <w:sz w:val="20"/>
              </w:rPr>
              <w:t>-5.0%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earnings were fine; the price action is brutal. This </w:t>
            </w:r>
            <w:r>
              <w:rPr>
                <w:b/>
                <w:sz w:val="20"/>
              </w:rPr>
              <w:t>is</w:t>
            </w:r>
            <w:r>
              <w:rPr>
                <w:sz w:val="20"/>
              </w:rPr>
              <w:t xml:space="preserve"> the Cement-to-Lagging story in one line.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INFY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-0.3% / </w:t>
            </w:r>
            <w:r>
              <w:rPr>
                <w:b/>
                <w:sz w:val="20"/>
              </w:rPr>
              <w:t>+3.1%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IT showing quiet strength despite the sector's -1.9% TCS drag. Rotation within IT, not away from it.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RELIANCE / BHARTI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-13% / -38%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-1.0% / -2.3%, -1.1% / -1.7%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Both Conglomerate/Telecom bellwethers softening — explains why the Nifty's heaviest weights couldn't lift the index.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M&amp;M / MARUTI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+42% / -6%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+0.8% / -0.2%, -0.1% / -0.6%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Mixed prints, but the </w:t>
            </w:r>
            <w:r>
              <w:rPr>
                <w:b/>
                <w:sz w:val="20"/>
              </w:rPr>
              <w:t>Automobile-to-Leading flip</w:t>
            </w:r>
            <w:r>
              <w:rPr>
                <w:sz w:val="20"/>
              </w:rPr>
              <w:t xml:space="preserve"> is happening underneath — likely driven by mid-cap auto names, not these two.</w:t>
            </w:r>
          </w:p>
        </w:tc>
      </w:tr>
    </w:tbl>
    <w:p/>
    <w:p>
      <w:r>
        <w:rPr>
          <w:b/>
        </w:rPr>
        <w:t>ITC's -73% EPS print on -5% revenue</w:t>
      </w:r>
      <w:r>
        <w:t xml:space="preserve"> is the ugliest large-cap data point — and it sits inside an FMCG sector already down -1.8% for the week. Worth noting, not panicking on (almost certainly an accounting-period or demerger artefact).</w:t>
      </w:r>
    </w:p>
    <w:p>
      <w:pPr>
        <w:pStyle w:val="Heading2"/>
      </w:pPr>
      <w:r>
        <w:t>5. Technical Signals This Week</w:t>
      </w:r>
    </w:p>
    <w:p>
      <w:r>
        <w:rPr>
          <w:b/>
        </w:rPr>
        <w:t>140 unique stocks fired at least one signal this week.</w:t>
      </w:r>
      <w:r>
        <w:t xml:space="preserve"> The breakdown:</w:t>
      </w:r>
    </w:p>
    <w:p>
      <w:pPr>
        <w:pStyle w:val="ListBullet"/>
      </w:pPr>
      <w:r>
        <w:rPr>
          <w:b/>
        </w:rPr>
        <w:t>MACD Buy (momentum oscillator turning positive — a trend-change signal)</w:t>
      </w:r>
      <w:r>
        <w:t xml:space="preserve">: jumped from </w:t>
      </w:r>
      <w:r>
        <w:rPr>
          <w:b/>
        </w:rPr>
        <w:t>37 to 50 unique stocks (+13)</w:t>
      </w:r>
      <w:r>
        <w:t xml:space="preserve">, with 34 fresh entries. The biggest expansion this week. Examples: </w:t>
      </w:r>
      <w:r>
        <w:rPr>
          <w:b/>
        </w:rPr>
        <w:t>HFCL, HONASA, BALAMINES, THYROCARE, SYRMA</w:t>
      </w:r>
      <w:r>
        <w:t>. This is the broadest "early-momentum-turning-up" signal we have, and it's clearly expanding.</w:t>
      </w:r>
    </w:p>
    <w:p>
      <w:pPr>
        <w:pStyle w:val="ListBullet"/>
      </w:pPr>
      <w:r>
        <w:rPr>
          <w:b/>
        </w:rPr>
        <w:t>Narrow CPR Breakaway (Central Pivot Range — a tight pivot setup that often precedes breakouts)</w:t>
      </w:r>
      <w:r>
        <w:t xml:space="preserve">: </w:t>
      </w:r>
      <w:r>
        <w:rPr>
          <w:b/>
        </w:rPr>
        <w:t>51 stocks vs 46 prior (+5)</w:t>
      </w:r>
      <w:r>
        <w:t xml:space="preserve">. Examples include </w:t>
      </w:r>
      <w:r>
        <w:rPr>
          <w:b/>
        </w:rPr>
        <w:t>ADANIENT, ZYDUSLIFE, ASIANPAINT, MOTHERSON, PIDILITIND</w:t>
      </w:r>
      <w:r>
        <w:t xml:space="preserve"> — quality large-caps coiling.</w:t>
      </w:r>
    </w:p>
    <w:p>
      <w:pPr>
        <w:pStyle w:val="ListBullet"/>
      </w:pPr>
      <w:r>
        <w:rPr>
          <w:b/>
        </w:rPr>
        <w:t>Blue Zone Buy (the dashboard's institutional-accumulation watchlist — momentum stocks with RSI strength, above 20-EMA, near 52W highs)</w:t>
      </w:r>
      <w:r>
        <w:t xml:space="preserve">: </w:t>
      </w:r>
      <w:r>
        <w:rPr>
          <w:b/>
        </w:rPr>
        <w:t>41 vs 42 (-1)</w:t>
      </w:r>
      <w:r>
        <w:t xml:space="preserve"> — essentially flat. Examples: </w:t>
      </w:r>
      <w:r>
        <w:rPr>
          <w:b/>
        </w:rPr>
        <w:t>IDEA, LAURUSLABS, HFCL, ADANIENT, POLYCAB</w:t>
      </w:r>
      <w:r>
        <w:t>.</w:t>
      </w:r>
    </w:p>
    <w:p>
      <w:pPr>
        <w:pStyle w:val="ListBullet"/>
      </w:pPr>
      <w:r>
        <w:rPr>
          <w:b/>
        </w:rPr>
        <w:t>MACD Strong</w:t>
      </w:r>
      <w:r>
        <w:t xml:space="preserve">: 28 vs 30 (-2). </w:t>
      </w:r>
      <w:r>
        <w:rPr>
          <w:b/>
        </w:rPr>
        <w:t>LAURUSLABS, HFCL, RRKABEL</w:t>
      </w:r>
      <w:r>
        <w:t xml:space="preserve"> standing out.</w:t>
      </w:r>
    </w:p>
    <w:p>
      <w:pPr>
        <w:pStyle w:val="ListBullet"/>
      </w:pPr>
      <w:r>
        <w:rPr>
          <w:b/>
        </w:rPr>
        <w:t>VCP Buy (Volatility Contraction Pattern — Minervini's tightening-range-before-breakout setup)</w:t>
      </w:r>
      <w:r>
        <w:t xml:space="preserve">: jumped from </w:t>
      </w:r>
      <w:r>
        <w:rPr>
          <w:b/>
        </w:rPr>
        <w:t>3 to 7 (+4)</w:t>
      </w:r>
      <w:r>
        <w:t xml:space="preserve">, including </w:t>
      </w:r>
      <w:r>
        <w:rPr>
          <w:b/>
        </w:rPr>
        <w:t>POLYCAB, GRASIM, BANDHANBNK</w:t>
      </w:r>
      <w:r>
        <w:t>.</w:t>
      </w:r>
    </w:p>
    <w:p>
      <w:pPr>
        <w:pStyle w:val="ListBullet"/>
      </w:pPr>
      <w:r>
        <w:rPr>
          <w:b/>
        </w:rPr>
        <w:t>Blue Zone Strong</w:t>
      </w:r>
      <w:r>
        <w:t xml:space="preserve">: 5 vs 4 (+1). </w:t>
      </w:r>
      <w:r>
        <w:rPr>
          <w:b/>
        </w:rPr>
        <w:t>ADANIENT, SOLARINDS, BALAMINES</w:t>
      </w:r>
      <w:r>
        <w:t xml:space="preserve"> the standouts.</w:t>
      </w:r>
    </w:p>
    <w:p>
      <w:pPr>
        <w:pStyle w:val="ListBullet"/>
      </w:pPr>
      <w:r>
        <w:rPr>
          <w:b/>
        </w:rPr>
        <w:t>Bull Flag Buy (sharp rally → orderly consolidation → breakout above the range)</w:t>
      </w:r>
      <w:r>
        <w:t xml:space="preserve">: dropped </w:t>
      </w:r>
      <w:r>
        <w:rPr>
          <w:b/>
        </w:rPr>
        <w:t>9 → 5 (-4)</w:t>
      </w:r>
      <w:r>
        <w:t xml:space="preserve"> — only one fresh entry. </w:t>
      </w:r>
      <w:r>
        <w:rPr>
          <w:b/>
        </w:rPr>
        <w:t>The clearest sign breakouts are getting harder to come by.</w:t>
      </w:r>
    </w:p>
    <w:p>
      <w:pPr>
        <w:pStyle w:val="ListBullet"/>
      </w:pPr>
      <w:r>
        <w:rPr>
          <w:b/>
        </w:rPr>
        <w:t>Pullback Bounce (strong-trend stocks dipping to EMA20 and recovering)</w:t>
      </w:r>
      <w:r>
        <w:t xml:space="preserve">: 4 vs 1 (+3). </w:t>
      </w:r>
      <w:r>
        <w:rPr>
          <w:b/>
        </w:rPr>
        <w:t>VBL, RADICO, ANGELONE</w:t>
      </w:r>
      <w:r>
        <w:t xml:space="preserve"> — consumption-staples and broker plays.</w:t>
      </w:r>
    </w:p>
    <w:p>
      <w:pPr>
        <w:pStyle w:val="ListBullet"/>
      </w:pPr>
      <w:r>
        <w:rPr>
          <w:b/>
        </w:rPr>
        <w:t>Golden Cross Buy (20-EMA crossing above 50-EMA)</w:t>
      </w:r>
      <w:r>
        <w:t xml:space="preserve">: 4 vs 1 (+3). </w:t>
      </w:r>
      <w:r>
        <w:rPr>
          <w:b/>
        </w:rPr>
        <w:t>MINDACORP, SUPRAJIT</w:t>
      </w:r>
      <w:r>
        <w:t xml:space="preserve"> confirm the auto-components leadership flip.</w:t>
      </w:r>
    </w:p>
    <w:p>
      <w:r>
        <w:rPr>
          <w:b/>
        </w:rPr>
        <w:t>Multi-signal cluster stocks (higher-conviction setups firing 2+ different indicator types):</w:t>
      </w:r>
      <w:r>
        <w:t xml:space="preserve"> </w:t>
      </w:r>
      <w:r>
        <w:rPr>
          <w:b/>
        </w:rPr>
        <w:t>BALAMINES</w:t>
      </w:r>
      <w:r>
        <w:t xml:space="preserve"> (4 signals — both Blue Zones plus both MACDs) leads the list. </w:t>
      </w:r>
      <w:r>
        <w:rPr>
          <w:b/>
        </w:rPr>
        <w:t>ADANIENT</w:t>
      </w:r>
      <w:r>
        <w:t xml:space="preserve"> (Blue Zone Buy + Strong + Narrow CPR), </w:t>
      </w:r>
      <w:r>
        <w:rPr>
          <w:b/>
        </w:rPr>
        <w:t>HFCL</w:t>
      </w:r>
      <w:r>
        <w:t xml:space="preserve"> (Blue Zone + both MACDs), </w:t>
      </w:r>
      <w:r>
        <w:rPr>
          <w:b/>
        </w:rPr>
        <w:t>THYROCARE</w:t>
      </w:r>
      <w:r>
        <w:t xml:space="preserve"> (Blue Zone + Bull Flag + MACD), </w:t>
      </w:r>
      <w:r>
        <w:rPr>
          <w:b/>
        </w:rPr>
        <w:t>CRAFTSMAN</w:t>
      </w:r>
      <w:r>
        <w:t xml:space="preserve"> (Bull Flag + both MACDs), and </w:t>
      </w:r>
      <w:r>
        <w:rPr>
          <w:b/>
        </w:rPr>
        <w:t>SYRMA</w:t>
      </w:r>
      <w:r>
        <w:t xml:space="preserve"> (Blue Zone + both MACDs) are the names worth watching.</w:t>
      </w:r>
    </w:p>
    <w:p>
      <w:r>
        <w:rPr>
          <w:b/>
        </w:rPr>
        <w:t>Signal mix read:</w:t>
      </w:r>
      <w:r>
        <w:t xml:space="preserve"> MACD expanding broadly + Bull Flag contracting + Pullback Bounce rising = </w:t>
      </w:r>
      <w:r>
        <w:rPr>
          <w:b/>
        </w:rPr>
        <w:t>early-stage rotation, not late-stage breakout.</w:t>
      </w:r>
      <w:r>
        <w:t xml:space="preserve"> Money is flowing into setups that are </w:t>
      </w:r>
      <w:r>
        <w:rPr>
          <w:i/>
        </w:rPr>
        <w:t>forming</w:t>
      </w:r>
      <w:r>
        <w:t>, not stocks that are already running.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ITDC</w:t>
      </w:r>
      <w:r>
        <w:t xml:space="preserve"> — a </w:t>
      </w:r>
      <w:r>
        <w:rPr>
          <w:b/>
        </w:rPr>
        <w:t>269.6x volume spike</w:t>
      </w:r>
      <w:r>
        <w:t xml:space="preserve"> (yes, 269x average) alongside a -41.4 rank slope. Extreme tourism-stock event, likely news-driven.</w:t>
      </w:r>
    </w:p>
    <w:p>
      <w:pPr>
        <w:pStyle w:val="ListBullet"/>
      </w:pPr>
      <w:r>
        <w:rPr>
          <w:b/>
        </w:rPr>
        <w:t>QUESS Corp</w:t>
      </w:r>
      <w:r>
        <w:t xml:space="preserve"> — 71x volume on a strong RS rank (#117). Staffing/services strength worth tracking.</w:t>
      </w:r>
    </w:p>
    <w:p>
      <w:pPr>
        <w:pStyle w:val="ListBullet"/>
      </w:pPr>
      <w:r>
        <w:rPr>
          <w:b/>
        </w:rPr>
        <w:t>GODIGIT</w:t>
      </w:r>
      <w:r>
        <w:t xml:space="preserve"> — 51.9x volume but ranked #401 — heavy volume on a weak stock is rarely a buy signal; usually distribution or unlock event.</w:t>
      </w:r>
    </w:p>
    <w:p>
      <w:pPr>
        <w:pStyle w:val="ListBullet"/>
      </w:pPr>
      <w:r>
        <w:rPr>
          <w:b/>
        </w:rPr>
        <w:t>Network18 + ZEEL + Hathway</w:t>
      </w:r>
      <w:r>
        <w:t xml:space="preserve"> all blew out volume on the same days — that's the </w:t>
      </w:r>
      <w:r>
        <w:rPr>
          <w:b/>
        </w:rPr>
        <w:t>Media sector's +5.3% week</w:t>
      </w:r>
      <w:r>
        <w:t xml:space="preserve"> showing up in the tape. Sector-cluster events are rarely coincidence.</w:t>
      </w:r>
    </w:p>
    <w:p>
      <w:pPr>
        <w:pStyle w:val="ListBullet"/>
      </w:pPr>
      <w:r>
        <w:rPr>
          <w:b/>
        </w:rPr>
        <w:t>Banking sector rank surges</w:t>
      </w:r>
      <w:r>
        <w:t xml:space="preserve">: CANBK and BANKBARODA both jumping ranks aggressively (-28 and -25 slope) while PSUBNKBEES surges too — </w:t>
      </w:r>
      <w:r>
        <w:rPr>
          <w:b/>
        </w:rPr>
        <w:t>PSU bank rotation is happening in real time</w:t>
      </w:r>
      <w:r>
        <w:t>, despite Financial Services flipping into Lagging at the sector level. The divergence says: private financials are dragging the sector tag down; PSU banks are quietly outperforming.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Macro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16.28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$95.49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+4.0%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+0.34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$4,472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-1.5%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$72.63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-4.3%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Gold/Silver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61.57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+1.80</w:t>
            </w:r>
          </w:p>
        </w:tc>
      </w:tr>
    </w:tbl>
    <w:p/>
    <w:p>
      <w:r>
        <w:rPr>
          <w:b/>
        </w:rPr>
        <w:t>Brent's 4% pop</w:t>
      </w:r>
      <w:r>
        <w:t xml:space="preserve"> on US-Iran war chatter is the biggest external mover and explains both the Energy sector's flip into Leading and Friday's IT-led Sensex weakness. </w:t>
      </w:r>
      <w:r>
        <w:rPr>
          <w:b/>
        </w:rPr>
        <w:t>DXY firming + rupee weakening</w:t>
      </w:r>
      <w:r>
        <w:t xml:space="preserve"> is the painful combination — CNBC headlines reference "surprise rate hike bets" emerging, while Reuters notes RBI "ramping up defence of faltering rupee." This is the policy bind Shankar Sharma's quoted comment captures: </w:t>
      </w:r>
      <w:r>
        <w:rPr>
          <w:b/>
        </w:rPr>
        <w:t>rupee or stock market — pick one</w:t>
      </w:r>
      <w:r>
        <w:t>.</w:t>
      </w:r>
    </w:p>
    <w:p>
      <w:r>
        <w:rPr>
          <w:b/>
        </w:rPr>
        <w:t>Domestic policy events this week:</w:t>
      </w:r>
    </w:p>
    <w:p>
      <w:pPr>
        <w:pStyle w:val="ListBullet"/>
      </w:pPr>
      <w:r>
        <w:rPr>
          <w:b/>
        </w:rPr>
        <w:t>RBI MPC (Friday)</w:t>
      </w:r>
      <w:r>
        <w:t xml:space="preserve"> — held repo at 5.25%, </w:t>
      </w:r>
      <w:r>
        <w:rPr>
          <w:b/>
        </w:rPr>
        <w:t>cut FY27 growth to 6.6%, raised inflation to 5.1%</w:t>
      </w:r>
      <w:r>
        <w:t>. Markets read this as hawkish-hold; Sensex fell 380 points post-decision.</w:t>
      </w:r>
    </w:p>
    <w:p>
      <w:pPr>
        <w:pStyle w:val="ListBullet"/>
      </w:pPr>
      <w:r>
        <w:rPr>
          <w:b/>
        </w:rPr>
        <w:t>RBI FPI rule simplification for government securities</w:t>
      </w:r>
      <w:r>
        <w:t xml:space="preserve"> — quietly the most important medium-term bullish item this week. Easier foreign capital access into bonds → eventual support for the rupee.</w:t>
      </w:r>
    </w:p>
    <w:p>
      <w:pPr>
        <w:pStyle w:val="ListBullet"/>
      </w:pPr>
      <w:r>
        <w:rPr>
          <w:b/>
        </w:rPr>
        <w:t>RBI debunking the $12bn gold-sale rumour</w:t>
      </w:r>
      <w:r>
        <w:t xml:space="preserve"> (reserves confirmed at 880.52 tonnes) — defensive but credibility-positive.</w:t>
      </w:r>
    </w:p>
    <w:p>
      <w:pPr>
        <w:pStyle w:val="ListBullet"/>
      </w:pPr>
      <w:r>
        <w:rPr>
          <w:b/>
        </w:rPr>
        <w:t>India-Oman CEPA (Comprehensive Economic Partnership Agreement) live</w:t>
      </w:r>
      <w:r>
        <w:t xml:space="preserve"> — bullish for textiles, services, export-oriented mid-caps. Likely a contributor to the </w:t>
      </w:r>
      <w:r>
        <w:rPr>
          <w:b/>
        </w:rPr>
        <w:t>Textiles sector +4.2% week</w:t>
      </w:r>
      <w:r>
        <w:t>.</w:t>
      </w:r>
    </w:p>
    <w:p>
      <w:pPr>
        <w:pStyle w:val="ListBullet"/>
      </w:pPr>
      <w:r>
        <w:rPr>
          <w:b/>
        </w:rPr>
        <w:t>US 12.5% tariff proposal on India</w:t>
      </w:r>
      <w:r>
        <w:t xml:space="preserve"> over forced-labour concerns — overhang for textiles, autos, pharma. Trump's "Modi is a great friend" comment partially offset it.</w:t>
      </w:r>
    </w:p>
    <w:p>
      <w:pPr>
        <w:pStyle w:val="Heading2"/>
      </w:pPr>
      <w:r>
        <w:t>8. What to Watch Next Week</w:t>
      </w:r>
    </w:p>
    <w:p>
      <w:pPr>
        <w:pStyle w:val="ListNumber"/>
      </w:pPr>
      <w:r>
        <w:rPr>
          <w:b/>
        </w:rPr>
        <w:t>Nifty technical levels</w:t>
      </w:r>
      <w:r>
        <w:t xml:space="preserve"> — the 20-day EMA at </w:t>
      </w:r>
      <w:r>
        <w:rPr>
          <w:b/>
        </w:rPr>
        <w:t>23,680</w:t>
      </w:r>
      <w:r>
        <w:t xml:space="preserve"> is the first overhead resistance; reclaiming it is the precondition for any short-term bounce. On the downside, watch whether Friday's </w:t>
      </w:r>
      <w:r>
        <w:rPr>
          <w:b/>
        </w:rPr>
        <w:t>23,368</w:t>
      </w:r>
      <w:r>
        <w:t xml:space="preserve"> holds; below it, the path of least resistance is toward 23,200.</w:t>
      </w:r>
    </w:p>
    <w:p>
      <w:pPr>
        <w:pStyle w:val="ListNumber"/>
      </w:pPr>
      <w:r>
        <w:rPr>
          <w:b/>
        </w:rPr>
        <w:t>Rupee defence vs rate path</w:t>
      </w:r>
      <w:r>
        <w:t xml:space="preserve"> — the CNBC "surprise rate hike bets" thread is worth tracking. Any further USD/INR weakness will keep the rate-hike whisper alive and pressure rate-sensitive sectors (Realty, Financials).</w:t>
      </w:r>
    </w:p>
    <w:p>
      <w:pPr>
        <w:pStyle w:val="ListNumber"/>
      </w:pPr>
      <w:r>
        <w:rPr>
          <w:b/>
        </w:rPr>
        <w:t>Auto and auto-components rotation continuation</w:t>
      </w:r>
      <w:r>
        <w:t xml:space="preserve"> — both flipped to Leading on real fundamentals. Watch second-tier names (MINDACORP, SUPRAJIT — both fired Golden Cross signals) for confirmation.</w:t>
      </w:r>
    </w:p>
    <w:p>
      <w:pPr>
        <w:pStyle w:val="ListNumber"/>
      </w:pPr>
      <w:r>
        <w:rPr>
          <w:b/>
        </w:rPr>
        <w:t>Multi-signal cluster stocks</w:t>
      </w:r>
      <w:r>
        <w:t xml:space="preserve"> — BALAMINES, ADANIENT, HFCL, THYROCARE setting up; watch for breakout follow-through.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trend is down but the rotation is constructive.</w:t>
      </w:r>
      <w:r>
        <w:t xml:space="preserve"> Nifty below all three EMAs and -1.0% for the week, but 13 sectors flipped into Leading, MACD signals expanded by 13 stocks, and Autos + Energy + Media are showing genuine rotation. The damage is at the index level; the opportunity is sector-specific. Caveat: rotation in a downtrend often fails — needs Nifty to reclaim the 20-EMA to validate.</w:t>
      </w:r>
    </w:p>
    <w:p>
      <w:pPr>
        <w:pStyle w:val="ListNumber"/>
      </w:pPr>
      <w:r>
        <w:rPr>
          <w:b/>
        </w:rPr>
        <w:t>The RBI-rupee bind is the dominant macro overhang.</w:t>
      </w:r>
      <w:r>
        <w:t xml:space="preserve"> A rate hold with downgraded growth + upgraded inflation, against a falling rupee, against $95 Brent, against US tariff noise — that's a heavy combination. Until either Brent cools or the rupee stabilises, large-cap defensives and rate-sensitive sectors stay challenged. FMCG and Financial Services bottoming this week's tables is consistent with that.</w:t>
      </w:r>
    </w:p>
    <w:p>
      <w:pPr>
        <w:pStyle w:val="ListNumber"/>
      </w:pPr>
      <w:r>
        <w:rPr>
          <w:b/>
        </w:rPr>
        <w:t>Watch Autos, Media, and PSU banks for follow-through; treat Cement and Consumer-discretionary retail with caution.</w:t>
      </w:r>
      <w:r>
        <w:t xml:space="preserve"> Auto Components and Automobile turning Leading on fundamentals (M&amp;M, Maruti, Titan-like reads) is the most credible rotation story. Cement's UltraTech-led collapse and Consumer Services' Shoppers Stop / ABFRL / Sapphire EPS misses are the clearest red flags — sector signal and individual prints aligned, which is rare.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