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2026-06-27</w:t>
      </w:r>
    </w:p>
    <w:p>
      <w:pPr>
        <w:pStyle w:val="Heading2"/>
      </w:pPr>
      <w:r>
        <w:t>1. What Happened This Week</w:t>
      </w:r>
    </w:p>
    <w:p>
      <w:r>
        <w:t xml:space="preserve">Nifty 50 ended the week barely changed at </w:t>
      </w:r>
      <w:r>
        <w:rPr>
          <w:b/>
        </w:rPr>
        <w:t>24,056</w:t>
      </w:r>
      <w:r>
        <w:t xml:space="preserve"> (+0.1%), but the flat tape masks a genuinely interesting week underneath. The dominant catalyst was </w:t>
      </w:r>
      <w:r>
        <w:rPr>
          <w:b/>
        </w:rPr>
        <w:t>Brent crude collapsing 7.6% to USD 74.23</w:t>
      </w:r>
      <w:r>
        <w:t xml:space="preserve">, driven by US-Iran diplomatic easing and Hormuz de-escalation — a textbook bullish setup for India, the world's third-largest crude importer. Layered on top: the RBI flagged it </w:t>
      </w:r>
      <w:r>
        <w:rPr>
          <w:b/>
        </w:rPr>
        <w:t>may revise FY26 growth above 7%</w:t>
      </w:r>
      <w:r>
        <w:t xml:space="preserve">, sweetened FCNR(B) NRI deposit rates to ~7%, and opened domestic bank lending against those deposits — a triple-shot of dollar-inflow and credit-channel positives. The kicker, though, is what </w:t>
      </w:r>
      <w:r>
        <w:rPr>
          <w:i/>
        </w:rPr>
        <w:t>didn't</w:t>
      </w:r>
      <w:r>
        <w:t xml:space="preserve"> hold: Tuesday's sharp -1.2% drop to 23,795 wiped out Monday's gap-up, and the week ended in a low-volatility consolidation rather than a clean breakout.</w:t>
      </w:r>
    </w:p>
    <w:p>
      <w:pPr>
        <w:pStyle w:val="Heading2"/>
      </w:pPr>
      <w:r>
        <w:t>2. The Trend Picture</w:t>
      </w:r>
    </w:p>
    <w:p>
      <w:r>
        <w:t xml:space="preserve">Nifty is in a </w:t>
      </w:r>
      <w:r>
        <w:rPr>
          <w:b/>
        </w:rPr>
        <w:t>mixed trend posture</w:t>
      </w:r>
      <w:r>
        <w:t xml:space="preserve"> that traders should not over-read: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23,792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</w:t>
            </w:r>
            <w:r>
              <w:rPr>
                <w:sz w:val="20"/>
              </w:rPr>
              <w:t xml:space="preserve"> (+1.1%)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23,805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</w:t>
            </w:r>
            <w:r>
              <w:rPr>
                <w:sz w:val="20"/>
              </w:rPr>
              <w:t xml:space="preserve"> (+1.1%)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24,455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(-1.6%)</w:t>
            </w:r>
          </w:p>
        </w:tc>
      </w:tr>
    </w:tbl>
    <w:p/>
    <w:p>
      <w:r>
        <w:t>(EMA = Exponential Moving Average — a smoothed average of recent closes that traders use as trend reference; the 200-day version is the classic bull/bear dividing line.)</w:t>
      </w:r>
    </w:p>
    <w:p>
      <w:r>
        <w:t xml:space="preserve">So the short- and medium-term trend has turned up, but the long-term trend is still down. Breadth confirms a market in transition: </w:t>
      </w:r>
      <w:r>
        <w:rPr>
          <w:b/>
        </w:rPr>
        <w:t>% of stocks above their 200-day EMA sits at 51%</w:t>
      </w:r>
      <w:r>
        <w:t xml:space="preserve"> — right at the indecision line. The breadth tape was choppy: </w:t>
      </w:r>
      <w:r>
        <w:rPr>
          <w:b/>
        </w:rPr>
        <w:t>Monday's 401:185 advance/decline</w:t>
      </w:r>
      <w:r>
        <w:t xml:space="preserve"> was the strongest day of the week, but </w:t>
      </w:r>
      <w:r>
        <w:rPr>
          <w:b/>
        </w:rPr>
        <w:t>Tuesday immediately reversed to 132:453</w:t>
      </w:r>
      <w:r>
        <w:t xml:space="preserve"> — the kind of one-day washout that says positioning was crowded. New 52-week lows (averaging 3-6 per day) are still outnumbering new highs (0-1), which is the single biggest argument against calling this a fresh uptrend yet.</w:t>
      </w:r>
    </w:p>
    <w:p>
      <w:pPr>
        <w:pStyle w:val="Heading2"/>
      </w:pPr>
      <w:r>
        <w:t>3. Sector Rotation — Where Money Is Flowing</w:t>
      </w:r>
    </w:p>
    <w:p>
      <w:r>
        <w:t>The rotation this week was unusually clean and tied directly to crude.</w:t>
      </w:r>
    </w:p>
    <w:p>
      <w:r>
        <w:rPr>
          <w:b/>
        </w:rPr>
        <w:t>Top 3 (5-day median):</w:t>
      </w:r>
      <w:r>
        <w:t xml:space="preserve"> Aviation +8.7%, Textiles +1.8%, Healthcare +1.6% </w:t>
      </w:r>
      <w:r>
        <w:rPr>
          <w:b/>
        </w:rPr>
        <w:t>Bottom 3:</w:t>
      </w:r>
      <w:r>
        <w:t xml:space="preserve"> Trading -8.4%, ETF -8.0%, Metals -4.1%</w:t>
      </w:r>
    </w:p>
    <w:p>
      <w:r>
        <w:rPr>
          <w:b/>
        </w:rPr>
        <w:t>Aviation's +8.7% rip</w:t>
      </w:r>
      <w:r>
        <w:t xml:space="preserve"> is straight off the crude move — fuel is 30-40% of an airline's cost base, and INDIGO showing up on the volume breakout list at </w:t>
      </w:r>
      <w:r>
        <w:rPr>
          <w:b/>
        </w:rPr>
        <w:t>4.5x average volume</w:t>
      </w:r>
      <w:r>
        <w:t xml:space="preserve"> is the rotation happening in real time. </w:t>
      </w:r>
      <w:r>
        <w:rPr>
          <w:b/>
        </w:rPr>
        <w:t>Textiles and Auto Components</w:t>
      </w:r>
      <w:r>
        <w:t xml:space="preserve"> also benefited from a second catalyst: India is pushing for </w:t>
      </w:r>
      <w:r>
        <w:rPr>
          <w:b/>
        </w:rPr>
        <w:t>preferential market access in the US trade deal</w:t>
      </w:r>
      <w:r>
        <w:t xml:space="preserve"> (July 24 deadline) — both sectors are highly tariff-sensitive exporters.</w:t>
      </w:r>
    </w:p>
    <w:p>
      <w:r>
        <w:t xml:space="preserve">Quadrant flips were broad and bullish: </w:t>
      </w:r>
      <w:r>
        <w:rPr>
          <w:b/>
        </w:rPr>
        <w:t>10 sectors moved into better quadrants</w:t>
      </w:r>
      <w:r>
        <w:t xml:space="preserve"> this week — Infrastructure, Consumer Services, Chemicals and Industrial all jumped from Lagging/Weakening straight to </w:t>
      </w:r>
      <w:r>
        <w:rPr>
          <w:b/>
        </w:rPr>
        <w:t>Leading</w:t>
      </w:r>
      <w:r>
        <w:t xml:space="preserve"> (Leading = sectors in the Relative Rotation Graph's top-right quadrant, showing both strong relative strength and improving momentum). This kind of broad-based quadrant migration is what an early rotation looks like.</w:t>
      </w:r>
    </w:p>
    <w:p>
      <w:r>
        <w:t xml:space="preserve">The standout puzzle is the </w:t>
      </w:r>
      <w:r>
        <w:rPr>
          <w:b/>
        </w:rPr>
        <w:t>ETF sector down 8.0%</w:t>
      </w:r>
      <w:r>
        <w:t xml:space="preserve"> for the week and </w:t>
      </w:r>
      <w:r>
        <w:rPr>
          <w:b/>
        </w:rPr>
        <w:t>-15.6% over the month</w:t>
      </w:r>
      <w:r>
        <w:t xml:space="preserve"> — given that "ETF" in this dataset is dominated by gold/silver instruments, this aligns with </w:t>
      </w:r>
      <w:r>
        <w:rPr>
          <w:b/>
        </w:rPr>
        <w:t>silver -11.7% and gold -3.1%</w:t>
      </w:r>
      <w:r>
        <w:t xml:space="preserve"> in USD this week. No divergence story here; precious metal ETFs simply tracked the global selloff as the safe-haven bid unwound on Hormuz easing.</w:t>
      </w:r>
    </w:p>
    <w:p>
      <w:pPr>
        <w:pStyle w:val="Heading2"/>
      </w:pPr>
      <w:r>
        <w:t>4. Earnings Pulse</w:t>
      </w:r>
    </w:p>
    <w:p>
      <w:r>
        <w:rPr>
          <w:b/>
        </w:rPr>
        <w:t>Reporting quarter: March 2026.</w:t>
      </w:r>
      <w:r>
        <w:t xml:space="preserve"> 504 stocks have reported; 29 still pending (their data is excluded from aggregates to avoid mixing quarters).</w:t>
      </w:r>
    </w:p>
    <w:p>
      <w:r>
        <w:rPr>
          <w:b/>
        </w:rPr>
        <w:t>(a) Sector aggregate</w:t>
      </w:r>
      <w:r>
        <w:t xml:space="preserve">: The season is </w:t>
      </w:r>
      <w:r>
        <w:rPr>
          <w:b/>
        </w:rPr>
        <w:t>broadly strong</w:t>
      </w:r>
      <w:r>
        <w:t xml:space="preserve">. Median EPS YoY is positive in every single sector. Standouts: </w:t>
      </w:r>
      <w:r>
        <w:rPr>
          <w:b/>
        </w:rPr>
        <w:t>Agriculture +48%, Telecom +43%, Metals +43%, Auto Components +30%, Energy +25%</w:t>
      </w:r>
      <w:r>
        <w:t xml:space="preserve">. The weak links are </w:t>
      </w:r>
      <w:r>
        <w:rPr>
          <w:b/>
        </w:rPr>
        <w:t>Defence (+4.5%) and Banking (+9.9%)</w:t>
      </w:r>
      <w:r>
        <w:t xml:space="preserve"> — Banking's modest growth is notable given how much weight it carries in the index.</w:t>
      </w:r>
    </w:p>
    <w:p>
      <w:r>
        <w:rPr>
          <w:b/>
        </w:rPr>
        <w:t>(b) Top-of-list extremes (colour only):</w:t>
      </w:r>
      <w:r>
        <w:t xml:space="preserve"> JSWSTEEL's +988% EPS YoY and Prestige's +902% lead the beat list, while Shoppers Stop (-922%) and ABFRL (-771%) anchor the misses — fashion retail is having a difficult quarter on weak discretionary demand.</w:t>
      </w:r>
    </w:p>
    <w:p>
      <w:r>
        <w:rPr>
          <w:b/>
        </w:rPr>
        <w:t>(c) Bellwether read-through — staleness caveat applies.</w:t>
      </w:r>
      <w:r>
        <w:t xml:space="preserve"> The </w:t>
      </w:r>
      <w:r>
        <w:rPr>
          <w:rFonts w:ascii="Consolas" w:hAnsi="Consolas"/>
          <w:sz w:val="20"/>
        </w:rPr>
        <w:t>Recent Earnings Declared (last 10 days)</w:t>
      </w:r>
      <w:r>
        <w:t xml:space="preserve"> list is empty, meaning every bellwether print below was filed earlier in this reporting window. This week's price moves are </w:t>
      </w:r>
      <w:r>
        <w:rPr>
          <w:b/>
        </w:rPr>
        <w:t>rotation, not fresh earnings reaction.</w:t>
      </w:r>
    </w:p>
    <w:p>
      <w:pPr>
        <w:pStyle w:val="ListBullet"/>
      </w:pPr>
      <w:r>
        <w:rPr>
          <w:b/>
        </w:rPr>
        <w:t>MARUTI / M&amp;M (+3.8% / +3.8% 1-day, +1.9% / +1.5% 5-day):</w:t>
      </w:r>
      <w:r>
        <w:t xml:space="preserve"> Both autos rallied on what looks like crude-driven sector rotation, not earnings reaction. The underlying prints (Maruti -6% EPS on +28% revenue; M&amp;M +42% EPS on +29% revenue) were filed weeks ago. The current move is </w:t>
      </w:r>
      <w:r>
        <w:rPr>
          <w:b/>
        </w:rPr>
        <w:t>fresh money rotating into Auto on lower input costs</w:t>
      </w:r>
      <w:r>
        <w:t>, with M&amp;M's superior earnings quality the natural beneficiary.</w:t>
      </w:r>
    </w:p>
    <w:p>
      <w:pPr>
        <w:pStyle w:val="ListBullet"/>
      </w:pPr>
      <w:r>
        <w:rPr>
          <w:b/>
        </w:rPr>
        <w:t>INFY (-1.5% / -7.7%):</w:t>
      </w:r>
      <w:r>
        <w:t xml:space="preserve"> Infosys printed a healthy </w:t>
      </w:r>
      <w:r>
        <w:rPr>
          <w:b/>
        </w:rPr>
        <w:t>+24% EPS / +13% revenue</w:t>
      </w:r>
      <w:r>
        <w:t xml:space="preserve"> earlier this quarter, yet this week the stock is down 7.7% in five days. The disconnect is the IT sector itself — IT down 2.7% for the week, -24.5% YTD — getting hit on US trade-deal uncertainty and a weakening growth narrative. Earnings strength is being ignored by a sector under broader pressure.</w:t>
      </w:r>
    </w:p>
    <w:p>
      <w:pPr>
        <w:pStyle w:val="ListBullet"/>
      </w:pPr>
      <w:r>
        <w:rPr>
          <w:b/>
        </w:rPr>
        <w:t>TCS (-0.7% / -4.9%):</w:t>
      </w:r>
      <w:r>
        <w:t xml:space="preserve"> Same IT story. The +12% EPS print is old news; this week's drop is sector beta, not stock-specific.</w:t>
      </w:r>
    </w:p>
    <w:p>
      <w:pPr>
        <w:pStyle w:val="ListBullet"/>
      </w:pPr>
      <w:r>
        <w:rPr>
          <w:b/>
        </w:rPr>
        <w:t>SBIN (+1.0% / +0.3%):</w:t>
      </w:r>
      <w:r>
        <w:t xml:space="preserve"> A muted -3% EPS print is being shrugged off as the </w:t>
      </w:r>
      <w:r>
        <w:rPr>
          <w:b/>
        </w:rPr>
        <w:t>FCNR(B) loan rule and RBI's growth optimism</w:t>
      </w:r>
      <w:r>
        <w:t xml:space="preserve"> lift the broader PSU bank narrative. Worth watching: the RBI policy stack is doing more for SBI's stock right now than its own P&amp;L.</w:t>
      </w:r>
    </w:p>
    <w:p>
      <w:pPr>
        <w:pStyle w:val="ListBullet"/>
      </w:pPr>
      <w:r>
        <w:rPr>
          <w:b/>
        </w:rPr>
        <w:t>TITAN (-0.8% / -2.2%):</w:t>
      </w:r>
      <w:r>
        <w:t xml:space="preserve"> A blowout </w:t>
      </w:r>
      <w:r>
        <w:rPr>
          <w:b/>
        </w:rPr>
        <w:t>+35% EPS / +80% revenue</w:t>
      </w:r>
      <w:r>
        <w:t xml:space="preserve"> print earlier this quarter is not protecting the stock from a Consumer Durables sector that's lost its leadership. Bear-market discretionary weakness reading through.</w:t>
      </w:r>
    </w:p>
    <w:p>
      <w:pPr>
        <w:pStyle w:val="Heading2"/>
      </w:pPr>
      <w:r>
        <w:t>5. Technical Signals This Week</w:t>
      </w:r>
    </w:p>
    <w:p>
      <w:r>
        <w:t xml:space="preserve">Total unique stocks firing across all indicators: </w:t>
      </w:r>
      <w:r>
        <w:rPr>
          <w:b/>
        </w:rPr>
        <w:t>136</w:t>
      </w:r>
      <w:r>
        <w:t xml:space="preserve"> — up from prior week, suggesting </w:t>
      </w:r>
      <w:r>
        <w:rPr>
          <w:b/>
        </w:rPr>
        <w:t>the rally is broadening, not narrowing</w:t>
      </w:r>
      <w:r>
        <w:t>.</w:t>
      </w:r>
    </w:p>
    <w:p>
      <w:pPr>
        <w:pStyle w:val="ListBullet"/>
      </w:pPr>
      <w:r>
        <w:rPr>
          <w:b/>
        </w:rPr>
        <w:t>Blue Zone Buy (the dashboard's institutional-accumulation watchlist — stocks with rising relative-strength momentum, trading above their 20-day EMA, and within 10% of a 52-week high): 62 unique stocks, up from 54 (+8)</w:t>
      </w:r>
      <w:r>
        <w:t>, with 27 fresh entries. Examples: AEGISLOG, WABAG, SYRMA, RRKABEL, CAPLIPOINT. This is the cleanest "breadth is improving" signal in the data.</w:t>
      </w:r>
    </w:p>
    <w:p>
      <w:pPr>
        <w:pStyle w:val="ListBullet"/>
      </w:pPr>
      <w:r>
        <w:rPr>
          <w:b/>
        </w:rPr>
        <w:t>MACD Buy (momentum oscillator flipping from negative to positive — a trend-change signal): 40 stocks, up 1 WoW.</w:t>
      </w:r>
      <w:r>
        <w:t xml:space="preserve"> Examples: RRKABEL, GRINDWELL, KIRLOSENG, HFCL.</w:t>
      </w:r>
    </w:p>
    <w:p>
      <w:pPr>
        <w:pStyle w:val="ListBullet"/>
      </w:pPr>
      <w:r>
        <w:rPr>
          <w:b/>
        </w:rPr>
        <w:t>Narrow CPR Breakaway (Central Pivot Range setup — a tight intraday volatility compression that often precedes a directional move): 37 stocks, up from 31 (+6)</w:t>
      </w:r>
      <w:r>
        <w:t xml:space="preserve"> — including bellwethers like INDHOTEL, BOSCHLTD, LICI, PRESTIGE, ADANIPORTS.</w:t>
      </w:r>
    </w:p>
    <w:p>
      <w:pPr>
        <w:pStyle w:val="ListBullet"/>
      </w:pPr>
      <w:r>
        <w:rPr>
          <w:b/>
        </w:rPr>
        <w:t>MACD Strong (deeper, more sustained MACD momentum): 13 stocks, sharply down from 29 (-16).</w:t>
      </w:r>
      <w:r>
        <w:t xml:space="preserve"> This is the most important divergence in the signal table — momentum has cooled even as fresh entries pick up. Translation: lots of new participants, fewer dominant trends.</w:t>
      </w:r>
    </w:p>
    <w:p>
      <w:pPr>
        <w:pStyle w:val="ListBullet"/>
      </w:pPr>
      <w:r>
        <w:rPr>
          <w:b/>
        </w:rPr>
        <w:t>VCP Buy (Volatility Contraction Pattern — Mark Minervini's "tightening price range before breakout" setup): 13 stocks, up from 9.</w:t>
      </w:r>
      <w:r>
        <w:t xml:space="preserve"> FEDERALBNK, BANKBARODA, MAHABANK — note the PSU-bank cluster.</w:t>
      </w:r>
    </w:p>
    <w:p>
      <w:pPr>
        <w:pStyle w:val="ListBullet"/>
      </w:pPr>
      <w:r>
        <w:rPr>
          <w:b/>
        </w:rPr>
        <w:t>Golden Cross Buy (20-day EMA crossing above 50-day EMA — medium-term bullish trend signal): 10 stocks, up from 5 (+5).</w:t>
      </w:r>
      <w:r>
        <w:t xml:space="preserve"> CHOLAFIN, MGL, SUNDRMFAST.</w:t>
      </w:r>
    </w:p>
    <w:p>
      <w:pPr>
        <w:pStyle w:val="ListBullet"/>
      </w:pPr>
      <w:r>
        <w:rPr>
          <w:b/>
        </w:rPr>
        <w:t>Blue Zone Strong: 5 stocks</w:t>
      </w:r>
      <w:r>
        <w:t xml:space="preserve"> (the highest-conviction sub-set of Blue Zone) — WABAG, SYRMA, CAPLIPOINT, GRINDWELL.</w:t>
      </w:r>
    </w:p>
    <w:p>
      <w:pPr>
        <w:pStyle w:val="ListBullet"/>
      </w:pPr>
      <w:r>
        <w:rPr>
          <w:b/>
        </w:rPr>
        <w:t>Bull Flag Buy (sharp rally → orderly consolidation → breakout): 1 stock (SOTL), down from 6</w:t>
      </w:r>
      <w:r>
        <w:t xml:space="preserve"> — breakout pattern completions have dried up.</w:t>
      </w:r>
    </w:p>
    <w:p>
      <w:pPr>
        <w:pStyle w:val="ListBullet"/>
      </w:pPr>
      <w:r>
        <w:rPr>
          <w:b/>
        </w:rPr>
        <w:t>Darvas Box, Pullback Bounce, Golden Cross Strong: 1 each.</w:t>
      </w:r>
    </w:p>
    <w:p>
      <w:r>
        <w:rPr>
          <w:b/>
        </w:rPr>
        <w:t>Multi-signal stocks (2+ different indicator types — higher conviction setups):</w:t>
      </w:r>
    </w:p>
    <w:p>
      <w:pPr>
        <w:pStyle w:val="ListBullet"/>
      </w:pPr>
      <w:r>
        <w:rPr>
          <w:b/>
        </w:rPr>
        <w:t>AIAENG, GRINDWELL, KIRLOSENG, RADICO, RRKABEL, STARHEALTH, KPRMILL, YESBANK, CARBORUNIV</w:t>
      </w:r>
      <w:r>
        <w:t xml:space="preserve"> — all firing 3 signals (Blue Zone + MACD combinations).</w:t>
      </w:r>
    </w:p>
    <w:p>
      <w:pPr>
        <w:pStyle w:val="ListBullet"/>
      </w:pPr>
      <w:r>
        <w:rPr>
          <w:b/>
        </w:rPr>
        <w:t>INDHOTEL</w:t>
      </w:r>
      <w:r>
        <w:t xml:space="preserve"> — Blue Zone + Narrow CPR, a hotel rotation play.</w:t>
      </w:r>
    </w:p>
    <w:p>
      <w:r>
        <w:t xml:space="preserve">The mix tells us: </w:t>
      </w:r>
      <w:r>
        <w:rPr>
          <w:b/>
        </w:rPr>
        <w:t>broadening (Blue Zone, Golden Cross, VCP all expanding) but momentum thinning (MACD Strong contracting, Bull Flag drying up)</w:t>
      </w:r>
      <w:r>
        <w:t>. New names are joining, but the leadership stocks aren't accelerating. That's an early-rotation tape, not a runaway one.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RELAXO 28.4x volume</w:t>
      </w:r>
      <w:r>
        <w:t xml:space="preserve"> — extraordinary turnover for a footwear name ranked #34 in RS. No earnings catalyst in the recent-declared list, so this is likely positioning/news flow.</w:t>
      </w:r>
    </w:p>
    <w:p>
      <w:pPr>
        <w:pStyle w:val="ListBullet"/>
      </w:pPr>
      <w:r>
        <w:rPr>
          <w:b/>
        </w:rPr>
        <w:t>MSUMI 21.8x volume</w:t>
      </w:r>
      <w:r>
        <w:t xml:space="preserve"> — Motherson Sumi Wiring exploding on auto-rotation read-through; the entire auto-components complex flipped to Leading this week.</w:t>
      </w:r>
    </w:p>
    <w:p>
      <w:pPr>
        <w:pStyle w:val="ListBullet"/>
      </w:pPr>
      <w:r>
        <w:rPr>
          <w:b/>
        </w:rPr>
        <w:t>REPCOHOME 21.2x, AADHARHFC 5.4x, VLSFINANCE 7.0x</w:t>
      </w:r>
      <w:r>
        <w:t xml:space="preserve"> — housing finance / NBFC volume cluster the same week RBI floats the co-lending framework and FCNR(B) lending rules. Not a coincidence.</w:t>
      </w:r>
    </w:p>
    <w:p>
      <w:pPr>
        <w:pStyle w:val="ListBullet"/>
      </w:pPr>
      <w:r>
        <w:rPr>
          <w:b/>
        </w:rPr>
        <w:t>INDIGO 4.5x volume, ranked #8 in RS</w:t>
      </w:r>
      <w:r>
        <w:t xml:space="preserve"> — single-day breakout aligned with Aviation's +8.7% sector move. The textbook crude-easing trade.</w:t>
      </w:r>
    </w:p>
    <w:p>
      <w:pPr>
        <w:pStyle w:val="ListBullet"/>
      </w:pPr>
      <w:r>
        <w:rPr>
          <w:b/>
        </w:rPr>
        <w:t>EMCURE 4.3x</w:t>
      </w:r>
      <w:r>
        <w:t xml:space="preserve"> — healthcare diagnostics/pharma showing fresh institutional interest as the sector posted +1.6% for the week.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 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13.05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74.23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-7.6%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101.37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+0.42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4,031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-3.1%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56.60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-11.7%</w:t>
            </w:r>
          </w:p>
        </w:tc>
      </w:tr>
    </w:tbl>
    <w:p/>
    <w:p>
      <w:r>
        <w:t xml:space="preserve">Crude was the macro story of the week — </w:t>
      </w:r>
      <w:r>
        <w:rPr>
          <w:b/>
        </w:rPr>
        <w:t>Brent below USD 80 on US-Iran diplomatic easing</w:t>
      </w:r>
      <w:r>
        <w:t xml:space="preserve"> and Hormuz de-escalation. That single move unlocked the aviation/auto rotation. VIX at 13.05 says the options market sees no near-term shock — but VIX this low is usually a contrary indicator over multi-week horizons.</w:t>
      </w:r>
    </w:p>
    <w:p>
      <w:r>
        <w:rPr>
          <w:b/>
        </w:rPr>
        <w:t>Domestic policy was unusually active:</w:t>
      </w:r>
    </w:p>
    <w:p>
      <w:pPr>
        <w:pStyle w:val="ListBullet"/>
      </w:pPr>
      <w:r>
        <w:rPr>
          <w:b/>
        </w:rPr>
        <w:t>RBI permitted domestic banks to extend loans against FCNR(B) NRI deposits</w:t>
      </w:r>
      <w:r>
        <w:t>, with NRI deposit rates sweetened to ~7%. Two-stage positive for Banking: better dollar funding access AND a fresh credit channel.</w:t>
      </w:r>
    </w:p>
    <w:p>
      <w:pPr>
        <w:pStyle w:val="ListBullet"/>
      </w:pPr>
      <w:r>
        <w:rPr>
          <w:b/>
        </w:rPr>
        <w:t>MPC member hinted FY26 growth may be revised above 7%</w:t>
      </w:r>
      <w:r>
        <w:t xml:space="preserve"> — bullish for broad equities if it lands in the next policy.</w:t>
      </w:r>
    </w:p>
    <w:p>
      <w:pPr>
        <w:pStyle w:val="ListBullet"/>
      </w:pPr>
      <w:r>
        <w:rPr>
          <w:b/>
        </w:rPr>
        <w:t>RBI's draft AI governance rules</w:t>
      </w:r>
      <w:r>
        <w:t xml:space="preserve"> put liability for AI models on banks/NBFCs, with mandatory human oversight and "kill switch" provisions — mixed for fintech-adjacent NBFCs.</w:t>
      </w:r>
    </w:p>
    <w:p>
      <w:pPr>
        <w:pStyle w:val="ListBullet"/>
      </w:pPr>
      <w:r>
        <w:rPr>
          <w:b/>
        </w:rPr>
        <w:t>RBI scam-compensation pilot (up to ₹25,000 reimbursement)</w:t>
      </w:r>
      <w:r>
        <w:t xml:space="preserve"> is small-ticket but consumer-trust positive for retail banking.</w:t>
      </w:r>
    </w:p>
    <w:p>
      <w:pPr>
        <w:pStyle w:val="ListBullet"/>
      </w:pPr>
      <w:r>
        <w:rPr>
          <w:b/>
        </w:rPr>
        <w:t>RBI bulletin flagged adverse monsoon risk</w:t>
      </w:r>
      <w:r>
        <w:t xml:space="preserve"> — a quiet warning for rural-consumption and agri-input names that hasn't been priced yet.</w:t>
      </w:r>
    </w:p>
    <w:p>
      <w:pPr>
        <w:pStyle w:val="ListBullet"/>
      </w:pPr>
      <w:r>
        <w:rPr>
          <w:b/>
        </w:rPr>
        <w:t>India-US trade deal nearing July 24 deadline</w:t>
      </w:r>
      <w:r>
        <w:t xml:space="preserve"> — India pushing for preferential market access, which would benefit textiles, pharma, auto exports.</w:t>
      </w:r>
    </w:p>
    <w:p>
      <w:pPr>
        <w:pStyle w:val="Heading2"/>
      </w:pPr>
      <w:r>
        <w:t>8. What to Watch Next Week</w:t>
      </w:r>
    </w:p>
    <w:p>
      <w:pPr>
        <w:pStyle w:val="ListNumber"/>
      </w:pPr>
      <w:r>
        <w:rPr>
          <w:b/>
        </w:rPr>
        <w:t>Nifty levels:</w:t>
      </w:r>
      <w:r>
        <w:t xml:space="preserve"> the 24,000 round number is now near-term support; </w:t>
      </w:r>
      <w:r>
        <w:rPr>
          <w:b/>
        </w:rPr>
        <w:t>23,795 (Tuesday's low)</w:t>
      </w:r>
      <w:r>
        <w:t xml:space="preserve"> is the line in the sand. Overhead, the </w:t>
      </w:r>
      <w:r>
        <w:rPr>
          <w:b/>
        </w:rPr>
        <w:t>200-day EMA at 24,455</w:t>
      </w:r>
      <w:r>
        <w:t xml:space="preserve"> is the key resistance — a clean weekly close above that flips the long-term trend.</w:t>
      </w:r>
    </w:p>
    <w:p>
      <w:pPr>
        <w:pStyle w:val="ListNumber"/>
      </w:pPr>
      <w:r>
        <w:rPr>
          <w:b/>
        </w:rPr>
        <w:t>US trade deal July 24 deadline</w:t>
      </w:r>
      <w:r>
        <w:t xml:space="preserve"> — textiles, pharma, auto-components are the most tariff-sensitive groups; any leak on terms will move them sharply.</w:t>
      </w:r>
    </w:p>
    <w:p>
      <w:pPr>
        <w:pStyle w:val="ListNumber"/>
      </w:pPr>
      <w:r>
        <w:rPr>
          <w:b/>
        </w:rPr>
        <w:t>Auto-rotation follow-through</w:t>
      </w:r>
      <w:r>
        <w:t xml:space="preserve"> — watch whether second-tier auto-components names (beyond MSUMI) start clustering on volume; that's the confirmation a sector leadership shift needs.</w:t>
      </w:r>
    </w:p>
    <w:p>
      <w:pPr>
        <w:pStyle w:val="ListNumber"/>
      </w:pPr>
      <w:r>
        <w:rPr>
          <w:b/>
        </w:rPr>
        <w:t>Crude direction</w:t>
      </w:r>
      <w:r>
        <w:t xml:space="preserve"> — Brent at USD 74 has done the heavy lifting. If it stabilises or reverses, the aviation/auto rally needs a new catalyst.</w:t>
      </w:r>
    </w:p>
    <w:p>
      <w:pPr>
        <w:pStyle w:val="ListNumber"/>
      </w:pPr>
      <w:r>
        <w:rPr>
          <w:b/>
        </w:rPr>
        <w:t>Monsoon updates</w:t>
      </w:r>
      <w:r>
        <w:t xml:space="preserve"> — RBI flagged it, but markets haven't reacted. Any IMD revision becomes market-moving for FMCG, agri-inputs and rural-discretionary.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rotation is real but unconfirmed.</w:t>
      </w:r>
      <w:r>
        <w:t xml:space="preserve"> Ten sectors flipped to better quadrants, Blue Zone expanded to 62 stocks, and Aviation/Textiles/Auto Components are leading on identifiable catalysts (crude, trade deal). But Nifty is still below its 200-day EMA, MACD Strong contracted from 29 to 13, and new 52-week lows still outnumber new highs. Treat this as </w:t>
      </w:r>
      <w:r>
        <w:rPr>
          <w:b/>
        </w:rPr>
        <w:t>early rotation, not breakout</w:t>
      </w:r>
      <w:r>
        <w:t xml:space="preserve"> — confirmation requires Nifty over 24,455 with breadth above 55% over EMA200.</w:t>
      </w:r>
    </w:p>
    <w:p>
      <w:pPr>
        <w:pStyle w:val="ListNumber"/>
      </w:pPr>
      <w:r>
        <w:rPr>
          <w:b/>
        </w:rPr>
        <w:t>RBI policy is doing more for banks than earnings are.</w:t>
      </w:r>
      <w:r>
        <w:t xml:space="preserve"> Banking's median +9.9% EPS is the weakest in the table, yet PSU banks (FEDERALBNK, BANKBARODA, MAHABANK) are clustering in VCP setups and SBIN held green on a -3% print. The catalyst is the FCNR(B) rule + 7% growth signal, not the P&amp;L — worth watching, but a thinner foundation than earnings-led leadership.</w:t>
      </w:r>
    </w:p>
    <w:p>
      <w:pPr>
        <w:pStyle w:val="ListNumber"/>
      </w:pPr>
      <w:r>
        <w:rPr>
          <w:b/>
        </w:rPr>
        <w:t>The IT disconnect is worth respecting.</w:t>
      </w:r>
      <w:r>
        <w:t xml:space="preserve"> TCS and Infosys posted strong prints (+12%, +24% EPS) and got sold (-4.9%, -7.7% over 5 days). That's the market saying it doesn't trust the forward story — trade-deal uncertainty, US demand questions. Until US-India trade clarity lands, IT remains a sector to observe rather than 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