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2026-06-13</w:t>
      </w:r>
    </w:p>
    <w:p>
      <w:pPr>
        <w:pStyle w:val="Heading2"/>
      </w:pPr>
      <w:r>
        <w:t>1. What Happened This Week</w:t>
      </w:r>
    </w:p>
    <w:p>
      <w:r>
        <w:t xml:space="preserve">Nifty 50 closed the week at </w:t>
      </w:r>
      <w:r>
        <w:rPr>
          <w:b/>
        </w:rPr>
        <w:t>23,633.00</w:t>
      </w:r>
      <w:r>
        <w:t xml:space="preserve">, up </w:t>
      </w:r>
      <w:r>
        <w:rPr>
          <w:b/>
        </w:rPr>
        <w:t>+1.1%</w:t>
      </w:r>
      <w:r>
        <w:t xml:space="preserve"> from the prior Sunday's 23,368.25 — but the headline number masks a wildly choppy five sessions that ended in Friday's vertical rip (Adv/Dec of </w:t>
      </w:r>
      <w:r>
        <w:rPr>
          <w:b/>
        </w:rPr>
        <w:t>536/49</w:t>
      </w:r>
      <w:r>
        <w:t xml:space="preserve">, the cleanest one-day breadth print in weeks). The dominant cause was a </w:t>
      </w:r>
      <w:r>
        <w:rPr>
          <w:b/>
        </w:rPr>
        <w:t>one-two policy punch</w:t>
      </w:r>
      <w:r>
        <w:t xml:space="preserve">: the US-Iran de-escalation that knocked </w:t>
      </w:r>
      <w:r>
        <w:rPr>
          <w:b/>
        </w:rPr>
        <w:t>Brent down 7.6% to $88.28</w:t>
      </w:r>
      <w:r>
        <w:t xml:space="preserve">, and the RBI's surprise package of </w:t>
      </w:r>
      <w:r>
        <w:rPr>
          <w:b/>
        </w:rPr>
        <w:t>concessional forex swaps plus 7% FCNR(B) NRI deposit rates</w:t>
      </w:r>
      <w:r>
        <w:t xml:space="preserve"> targeting $20-30 billion of fresh inflows. Layer in </w:t>
      </w:r>
      <w:r>
        <w:rPr>
          <w:b/>
        </w:rPr>
        <w:t>March retail inflation hitting a 10-month low</w:t>
      </w:r>
      <w:r>
        <w:t xml:space="preserve"> (keeping rate-cut hopes alive) and a </w:t>
      </w:r>
      <w:r>
        <w:rPr>
          <w:b/>
        </w:rPr>
        <w:t>new bilateral preferential-tariff deal with the US</w:t>
      </w:r>
      <w:r>
        <w:t>, and you have a textbook risk-on Friday. The catch: the rally is narrow at the top, with IT and Metals still bleeding.</w:t>
      </w:r>
    </w:p>
    <w:p>
      <w:pPr>
        <w:pStyle w:val="Heading2"/>
      </w:pPr>
      <w:r>
        <w:t>2. The Trend Picture</w:t>
      </w:r>
    </w:p>
    <w:p>
      <w:r>
        <w:t xml:space="preserve">Nifty is in a </w:t>
      </w:r>
      <w:r>
        <w:rPr>
          <w:b/>
        </w:rPr>
        <w:t>mixed trend</w:t>
      </w:r>
      <w:r>
        <w:t xml:space="preserve"> — above its EMA 20 (Exponential Moving Average — a smoothed average of recent closes used as trend reference) at </w:t>
      </w:r>
      <w:r>
        <w:rPr>
          <w:b/>
        </w:rPr>
        <w:t>23,490</w:t>
      </w:r>
      <w:r>
        <w:t xml:space="preserve"> by +0.6%, but BELOW both its EMA 50 (23,733, -0.4%) and EMA 200 (24,454, -3.4%). Translation: short-term momentum is recovering, but the medium- and long-term trends remain broken until Nifty reclaims that 50-day.</w:t>
      </w:r>
    </w:p>
    <w:p>
      <w:r>
        <w:t xml:space="preserve">Breadth confirms the fragility. Only </w:t>
      </w:r>
      <w:r>
        <w:rPr>
          <w:b/>
        </w:rPr>
        <w:t>45%</w:t>
      </w:r>
      <w:r>
        <w:t xml:space="preserve"> of stocks sit above their 200-day EMA as of Friday — better than Monday's 39% but still below 50%. Fresh 52-week lows clocked </w:t>
      </w:r>
      <w:r>
        <w:rPr>
          <w:b/>
        </w:rPr>
        <w:t>29 on Thursday</w:t>
      </w:r>
      <w:r>
        <w:t xml:space="preserve"> versus just </w:t>
      </w:r>
      <w:r>
        <w:rPr>
          <w:b/>
        </w:rPr>
        <w:t>1 fresh high all week</w:t>
      </w:r>
      <w:r>
        <w:t>, which tells you the rally is being driven by a recovery in beaten-down names rather than new leadership. Friday's A/D split of 536/49 was a stealth-strength day after four sessions of brutal internals (Monday: 70/516, Wednesday: 129/457, Thursday: 128/457). The rotation is happening in real time — and it pivoted on Friday.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performers (5-day median):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5D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+5.0%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BANKING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+3.0%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FMCG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+1.5%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HEALTHCARE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+1.0%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CONSUMER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+0.5%</w:t>
            </w:r>
          </w:p>
        </w:tc>
      </w:tr>
    </w:tbl>
    <w:p/>
    <w:p>
      <w:r>
        <w:rPr>
          <w:b/>
        </w:rPr>
        <w:t>Bottom performers: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5D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ETF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-4.9%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MEDIA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-3.4%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-3.3%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METALS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-2.3%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TEXTILES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-1.8%</w:t>
            </w:r>
          </w:p>
        </w:tc>
      </w:tr>
    </w:tbl>
    <w:p/>
    <w:p>
      <w:r>
        <w:t xml:space="preserve">The causal chain is unusually clean. </w:t>
      </w:r>
      <w:r>
        <w:rPr>
          <w:b/>
        </w:rPr>
        <w:t>Aviation +5.0%</w:t>
      </w:r>
      <w:r>
        <w:t xml:space="preserve"> is the direct read on Brent crashing 7.6% — jet fuel is the single biggest variable cost for airlines. </w:t>
      </w:r>
      <w:r>
        <w:rPr>
          <w:b/>
        </w:rPr>
        <w:t>Banking +3.0%</w:t>
      </w:r>
      <w:r>
        <w:t xml:space="preserve"> is the RBI inflows package: cheaper dollar deposits, $3bn of debt-market inflows already booked per Business Standard, and a low-inflation print that keeps rate-cut optionality alive. </w:t>
      </w:r>
      <w:r>
        <w:rPr>
          <w:b/>
        </w:rPr>
        <w:t>FMCG +1.5%</w:t>
      </w:r>
      <w:r>
        <w:t xml:space="preserve"> flipped from Lagging to Improving on the RRG (Relative Rotation Graph — a 2D map showing each sector's momentum and relative strength vs the benchmark) with the strongest momentum delta of any sector (+0.55).</w:t>
      </w:r>
    </w:p>
    <w:p>
      <w:r>
        <w:rPr>
          <w:b/>
        </w:rPr>
        <w:t>The ETF -4.9% drop is the story to read carefully.</w:t>
      </w:r>
      <w:r>
        <w:t xml:space="preserve"> Global gold fell 6.2% and silver 8.1% in USD this week, so Indian gold/silver ETFs naturally followed. But here's the </w:t>
      </w:r>
      <w:r>
        <w:rPr>
          <w:b/>
        </w:rPr>
        <w:t>divergence tell</w:t>
      </w:r>
      <w:r>
        <w:t>: the 15% gold import-duty hike from prior weeks is still actively distorting the domestic market (smuggling revival, refiner squeeze, per Reuters), so the price-discovery linkage between global gold and Indian ETFs is unusually noisy right now. GOLDBEES was a top rank-decliner (slope +32.8).</w:t>
      </w:r>
    </w:p>
    <w:p>
      <w:r>
        <w:rPr>
          <w:b/>
        </w:rPr>
        <w:t>IT -3.3% and Metals -2.3%</w:t>
      </w:r>
      <w:r>
        <w:t xml:space="preserve"> both flipped from Leading/Weakening to Lagging — IT got hit by the rupee suddenly strengthening (RBI inflows = rupee bullish = IT earnings headwind), while Metals reacted to the </w:t>
      </w:r>
      <w:r>
        <w:rPr>
          <w:b/>
        </w:rPr>
        <w:t>manganese ore customs duty removal</w:t>
      </w:r>
      <w:r>
        <w:t xml:space="preserve"> (a margin-cap signal) even though the news read as bullish on first glance. </w:t>
      </w:r>
      <w:r>
        <w:rPr>
          <w:b/>
        </w:rPr>
        <w:t>Auto Components flipped Leading → Weakening</w:t>
      </w:r>
      <w:r>
        <w:t xml:space="preserve"> and </w:t>
      </w:r>
      <w:r>
        <w:rPr>
          <w:b/>
        </w:rPr>
        <w:t>Automobile Leading → Lagging</w:t>
      </w:r>
      <w:r>
        <w:t xml:space="preserve"> — surprising given the US bilateral preferential tariff news, suggesting traders are still waiting for specifics.</w:t>
      </w:r>
    </w:p>
    <w:p>
      <w:pPr>
        <w:pStyle w:val="Heading2"/>
      </w:pPr>
      <w:r>
        <w:t>4. Earnings Pulse</w:t>
      </w:r>
    </w:p>
    <w:p>
      <w:r>
        <w:t xml:space="preserve">This is the </w:t>
      </w:r>
      <w:r>
        <w:rPr>
          <w:b/>
        </w:rPr>
        <w:t>Mar 2026 quarter</w:t>
      </w:r>
      <w:r>
        <w:t xml:space="preserve">. </w:t>
      </w:r>
      <w:r>
        <w:rPr>
          <w:b/>
        </w:rPr>
        <w:t>504 stocks have reported; 29 haven't yet</w:t>
      </w:r>
      <w:r>
        <w:t xml:space="preserve"> (filtered out to avoid distortion). The aggregate is healthy: </w:t>
      </w:r>
      <w:r>
        <w:rPr>
          <w:b/>
        </w:rPr>
        <w:t>17 of 18 sectors show positive median EPS YoY</w:t>
      </w:r>
      <w:r>
        <w:t>, with only Defence (+4.5%) and Banking (+9.9%) in single digits.</w:t>
      </w:r>
    </w:p>
    <w:p>
      <w:r>
        <w:rPr>
          <w:b/>
        </w:rPr>
        <w:t>Sector aggregate winners</w:t>
      </w:r>
      <w:r>
        <w:t>: Agriculture (+48.1%), Telecom (+43.0%), and Metals (+42.7%) lead. Banking's weak +9.9% median is misleading — large private banks did fine, but the long tail dragged the median. FMCG's +17.2% median quietly supports the sector's RRG flip into Improving.</w:t>
      </w:r>
    </w:p>
    <w:p>
      <w:r>
        <w:rPr>
          <w:b/>
        </w:rPr>
        <w:t>Extremes (colour only)</w:t>
      </w:r>
      <w:r>
        <w:t xml:space="preserve">: JSWSTEEL +988% EPS YoY headlines the beat list, but that's largely a base effect on commodity pricing. The miss list is dominated by </w:t>
      </w:r>
      <w:r>
        <w:rPr>
          <w:b/>
        </w:rPr>
        <w:t>Consumer Services</w:t>
      </w:r>
      <w:r>
        <w:t xml:space="preserve"> — SHOPERSTOP (-922%), ABFRL (-771%), SAPPHIRE (-750%) — which paints a far gloomier picture for organised retail than the sector's positive 5-day return suggests.</w:t>
      </w:r>
    </w:p>
    <w:p>
      <w:r>
        <w:rPr>
          <w:b/>
        </w:rPr>
        <w:t>Bellwether read — staleness caveat upfront</w:t>
      </w:r>
      <w:r>
        <w:t xml:space="preserve">: the "Recent Earnings Declared" list is </w:t>
      </w:r>
      <w:r>
        <w:rPr>
          <w:b/>
        </w:rPr>
        <w:t>empty</w:t>
      </w:r>
      <w:r>
        <w:t xml:space="preserve"> for the last 10 days. That means every bellwether print below was filed weeks ago; this week's price action is </w:t>
      </w:r>
      <w:r>
        <w:rPr>
          <w:b/>
        </w:rPr>
        <w:t>rotation, not a fresh earnings catalyst</w:t>
      </w:r>
      <w:r>
        <w:t>. Read them separately.</w:t>
      </w:r>
    </w:p>
    <w:p>
      <w:pPr>
        <w:pStyle w:val="ListBullet"/>
      </w:pPr>
      <w:r>
        <w:rPr>
          <w:b/>
        </w:rPr>
        <w:t>HDFCBANK</w:t>
      </w:r>
      <w:r>
        <w:t xml:space="preserve"> (+7% EPS, +3.4% on the week, +3.7% Friday): the cleanest story. EPS print is OK, but the move is pure RBI-trade — bank balance sheets benefit directly from FCNR(B) inflows. </w:t>
      </w:r>
      <w:r>
        <w:rPr>
          <w:b/>
        </w:rPr>
        <w:t>Read-through</w:t>
      </w:r>
      <w:r>
        <w:t>: positive for the full private bank complex.</w:t>
      </w:r>
    </w:p>
    <w:p>
      <w:pPr>
        <w:pStyle w:val="ListBullet"/>
      </w:pPr>
      <w:r>
        <w:rPr>
          <w:b/>
        </w:rPr>
        <w:t>ICICIBANK</w:t>
      </w:r>
      <w:r>
        <w:t xml:space="preserve"> (+9% EPS, </w:t>
      </w:r>
      <w:r>
        <w:rPr>
          <w:b/>
        </w:rPr>
        <w:t>+6.2% on the week</w:t>
      </w:r>
      <w:r>
        <w:t>): biggest move among the mega-caps. Already a strong franchise, and this week's outperformance signals institutions are concentrating into best-in-class private banks rather than spraying across the sector. ICICIBANK was also a top rank-surger.</w:t>
      </w:r>
    </w:p>
    <w:p>
      <w:pPr>
        <w:pStyle w:val="ListBullet"/>
      </w:pPr>
      <w:r>
        <w:rPr>
          <w:b/>
        </w:rPr>
        <w:t>KOTAKBANK / AXISBANK</w:t>
      </w:r>
      <w:r>
        <w:t xml:space="preserve"> (+6.8% and +6.6% 5-day): same trade. The whole private banking quadrant is being re-rated on the inflows package.</w:t>
      </w:r>
    </w:p>
    <w:p>
      <w:pPr>
        <w:pStyle w:val="ListBullet"/>
      </w:pPr>
      <w:r>
        <w:rPr>
          <w:b/>
        </w:rPr>
        <w:t>ONGC</w:t>
      </w:r>
      <w:r>
        <w:t xml:space="preserve"> (+46% EPS YoY, but </w:t>
      </w:r>
      <w:r>
        <w:rPr>
          <w:b/>
        </w:rPr>
        <w:t>-7.0% on the week</w:t>
      </w:r>
      <w:r>
        <w:t xml:space="preserve">): the disconnect of the week. Old print was great; this week's drop is the direct Brent reaction — falling crude crushes upstream realisations. </w:t>
      </w:r>
      <w:r>
        <w:rPr>
          <w:b/>
        </w:rPr>
        <w:t>Read-through</w:t>
      </w:r>
      <w:r>
        <w:t>: bearish for OIL (which led the rank decliners with slope +36.2) and the upstream E&amp;P complex.</w:t>
      </w:r>
    </w:p>
    <w:p>
      <w:pPr>
        <w:pStyle w:val="ListBullet"/>
      </w:pPr>
      <w:r>
        <w:rPr>
          <w:b/>
        </w:rPr>
        <w:t>TITAN</w:t>
      </w:r>
      <w:r>
        <w:t xml:space="preserve"> (+35% EPS, </w:t>
      </w:r>
      <w:r>
        <w:rPr>
          <w:b/>
        </w:rPr>
        <w:t>-1.8% on the week</w:t>
      </w:r>
      <w:r>
        <w:t>): print was old and excellent; this week's softness sits with the broader gold-ETF distortion and possibly profit-booking in jewellery names ahead of further duty-policy uncertainty.</w:t>
      </w:r>
    </w:p>
    <w:p>
      <w:pPr>
        <w:pStyle w:val="Heading2"/>
      </w:pPr>
      <w:r>
        <w:t>5. Technical Signals This Week</w:t>
      </w:r>
    </w:p>
    <w:p>
      <w:r>
        <w:t xml:space="preserve">A total of </w:t>
      </w:r>
      <w:r>
        <w:rPr>
          <w:b/>
        </w:rPr>
        <w:t>105 unique stocks</w:t>
      </w:r>
      <w:r>
        <w:t xml:space="preserve"> triggered signals this week. The mix tells a specific story: </w:t>
      </w:r>
      <w:r>
        <w:rPr>
          <w:b/>
        </w:rPr>
        <w:t>Blue Zone is expanding while momentum-oscillator signals are contracting</w:t>
      </w:r>
      <w:r>
        <w:t>.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 — strong RSI, price above 20-EMA, near 52-week high): </w:t>
      </w:r>
      <w:r>
        <w:rPr>
          <w:b/>
        </w:rPr>
        <w:t>49 unique stocks vs 41 prior week (+8)</w:t>
      </w:r>
      <w:r>
        <w:t>. Sixteen are fresh entries. Examples: CAPLIPOINT, IDEA, SOTL, SHILPAMED, SYRMA. This is the only signal expanding — the accumulation pipeline is widening.</w:t>
      </w:r>
    </w:p>
    <w:p>
      <w:pPr>
        <w:pStyle w:val="ListBullet"/>
      </w:pPr>
      <w:r>
        <w:rPr>
          <w:b/>
        </w:rPr>
        <w:t>MACD Buy</w:t>
      </w:r>
      <w:r>
        <w:t xml:space="preserve"> (Moving Average Convergence Divergence — momentum oscillator turning positive, a trend-change signal): </w:t>
      </w:r>
      <w:r>
        <w:rPr>
          <w:b/>
        </w:rPr>
        <w:t>26 vs 50 (-24)</w:t>
      </w:r>
      <w:r>
        <w:t>. A sharp contraction. Examples: CAPLIPOINT, BALAMINES, RRKABEL, DEEPAKFERT.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— a tight-pivot setup that often precedes a breakout): </w:t>
      </w:r>
      <w:r>
        <w:rPr>
          <w:b/>
        </w:rPr>
        <w:t>26 vs 51 (-25)</w:t>
      </w:r>
      <w:r>
        <w:t>. Also contracting hard. Examples: FORTIS, FIEMIND, VSTIND, MARICO, INDGN. Notice the FMCG presence (MARICO, VSTIND) — consistent with the sector's RRG flip into Improving.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17 vs 28 (-11)</w:t>
      </w:r>
      <w:r>
        <w:t>. Examples: LAURUSLABS, CAPLIPOINT, RRKABEL.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setup where price range tightens before a breakout): </w:t>
      </w:r>
      <w:r>
        <w:rPr>
          <w:b/>
        </w:rPr>
        <w:t>6 vs 7 (-1)</w:t>
      </w:r>
      <w:r>
        <w:t>. POLYCAB, FEDERALBNK, BANDHANBNK.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range): </w:t>
      </w:r>
      <w:r>
        <w:rPr>
          <w:b/>
        </w:rPr>
        <w:t>4 vs 5 (-1)</w:t>
      </w:r>
      <w:r>
        <w:t>. HONASA, BALAMINES, GLAND, ASIANENE.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medium-term bullish): </w:t>
      </w:r>
      <w:r>
        <w:rPr>
          <w:b/>
        </w:rPr>
        <w:t>4 vs 4 (flat)</w:t>
      </w:r>
      <w:r>
        <w:t>. IDFCFIRSTB, INDOSTAR, CONCORDBIO, INDIGO. INDIGO firing here directly mirrors the aviation rally.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recovering): </w:t>
      </w:r>
      <w:r>
        <w:rPr>
          <w:b/>
        </w:rPr>
        <w:t>3 vs 4 (-1)</w:t>
      </w:r>
      <w:r>
        <w:t>. CRAFTSMAN, ANGELONE, NETWEB.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2 vs 5 (-3)</w:t>
      </w:r>
      <w:r>
        <w:t>. ADANIENT, HONASA.</w:t>
      </w:r>
    </w:p>
    <w:p>
      <w:pPr>
        <w:pStyle w:val="ListBullet"/>
      </w:pPr>
      <w:r>
        <w:rPr>
          <w:b/>
        </w:rPr>
        <w:t>Darvas Box</w:t>
      </w:r>
      <w:r>
        <w:t xml:space="preserve">: </w:t>
      </w:r>
      <w:r>
        <w:rPr>
          <w:b/>
        </w:rPr>
        <w:t>1 vs 0 (+1)</w:t>
      </w:r>
      <w:r>
        <w:t>. APOLLOHOSP — a fresh signal in healthcare, which sits at +1.0% for the week.</w:t>
      </w:r>
    </w:p>
    <w:p>
      <w:r>
        <w:rPr>
          <w:b/>
        </w:rPr>
        <w:t>Multi-signal stocks (cross-indicator confirmation)</w:t>
      </w:r>
      <w:r>
        <w:t xml:space="preserve">: eight stocks fired </w:t>
      </w:r>
      <w:r>
        <w:rPr>
          <w:b/>
        </w:rPr>
        <w:t>3 different signals</w:t>
      </w:r>
      <w:r>
        <w:t xml:space="preserve"> — </w:t>
      </w:r>
      <w:r>
        <w:rPr>
          <w:b/>
        </w:rPr>
        <w:t>BALAMINES, CAPLIPOINT, HONASA, HSCL, INOXINDIA, RRKABEL, SFL, SOTL</w:t>
      </w:r>
      <w:r>
        <w:t>. CAPLIPOINT and SOTL are the most interesting because both show up as fresh Blue Zone entries on top of their MACD cluster — that's the kind of cross-signal confirmation that historically suggests stronger follow-through. HONASA is the only stock firing both Blue Zone Strong and Bull Flag Buy.</w:t>
      </w:r>
    </w:p>
    <w:p>
      <w:r>
        <w:rPr>
          <w:b/>
        </w:rPr>
        <w:t>The signal mix tells us</w:t>
      </w:r>
      <w:r>
        <w:t xml:space="preserve">: the rally is </w:t>
      </w:r>
      <w:r>
        <w:rPr>
          <w:b/>
        </w:rPr>
        <w:t>rotating, not broadening</w:t>
      </w:r>
      <w:r>
        <w:t xml:space="preserve">. MACD and Narrow CPR contracting by half while Blue Zone expands means </w:t>
      </w:r>
      <w:r>
        <w:rPr>
          <w:b/>
        </w:rPr>
        <w:t>old momentum names are exhausting</w:t>
      </w:r>
      <w:r>
        <w:t xml:space="preserve"> while a </w:t>
      </w:r>
      <w:r>
        <w:rPr>
          <w:b/>
        </w:rPr>
        <w:t>new accumulation cohort</w:t>
      </w:r>
      <w:r>
        <w:t xml:space="preserve"> is being built. Watch the Blue Zone freshman class (CAPLIPOINT, IDEA, SOTL, SHILPAMED, SYRMA) for follow-through.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MMTC</w:t>
      </w:r>
      <w:r>
        <w:t xml:space="preserve"> rang up an </w:t>
      </w:r>
      <w:r>
        <w:rPr>
          <w:b/>
        </w:rPr>
        <w:t>18.2x volume spike</w:t>
      </w:r>
      <w:r>
        <w:t xml:space="preserve"> — a state-trading enterprise with gold/minerals exposure that connects directly to the customs-duty news flow. Worth watching to see if it's a one-day pop or trend.</w:t>
      </w:r>
    </w:p>
    <w:p>
      <w:pPr>
        <w:pStyle w:val="ListBullet"/>
      </w:pPr>
      <w:r>
        <w:rPr>
          <w:b/>
        </w:rPr>
        <w:t>AEGISLOG</w:t>
      </w:r>
      <w:r>
        <w:t xml:space="preserve"> at </w:t>
      </w:r>
      <w:r>
        <w:rPr>
          <w:b/>
        </w:rPr>
        <w:t>7.8x volume, RS rank #12</w:t>
      </w:r>
      <w:r>
        <w:t xml:space="preserve"> — Aegis Logistics is an LPG/oil terminal play; benefits from crude collapsing because storage and throughput economics improve when oil is cheap.</w:t>
      </w:r>
    </w:p>
    <w:p>
      <w:pPr>
        <w:pStyle w:val="ListBullet"/>
      </w:pPr>
      <w:r>
        <w:rPr>
          <w:b/>
        </w:rPr>
        <w:t>AAVAS FINANCIERS</w:t>
      </w:r>
      <w:r>
        <w:t xml:space="preserve"> appears on BOTH the rank-surge AND volume-breakout lists (5.9x volume) — a housing-finance NBFC catching the RBI-driven rate-cut hopes. Notable, given RBI just cancelled 135 NBFC licences in the same week — institutions are clearly distinguishing quality from junk.</w:t>
      </w:r>
    </w:p>
    <w:p>
      <w:pPr>
        <w:pStyle w:val="ListBullet"/>
      </w:pPr>
      <w:r>
        <w:rPr>
          <w:b/>
        </w:rPr>
        <w:t>INDOCO REMEDIES</w:t>
      </w:r>
      <w:r>
        <w:t xml:space="preserve"> (5.8x volume) and </w:t>
      </w:r>
      <w:r>
        <w:rPr>
          <w:b/>
        </w:rPr>
        <w:t>SHILPAMED</w:t>
      </w:r>
      <w:r>
        <w:t xml:space="preserve"> (a top-10 EPS beater at +645%) point to a </w:t>
      </w:r>
      <w:r>
        <w:rPr>
          <w:b/>
        </w:rPr>
        <w:t>healthcare-diagnostics/pharma cluster</w:t>
      </w:r>
      <w:r>
        <w:t xml:space="preserve"> building beneath the surface — APOLLOHOSP's fresh Darvas Box signal completes the picture.</w:t>
      </w:r>
    </w:p>
    <w:p>
      <w:pPr>
        <w:pStyle w:val="ListBullet"/>
      </w:pPr>
      <w:r>
        <w:rPr>
          <w:b/>
        </w:rPr>
        <w:t>ICICI Bank and SBIN both showing up in rank-surge</w:t>
      </w:r>
      <w:r>
        <w:t xml:space="preserve"> alongside CUB (City Union Bank) — that's a banking-breadth signal, not just mega-cap concentration. CUB rallying matters because tier-2 banks moving means the rotation has teeth.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15.61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88.28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-7.6%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+0.47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4,196.90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-6.2%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66.72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-8.1%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Gold/Silver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62.90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+1.33</w:t>
            </w:r>
          </w:p>
        </w:tc>
      </w:tr>
    </w:tbl>
    <w:p/>
    <w:p>
      <w:r>
        <w:t xml:space="preserve">The week's macro story was the </w:t>
      </w:r>
      <w:r>
        <w:rPr>
          <w:b/>
        </w:rPr>
        <w:t>US-Iran de-escalation</w:t>
      </w:r>
      <w:r>
        <w:t xml:space="preserve"> — crude collapsed, equity risk premia compressed, gold sold off as the war premium unwound. India VIX coming off 0.67 points is consistent.</w:t>
      </w:r>
    </w:p>
    <w:p>
      <w:r>
        <w:t xml:space="preserve">On the domestic side, the </w:t>
      </w:r>
      <w:r>
        <w:rPr>
          <w:b/>
        </w:rPr>
        <w:t>RBI's June package</w:t>
      </w:r>
      <w:r>
        <w:t xml:space="preserve"> is the most consequential policy event in months: concessional forex swaps, FCNR(B) deposits now offering up to 7%, and NRI leverage allowances — collectively targeting $20-30 billion of fresh inflows. Reuters reported </w:t>
      </w:r>
      <w:r>
        <w:rPr>
          <w:b/>
        </w:rPr>
        <w:t>$3bn of debt rushed in</w:t>
      </w:r>
      <w:r>
        <w:t xml:space="preserve"> within days, and the rupee surged 65 paise to 95.20. Bond yields fell. This is rupee-bullish, banking-bullish, rate-sensitive-bullish (realty, financials) — and IT-bearish via the rupee channel.</w:t>
      </w:r>
    </w:p>
    <w:p>
      <w:r>
        <w:t xml:space="preserve">The </w:t>
      </w:r>
      <w:r>
        <w:rPr>
          <w:b/>
        </w:rPr>
        <w:t>less-noticed but important</w:t>
      </w:r>
      <w:r>
        <w:t xml:space="preserve"> fiscal actions: customs duty </w:t>
      </w:r>
      <w:r>
        <w:rPr>
          <w:b/>
        </w:rPr>
        <w:t>removed on high-grade manganese ore</w:t>
      </w:r>
      <w:r>
        <w:t xml:space="preserve"> (steel-cost positive), </w:t>
      </w:r>
      <w:r>
        <w:rPr>
          <w:b/>
        </w:rPr>
        <w:t>retrospective exemption on nuclear power equipment</w:t>
      </w:r>
      <w:r>
        <w:t xml:space="preserve"> (EPC/nuclear positive), and the </w:t>
      </w:r>
      <w:r>
        <w:rPr>
          <w:b/>
        </w:rPr>
        <w:t>US bilateral preferential-tariff deal</w:t>
      </w:r>
      <w:r>
        <w:t xml:space="preserve"> flagged as bullish for textiles, autos, pharma and engineering exports. The flip side: </w:t>
      </w:r>
      <w:r>
        <w:rPr>
          <w:b/>
        </w:rPr>
        <w:t>RBI cancelled 135 NBFC licences</w:t>
      </w:r>
      <w:r>
        <w:t xml:space="preserve"> — a credit-quality clean-up that's bearish for the small-NBFC tail but bullish for surviving listed lenders like AAVAS.</w:t>
      </w:r>
    </w:p>
    <w:p>
      <w:pPr>
        <w:pStyle w:val="Heading2"/>
      </w:pPr>
      <w:r>
        <w:t>8. What to Watch Next Week</w:t>
      </w:r>
    </w:p>
    <w:p>
      <w:pPr>
        <w:pStyle w:val="ListNumber"/>
      </w:pPr>
      <w:r>
        <w:rPr>
          <w:b/>
        </w:rPr>
        <w:t>Nifty levels</w:t>
      </w:r>
      <w:r>
        <w:t xml:space="preserve">: the EMA 50 at </w:t>
      </w:r>
      <w:r>
        <w:rPr>
          <w:b/>
        </w:rPr>
        <w:t>23,733</w:t>
      </w:r>
      <w:r>
        <w:t xml:space="preserve"> is the immediate overhead — 100 points above Friday's close. Reclaiming it would re-open the path to the EMA 200 at 24,454. On the downside, Friday's gap-up support and the EMA 20 at </w:t>
      </w:r>
      <w:r>
        <w:rPr>
          <w:b/>
        </w:rPr>
        <w:t>23,490</w:t>
      </w:r>
      <w:r>
        <w:t xml:space="preserve"> are the levels that must hold.</w:t>
      </w:r>
    </w:p>
    <w:p>
      <w:pPr>
        <w:pStyle w:val="ListNumber"/>
      </w:pPr>
      <w:r>
        <w:rPr>
          <w:b/>
        </w:rPr>
        <w:t>Continuation theme — Banking rotation</w:t>
      </w:r>
      <w:r>
        <w:t>: watch whether ICICI, Kotak and Axis can extend beyond their +6% weekly gains, and whether the move broadens to tier-2 PSU and private banks (CUB already participating).</w:t>
      </w:r>
    </w:p>
    <w:p>
      <w:pPr>
        <w:pStyle w:val="ListNumber"/>
      </w:pPr>
      <w:r>
        <w:rPr>
          <w:b/>
        </w:rPr>
        <w:t>Continuation theme — FMCG follow-through</w:t>
      </w:r>
      <w:r>
        <w:t>: the RRG flip from Lagging to Improving with the strongest momentum delta needs price confirmation. MARICO and VSTIND in the Narrow CPR list are early candidates.</w:t>
      </w:r>
    </w:p>
    <w:p>
      <w:pPr>
        <w:pStyle w:val="ListNumber"/>
      </w:pPr>
      <w:r>
        <w:rPr>
          <w:b/>
        </w:rPr>
        <w:t>Zepto IPO</w:t>
      </w:r>
      <w:r>
        <w:t xml:space="preserve"> (dated upcoming): U-DRHP filed with SEBI for a ₹8,010 crore raise — read-through for the quick-commerce and retail-tech complex.</w:t>
      </w:r>
    </w:p>
    <w:p>
      <w:pPr>
        <w:pStyle w:val="ListNumber"/>
      </w:pPr>
      <w:r>
        <w:rPr>
          <w:b/>
        </w:rPr>
        <w:t>Customs duty cut extension</w:t>
      </w:r>
      <w:r>
        <w:t xml:space="preserve"> on 40 critical inputs (dated upcoming, decision around June 30): meaningful for pharma, steel and plastics names if extended.</w:t>
      </w:r>
    </w:p>
    <w:p>
      <w:pPr>
        <w:pStyle w:val="ListNumber"/>
      </w:pPr>
      <w:r>
        <w:rPr>
          <w:b/>
        </w:rPr>
        <w:t>Multi-signal watchlist</w:t>
      </w:r>
      <w:r>
        <w:t>: BALAMINES, CAPLIPOINT, HONASA, HSCL, INOXINDIA, RRKABEL, SFL, SOTL all triggered 3 indicators — worth monitoring for whether the setup resolves higher.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rotation is real but narrow.</w:t>
      </w:r>
      <w:r>
        <w:t xml:space="preserve"> Nifty +1.1% on the week masks 4 of 5 sessions with red breadth. The week's gains were concentrated in </w:t>
      </w:r>
      <w:r>
        <w:rPr>
          <w:b/>
        </w:rPr>
        <w:t>Banking, Aviation and FMCG</w:t>
      </w:r>
      <w:r>
        <w:t xml:space="preserve"> — the three sectors with clear policy/macro catalysts. Until the EMA 50 (23,733) is reclaimed, treat this as a recovery bounce, not a trend change.</w:t>
      </w:r>
    </w:p>
    <w:p>
      <w:pPr>
        <w:pStyle w:val="ListNumber"/>
      </w:pPr>
      <w:r>
        <w:rPr>
          <w:b/>
        </w:rPr>
        <w:t>The RBI inflows package is the most important domestic catalyst of the quarter.</w:t>
      </w:r>
      <w:r>
        <w:t xml:space="preserve"> It re-rates banks, pressures IT via the rupee, and supports rate-sensitive sectors. Worth watching how foreign deposit flows actually develop versus the $20-30bn target — early Reuters data ($3bn in days) is encouraging but small.</w:t>
      </w:r>
    </w:p>
    <w:p>
      <w:pPr>
        <w:pStyle w:val="ListNumber"/>
      </w:pPr>
      <w:r>
        <w:rPr>
          <w:b/>
        </w:rPr>
        <w:t>The signal mix is contracting, not expanding.</w:t>
      </w:r>
      <w:r>
        <w:t xml:space="preserve"> MACD and Narrow CPR unique counts both halved week-on-week, while Blue Zone Buy expanded only modestly. That's a sign of </w:t>
      </w:r>
      <w:r>
        <w:rPr>
          <w:b/>
        </w:rPr>
        <w:t>rotation between momentum cohorts</w:t>
      </w:r>
      <w:r>
        <w:t>, not a broad accumulation phase. Caveat: one strong Friday doesn't refresh the indicators — next week's signal counts will be far more informative.</w:t>
      </w:r>
    </w:p>
    <w:p>
      <w:r>
        <w:t xml:space="preserve">Honest caveat across all three: the bellwether earnings prints we cited are </w:t>
      </w:r>
      <w:r>
        <w:rPr>
          <w:b/>
        </w:rPr>
        <w:t>weeks old</w:t>
      </w:r>
      <w:r>
        <w:t>, so this week's bellwether price moves are pure rotation reads, not fresh earnings reactions. Treat sector implications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