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2026-09-19</w:t>
      </w:r>
    </w:p>
    <w:p>
      <w:pPr>
        <w:pStyle w:val="Heading2"/>
      </w:pPr>
      <w:r>
        <w:t>1. What Happened This Week</w:t>
      </w:r>
    </w:p>
    <w:p>
      <w:r>
        <w:t xml:space="preserve">The Nifty 50 clocked its </w:t>
      </w:r>
      <w:r>
        <w:rPr>
          <w:b/>
        </w:rPr>
        <w:t>sixth consecutive weekly decline</w:t>
      </w:r>
      <w:r>
        <w:t xml:space="preserve">, slipping from </w:t>
      </w:r>
      <w:r>
        <w:rPr>
          <w:b/>
        </w:rPr>
        <w:t>23,398.10 on Monday to 23,346.40 on Friday</w:t>
      </w:r>
      <w:r>
        <w:t xml:space="preserve"> — a modest -0.2% headline number that hides a much messier week. Tuesday's session collapsed to </w:t>
      </w:r>
      <w:r>
        <w:rPr>
          <w:b/>
        </w:rPr>
        <w:t>23,118.60</w:t>
      </w:r>
      <w:r>
        <w:t xml:space="preserve"> (a five-month low) as markets digested a </w:t>
      </w:r>
      <w:r>
        <w:rPr>
          <w:b/>
        </w:rPr>
        <w:t>US Federal Reserve rate hike — the first in three years</w:t>
      </w:r>
      <w:r>
        <w:t xml:space="preserve"> — and </w:t>
      </w:r>
      <w:r>
        <w:rPr>
          <w:b/>
        </w:rPr>
        <w:t>India's August inflation print accelerated</w:t>
      </w:r>
      <w:r>
        <w:t xml:space="preserve">, narrowing the RBI's room to hold rates. From Wednesday onwards the tape stitched together a three-day recovery, with Thursday and Friday delivering the week's cleanest advance-decline reads. The dominant themes: rate-hike fear (Fed done, RBI next per analyst consensus of </w:t>
      </w:r>
      <w:r>
        <w:rPr>
          <w:b/>
        </w:rPr>
        <w:t>two hikes by end-CY2026</w:t>
      </w:r>
      <w:r>
        <w:t xml:space="preserve">), a </w:t>
      </w:r>
      <w:r>
        <w:rPr>
          <w:b/>
        </w:rPr>
        <w:t>liquidity drain of ₹500 billion by the RBI</w:t>
      </w:r>
      <w:r>
        <w:t xml:space="preserve"> via debt sales, and the </w:t>
      </w:r>
      <w:r>
        <w:rPr>
          <w:b/>
        </w:rPr>
        <w:t>Tata Sons banking-license rejection</w:t>
      </w:r>
      <w:r>
        <w:t xml:space="preserve"> that weighed on the Tata group complex.</w:t>
      </w:r>
    </w:p>
    <w:p>
      <w:pPr>
        <w:pStyle w:val="Heading2"/>
      </w:pPr>
      <w:r>
        <w:t>2. The Trend Picture</w:t>
      </w:r>
    </w:p>
    <w:p>
      <w:r>
        <w:t xml:space="preserve">Nifty is now trading </w:t>
      </w:r>
      <w:r>
        <w:rPr>
          <w:b/>
        </w:rPr>
        <w:t>below all three key EMAs</w:t>
      </w:r>
      <w:r>
        <w:t xml:space="preserve"> (Exponential Moving Averages — smoothed averages of recent closes used as trend reference):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23,684.19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-1.4% below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23,918.68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-2.4% below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24,270.77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-3.8% below</w:t>
            </w:r>
          </w:p>
        </w:tc>
      </w:tr>
    </w:tbl>
    <w:p/>
    <w:p>
      <w:r>
        <w:t xml:space="preserve">That's a </w:t>
      </w:r>
      <w:r>
        <w:rPr>
          <w:b/>
        </w:rPr>
        <w:t>full-stack downtrend</w:t>
      </w:r>
      <w:r>
        <w:t xml:space="preserve"> — the shortest-term average is itself below the longest-term one, which is textbook corrective structure. But breadth is quietly diverging in the bulls' favour. The % of stocks above their 200-day EMA has climbed from </w:t>
      </w:r>
      <w:r>
        <w:rPr>
          <w:b/>
        </w:rPr>
        <w:t>40% on Tuesday's washout to 46% by Friday</w:t>
      </w:r>
      <w:r>
        <w:t xml:space="preserve">. Thursday delivered a </w:t>
      </w:r>
      <w:r>
        <w:rPr>
          <w:b/>
        </w:rPr>
        <w:t>433/150 advance-decline split</w:t>
      </w:r>
      <w:r>
        <w:t xml:space="preserve"> — a textbook stealth-strength day — followed by </w:t>
      </w:r>
      <w:r>
        <w:rPr>
          <w:b/>
        </w:rPr>
        <w:t>413/169 on Friday</w:t>
      </w:r>
      <w:r>
        <w:t xml:space="preserve">. Fresh 52-week lows have collapsed from </w:t>
      </w:r>
      <w:r>
        <w:rPr>
          <w:b/>
        </w:rPr>
        <w:t>57 on Tuesday to just 14 on Friday</w:t>
      </w:r>
      <w:r>
        <w:t>. No new 52-week highs anywhere, though — the recovery is off the mat, not into strength.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Leaders (5-day median):</w:t>
      </w:r>
      <w:r>
        <w:t xml:space="preserve"> Consumer Services (+0.4%), ETFs (+0.2%), FMCG (-0.1%), Healthcare (-0.1%). </w:t>
      </w:r>
      <w:r>
        <w:rPr>
          <w:b/>
        </w:rPr>
        <w:t>Laggards:</w:t>
      </w:r>
      <w:r>
        <w:t xml:space="preserve"> Agriculture (-4.3%), Defence (-4.2%), Trading (-3.1%), Metals (-3.0%), Conglomerate (-2.4%).</w:t>
      </w:r>
    </w:p>
    <w:p>
      <w:r>
        <w:t xml:space="preserve">The RRG (Relative Rotation Graph — a chart that tracks sector momentum through four quadrants: Leading, Weakening, Lagging, Improving) is showing a </w:t>
      </w:r>
      <w:r>
        <w:rPr>
          <w:b/>
        </w:rPr>
        <w:t>wholesale defensive rotation</w:t>
      </w:r>
      <w:r>
        <w:t>:</w:t>
      </w:r>
    </w:p>
    <w:p>
      <w:pPr>
        <w:pStyle w:val="ListBullet"/>
      </w:pPr>
      <w:r>
        <w:rPr>
          <w:b/>
        </w:rPr>
        <w:t>Consumer Services</w:t>
      </w:r>
      <w:r>
        <w:t xml:space="preserve"> flipped Improving → </w:t>
      </w:r>
      <w:r>
        <w:rPr>
          <w:b/>
        </w:rPr>
        <w:t>Leading</w:t>
      </w:r>
      <w:r>
        <w:t xml:space="preserve"> (RS Δ +5.0). Consistent with the modest crude relief (Brent -2.1% to $103.47).</w:t>
      </w:r>
    </w:p>
    <w:p>
      <w:pPr>
        <w:pStyle w:val="ListBullet"/>
      </w:pPr>
      <w:r>
        <w:rPr>
          <w:b/>
        </w:rPr>
        <w:t>FMCG</w:t>
      </w:r>
      <w:r>
        <w:t xml:space="preserve"> flipped Lagging → </w:t>
      </w:r>
      <w:r>
        <w:rPr>
          <w:b/>
        </w:rPr>
        <w:t>Improving</w:t>
      </w:r>
      <w:r>
        <w:t xml:space="preserve"> (RS Δ +2.7) — classic risk-off rotation into defensives as rate-hike fear built.</w:t>
      </w:r>
    </w:p>
    <w:p>
      <w:pPr>
        <w:pStyle w:val="ListBullet"/>
      </w:pPr>
      <w:r>
        <w:rPr>
          <w:b/>
        </w:rPr>
        <w:t>ETF</w:t>
      </w:r>
      <w:r>
        <w:t xml:space="preserve"> flipped Weakening → </w:t>
      </w:r>
      <w:r>
        <w:rPr>
          <w:b/>
        </w:rPr>
        <w:t>Leading</w:t>
      </w:r>
      <w:r>
        <w:t xml:space="preserve"> — driven by domestic gold/silver ETFs. Silver was up </w:t>
      </w:r>
      <w:r>
        <w:rPr>
          <w:b/>
        </w:rPr>
        <w:t>+4.1% globally</w:t>
      </w:r>
      <w:r>
        <w:t xml:space="preserve"> and gold +0.5%; Indian ETF prices are compounding that with rupee weakness post-Fed.</w:t>
      </w:r>
    </w:p>
    <w:p>
      <w:pPr>
        <w:pStyle w:val="ListBullet"/>
      </w:pPr>
      <w:r>
        <w:rPr>
          <w:b/>
        </w:rPr>
        <w:t>Defence</w:t>
      </w:r>
      <w:r>
        <w:t xml:space="preserve"> cratered Leading → </w:t>
      </w:r>
      <w:r>
        <w:rPr>
          <w:b/>
        </w:rPr>
        <w:t>Weakening</w:t>
      </w:r>
      <w:r>
        <w:t xml:space="preserve"> (RS Δ -6.8) — SOLARINDS was one of the week's worst rank decliners. Profit-booking after a strong 6-month run (+18.2%).</w:t>
      </w:r>
    </w:p>
    <w:p>
      <w:pPr>
        <w:pStyle w:val="ListBullet"/>
      </w:pPr>
      <w:r>
        <w:rPr>
          <w:b/>
        </w:rPr>
        <w:t>Banking</w:t>
      </w:r>
      <w:r>
        <w:t xml:space="preserve"> flipped Leading → </w:t>
      </w:r>
      <w:r>
        <w:rPr>
          <w:b/>
        </w:rPr>
        <w:t>Weakening</w:t>
      </w:r>
      <w:r>
        <w:t xml:space="preserve"> (RS Δ -2.1). The </w:t>
      </w:r>
      <w:r>
        <w:rPr>
          <w:b/>
        </w:rPr>
        <w:t>RBI's ₹500 billion liquidity drain</w:t>
      </w:r>
      <w:r>
        <w:t xml:space="preserve"> plus the </w:t>
      </w:r>
      <w:r>
        <w:rPr>
          <w:b/>
        </w:rPr>
        <w:t>Tata Sons license rejection</w:t>
      </w:r>
      <w:r>
        <w:t xml:space="preserve"> were direct headwinds — HDFC Bank actually printed a positive +5.4% weekly return, but the mid-tier and PSU banks lagged.</w:t>
      </w:r>
    </w:p>
    <w:p>
      <w:pPr>
        <w:pStyle w:val="ListBullet"/>
      </w:pPr>
      <w:r>
        <w:rPr>
          <w:b/>
        </w:rPr>
        <w:t>Conglomerate</w:t>
      </w:r>
      <w:r>
        <w:t xml:space="preserve"> flipped Leading → </w:t>
      </w:r>
      <w:r>
        <w:rPr>
          <w:b/>
        </w:rPr>
        <w:t>Weakening</w:t>
      </w:r>
      <w:r>
        <w:t xml:space="preserve"> (RS Δ -3.3). Reliance was down -3.7% for the week and Adani group names were mixed — the Tata group weight is visible here too.</w:t>
      </w:r>
    </w:p>
    <w:p>
      <w:pPr>
        <w:pStyle w:val="ListBullet"/>
      </w:pPr>
      <w:r>
        <w:rPr>
          <w:b/>
        </w:rPr>
        <w:t>Metals</w:t>
      </w:r>
      <w:r>
        <w:t xml:space="preserve"> and </w:t>
      </w:r>
      <w:r>
        <w:rPr>
          <w:b/>
        </w:rPr>
        <w:t>Trading</w:t>
      </w:r>
      <w:r>
        <w:t xml:space="preserve"> both broke from Leading — connected to the global growth wobble after the Fed hike.</w:t>
      </w:r>
    </w:p>
    <w:p>
      <w:pPr>
        <w:pStyle w:val="Heading2"/>
      </w:pPr>
      <w:r>
        <w:t>4. Earnings Pulse</w:t>
      </w:r>
    </w:p>
    <w:p>
      <w:r>
        <w:t xml:space="preserve">The current-quarter view is </w:t>
      </w:r>
      <w:r>
        <w:rPr>
          <w:b/>
        </w:rPr>
        <w:t>Jun 2026 results</w:t>
      </w:r>
      <w:r>
        <w:t xml:space="preserve">: </w:t>
      </w:r>
      <w:r>
        <w:rPr>
          <w:b/>
        </w:rPr>
        <w:t>507 stocks in season</w:t>
      </w:r>
      <w:r>
        <w:t>, 33 still to report.</w:t>
      </w:r>
    </w:p>
    <w:p>
      <w:r>
        <w:rPr>
          <w:b/>
        </w:rPr>
        <w:t>(a) Sector aggregate.</w:t>
      </w:r>
      <w:r>
        <w:t xml:space="preserve"> Median EPS-YoY tables paint a genuinely strong quarter — </w:t>
      </w:r>
      <w:r>
        <w:rPr>
          <w:b/>
        </w:rPr>
        <w:t>Logistics +81%, Textiles +49%, Chemicals +34%, Consumer Durables +32%, Banking +27%, Healthcare +26%</w:t>
      </w:r>
      <w:r>
        <w:t>. Every one of the 18 major sectors is in positive median EPS growth. This is the fundamental floor under the six-week correction — the tape is falling, but the earnings underneath aren't.</w:t>
      </w:r>
    </w:p>
    <w:p>
      <w:r>
        <w:rPr>
          <w:b/>
        </w:rPr>
        <w:t>(b) Extremes (colour only).</w:t>
      </w:r>
      <w:r>
        <w:t xml:space="preserve"> Neuland Labs (+963%), Glenmark (+931%), and HFCL (+777%) top the beats — small-base effects, not sector signals. On the miss side, Delta Corp (-822%) and HPCL (-398%) stand out; HPCL's swing on </w:t>
      </w:r>
      <w:r>
        <w:rPr>
          <w:b/>
        </w:rPr>
        <w:t>+27% revenue</w:t>
      </w:r>
      <w:r>
        <w:t xml:space="preserve"> growth points to marketing-margin compression, which is a real read-through for oil marketing companies as crude stays elevated.</w:t>
      </w:r>
    </w:p>
    <w:p>
      <w:r>
        <w:rPr>
          <w:b/>
        </w:rPr>
        <w:t>(c) Bellwether large-caps — where the sector reads live.</w:t>
      </w:r>
      <w:r>
        <w:t xml:space="preserve"> Critical caveat: the </w:t>
      </w:r>
      <w:r>
        <w:rPr>
          <w:rFonts w:ascii="Consolas" w:hAnsi="Consolas"/>
          <w:sz w:val="20"/>
        </w:rPr>
        <w:t>earnings_calendar</w:t>
      </w:r>
      <w:r>
        <w:t xml:space="preserve"> shows </w:t>
      </w:r>
      <w:r>
        <w:rPr>
          <w:b/>
        </w:rPr>
        <w:t>zero declared results in the last 10 days</w:t>
      </w:r>
      <w:r>
        <w:t xml:space="preserve">. Every EPS number in the bellwether table was filed weeks ago. This week's 1d/5d price moves are </w:t>
      </w:r>
      <w:r>
        <w:rPr>
          <w:b/>
        </w:rPr>
        <w:t>sector-rotation reactions, not fresh earnings catalysts</w:t>
      </w:r>
      <w:r>
        <w:t>.</w:t>
      </w:r>
    </w:p>
    <w:p>
      <w:pPr>
        <w:pStyle w:val="ListBullet"/>
      </w:pPr>
      <w:r>
        <w:rPr>
          <w:b/>
        </w:rPr>
        <w:t>Reliance (-3.7% week on -22% EPS, +27% revenue)</w:t>
      </w:r>
      <w:r>
        <w:t xml:space="preserve"> — the biggest weight on the index is bleeding. Rev-EPS divergence is severe; the market has been penalising the earnings quality for a while. This week's price action is part of the broad conglomerate de-rating, not a fresh reaction.</w:t>
      </w:r>
    </w:p>
    <w:p>
      <w:pPr>
        <w:pStyle w:val="ListBullet"/>
      </w:pPr>
      <w:r>
        <w:rPr>
          <w:b/>
        </w:rPr>
        <w:t>TCS (-4.5% week on +5% EPS, +14% revenue)</w:t>
      </w:r>
      <w:r>
        <w:t xml:space="preserve"> — margin compression story continues, and Thursday's -3.9% one-day drop coincides with the </w:t>
      </w:r>
      <w:r>
        <w:rPr>
          <w:b/>
        </w:rPr>
        <w:t>US House Russia sanctions bill</w:t>
      </w:r>
      <w:r>
        <w:t xml:space="preserve"> advancing with a 100% tariff amendment targeting India. IT is the most exposed sector to that risk.</w:t>
      </w:r>
    </w:p>
    <w:p>
      <w:pPr>
        <w:pStyle w:val="ListBullet"/>
      </w:pPr>
      <w:r>
        <w:rPr>
          <w:b/>
        </w:rPr>
        <w:t>HDFC Bank (+5.4% week on +18% EPS)</w:t>
      </w:r>
      <w:r>
        <w:t xml:space="preserve"> — the standout. On a week when the RBI drained liquidity and rejected Tata's bank license, HDFC Bank's +5.4% is a flight-to-quality trade within banking. Watch whether this decouples the largecap private banks from the sector's Weakening quadrant flip.</w:t>
      </w:r>
    </w:p>
    <w:p>
      <w:pPr>
        <w:pStyle w:val="ListBullet"/>
      </w:pPr>
      <w:r>
        <w:rPr>
          <w:b/>
        </w:rPr>
        <w:t>Titan (-4.4% week on +63% EPS)</w:t>
      </w:r>
      <w:r>
        <w:t xml:space="preserve"> — a huge print, but the market sold it. Likely explanation: </w:t>
      </w:r>
      <w:r>
        <w:rPr>
          <w:b/>
        </w:rPr>
        <w:t>rate-hike fear on discretionary spend + the gold-price surge compressing jewellery margins</w:t>
      </w:r>
      <w:r>
        <w:t>. Negative read-through for premium-discretionary. Would want the call transcript to confirm.</w:t>
      </w:r>
    </w:p>
    <w:p>
      <w:pPr>
        <w:pStyle w:val="ListBullet"/>
      </w:pPr>
      <w:r>
        <w:rPr>
          <w:b/>
        </w:rPr>
        <w:t>Adani Ports (+3.2% week on +2% EPS, +19% revenue)</w:t>
      </w:r>
      <w:r>
        <w:t xml:space="preserve"> — the price is rewarding volume growth over earnings; infrastructure quadrant flipped Improving → </w:t>
      </w:r>
      <w:r>
        <w:rPr>
          <w:b/>
        </w:rPr>
        <w:t>Leading</w:t>
      </w:r>
      <w:r>
        <w:t xml:space="preserve"> this week and this print supports that.</w:t>
      </w:r>
    </w:p>
    <w:p>
      <w:pPr>
        <w:pStyle w:val="Heading2"/>
      </w:pPr>
      <w:r>
        <w:t>5. Technical Signals This Week</w:t>
      </w:r>
    </w:p>
    <w:p>
      <w:r>
        <w:t xml:space="preserve">Total unique stocks with any bullish signal: </w:t>
      </w:r>
      <w:r>
        <w:rPr>
          <w:b/>
        </w:rPr>
        <w:t>89</w:t>
      </w:r>
      <w:r>
        <w:t xml:space="preserve"> (last week higher). The signal count is </w:t>
      </w:r>
      <w:r>
        <w:rPr>
          <w:b/>
        </w:rPr>
        <w:t>broadly contracting</w:t>
      </w:r>
      <w:r>
        <w:t xml:space="preserve"> — consistent with the sixth down week.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This week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Prior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Blue Zone Buy</w:t>
            </w:r>
            <w:r>
              <w:rPr>
                <w:sz w:val="20"/>
              </w:rPr>
              <w:t xml:space="preserve"> (momentum stocks under accumulation — RSI EMA above thresholds + close above EMA20 + within 10% of 52W high)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GMMPFAUDLR, WELSPUNLIV, MAHSEAMLES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Narrow CPR Breakaway</w:t>
            </w:r>
            <w:r>
              <w:rPr>
                <w:sz w:val="20"/>
              </w:rPr>
              <w:t xml:space="preserve"> (Central Pivot Range setup — tight overnight pivot, often a breakout precursor)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LALPATHLAB, CRISIL, SKFINDIA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MACD Buy</w:t>
            </w:r>
            <w:r>
              <w:rPr>
                <w:sz w:val="20"/>
              </w:rPr>
              <w:t xml:space="preserve"> (momentum oscillator turning positive)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REDINGTON, SHYAMMETL, GRAPHITE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MACD Strong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CASTROLIND, PAYTM, LAURUSLABS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VCP Buy</w:t>
            </w:r>
            <w:r>
              <w:rPr>
                <w:sz w:val="20"/>
              </w:rPr>
              <w:t xml:space="preserve"> (Volatility Contraction Pattern — Minervini's tightening-range breakout setup)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GPPL, GODREJAGRO, ASAHIINDIA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Pullback Bounce</w:t>
            </w:r>
            <w:r>
              <w:rPr>
                <w:sz w:val="20"/>
              </w:rPr>
              <w:t xml:space="preserve"> (strong-trend stocks dipping to EMA20 and recovering)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DIVISLAB, SYRMA, CRAFTSMAN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Golden Cross Buy</w:t>
            </w:r>
            <w:r>
              <w:rPr>
                <w:sz w:val="20"/>
              </w:rPr>
              <w:t xml:space="preserve"> (20-day EMA crossing above 50-day EMA — medium-term bullish trend)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LICHSGFIN, ABSLAMC, JSL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Blue Zone Strong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GMMPFAUDLR, HATSUN, RAYMOND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Darvas Box</w:t>
            </w:r>
            <w:r>
              <w:rPr>
                <w:sz w:val="20"/>
              </w:rPr>
              <w:t xml:space="preserve"> (breakout above a defined consolidation box)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SHYAMMETL, GRANULES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Bull Flag Buy</w:t>
            </w:r>
            <w:r>
              <w:rPr>
                <w:sz w:val="20"/>
              </w:rPr>
              <w:t xml:space="preserve"> (sharp rally, orderly consolidation, breakout above the range)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WELSPUNLIV, UFLEX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VCP Strong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IPCALAB</w:t>
            </w:r>
          </w:p>
        </w:tc>
      </w:tr>
    </w:tbl>
    <w:p/>
    <w:p>
      <w:r>
        <w:rPr>
          <w:b/>
        </w:rPr>
        <w:t>Multi-signal (higher-conviction) stocks:</w:t>
      </w:r>
    </w:p>
    <w:p>
      <w:pPr>
        <w:pStyle w:val="ListBullet"/>
      </w:pPr>
      <w:r>
        <w:rPr>
          <w:b/>
        </w:rPr>
        <w:t>GRAPHITE</w:t>
      </w:r>
      <w:r>
        <w:t xml:space="preserve"> — Blue Zone Buy + MACD Buy + MACD Strong (triple-fire)</w:t>
      </w:r>
    </w:p>
    <w:p>
      <w:pPr>
        <w:pStyle w:val="ListBullet"/>
      </w:pPr>
      <w:r>
        <w:rPr>
          <w:b/>
        </w:rPr>
        <w:t>SHYAMMETL</w:t>
      </w:r>
      <w:r>
        <w:t xml:space="preserve"> — Blue Zone Buy + Darvas Box + MACD Buy (triple)</w:t>
      </w:r>
    </w:p>
    <w:p>
      <w:pPr>
        <w:pStyle w:val="ListBullet"/>
      </w:pPr>
      <w:r>
        <w:rPr>
          <w:b/>
        </w:rPr>
        <w:t>REDINGTON</w:t>
      </w:r>
      <w:r>
        <w:t xml:space="preserve"> — Blue Zone Buy + MACD Buy + MACD Strong (triple)</w:t>
      </w:r>
    </w:p>
    <w:p>
      <w:pPr>
        <w:pStyle w:val="ListBullet"/>
      </w:pPr>
      <w:r>
        <w:rPr>
          <w:b/>
        </w:rPr>
        <w:t>CRISIL</w:t>
      </w:r>
      <w:r>
        <w:t xml:space="preserve">, </w:t>
      </w:r>
      <w:r>
        <w:rPr>
          <w:b/>
        </w:rPr>
        <w:t>CRAFTSMAN</w:t>
      </w:r>
      <w:r>
        <w:t xml:space="preserve">, </w:t>
      </w:r>
      <w:r>
        <w:rPr>
          <w:b/>
        </w:rPr>
        <w:t>WELSPUNLIV</w:t>
      </w:r>
      <w:r>
        <w:t xml:space="preserve">, </w:t>
      </w:r>
      <w:r>
        <w:rPr>
          <w:b/>
        </w:rPr>
        <w:t>GMMPFAUDLR</w:t>
      </w:r>
      <w:r>
        <w:t xml:space="preserve">, </w:t>
      </w:r>
      <w:r>
        <w:rPr>
          <w:b/>
        </w:rPr>
        <w:t>SYRMA</w:t>
      </w:r>
      <w:r>
        <w:t xml:space="preserve">, </w:t>
      </w:r>
      <w:r>
        <w:rPr>
          <w:b/>
        </w:rPr>
        <w:t>PCBL</w:t>
      </w:r>
      <w:r>
        <w:t xml:space="preserve">, </w:t>
      </w:r>
      <w:r>
        <w:rPr>
          <w:b/>
        </w:rPr>
        <w:t>FINCABLES</w:t>
      </w:r>
      <w:r>
        <w:t xml:space="preserve"> — all firing 2 signals</w:t>
      </w:r>
    </w:p>
    <w:p>
      <w:r>
        <w:rPr>
          <w:b/>
        </w:rPr>
        <w:t>Read:</w:t>
      </w:r>
      <w:r>
        <w:t xml:space="preserve"> the signal universe is </w:t>
      </w:r>
      <w:r>
        <w:rPr>
          <w:b/>
        </w:rPr>
        <w:t>contracting sharply</w:t>
      </w:r>
      <w:r>
        <w:t xml:space="preserve"> (VCP Buy -16, Blue Zone Buy -16, Bull Flag -5). But pullback-bounce ticked up (+1) and the multi-signal list is skewing toward industrials (Shyam Metal, Redington, Graphite, Craftsman) rather than the classic rally leaders. It's a narrowing tape hunting for the next rotation, not a broadening rally.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ATGL (Adani Total Gas)</w:t>
      </w:r>
      <w:r>
        <w:t xml:space="preserve"> exploded on </w:t>
      </w:r>
      <w:r>
        <w:rPr>
          <w:b/>
        </w:rPr>
        <w:t>66.9x volume</w:t>
      </w:r>
      <w:r>
        <w:t xml:space="preserve"> — extreme even for the Adani complex. Rank stayed weak (#449) so this isn't rank-driven; watch for a corporate trigger.</w:t>
      </w:r>
    </w:p>
    <w:p>
      <w:pPr>
        <w:pStyle w:val="ListBullet"/>
      </w:pPr>
      <w:r>
        <w:rPr>
          <w:b/>
        </w:rPr>
        <w:t>HDFC Bank</w:t>
      </w:r>
      <w:r>
        <w:t xml:space="preserve"> — the rank slope (-34.6) suggests it climbed sharply into the top-cohort; combined with the +5.4% weekly return and +18% EPS, it's the cleanest large-cap story of the week.</w:t>
      </w:r>
    </w:p>
    <w:p>
      <w:pPr>
        <w:pStyle w:val="ListBullet"/>
      </w:pPr>
      <w:r>
        <w:rPr>
          <w:b/>
        </w:rPr>
        <w:t>Patanjali Foods and Dabur</w:t>
      </w:r>
      <w:r>
        <w:t xml:space="preserve"> both rank-surged into FMCG's Improving-quadrant flip — the defensive rotation is showing up at the stock level, not just the sector level.</w:t>
      </w:r>
    </w:p>
    <w:p>
      <w:pPr>
        <w:pStyle w:val="ListBullet"/>
      </w:pPr>
      <w:r>
        <w:rPr>
          <w:b/>
        </w:rPr>
        <w:t>Emcure Pharma</w:t>
      </w:r>
      <w:r>
        <w:t xml:space="preserve"> (12.6x volume, RS #57) and </w:t>
      </w:r>
      <w:r>
        <w:rPr>
          <w:b/>
        </w:rPr>
        <w:t>Metro Brands</w:t>
      </w:r>
      <w:r>
        <w:t xml:space="preserve"> (17.4x volume, RS #189) — clean volume breakouts on decent RS ranks; healthcare and premium footwear both worth watching.</w:t>
      </w:r>
    </w:p>
    <w:p>
      <w:pPr>
        <w:pStyle w:val="ListBullet"/>
      </w:pPr>
      <w:r>
        <w:rPr>
          <w:b/>
        </w:rPr>
        <w:t>JSW Infrastructure</w:t>
      </w:r>
      <w:r>
        <w:t xml:space="preserve"> — 11x volume, RS #123, aligned with Infrastructure's flip to </w:t>
      </w:r>
      <w:r>
        <w:rPr>
          <w:b/>
        </w:rPr>
        <w:t>Leading</w:t>
      </w:r>
      <w:r>
        <w:t>. Adani Ports and JSW Infra moving together is not coincidence.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 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12.29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+0.49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$103.47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-2.1%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100.31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+1.26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4,416.50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67.15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+4.1%</w:t>
            </w:r>
          </w:p>
        </w:tc>
      </w:tr>
    </w:tbl>
    <w:p/>
    <w:p>
      <w:r>
        <w:t xml:space="preserve">VIX ticked up but stayed benign — the correction is orderly, not panicky. DXY firmed on the Fed hike, pressuring the rupee. Silver's +4.1% is the standout commodity move — feeding directly into the Indian silver ETF surge that flipped the ETF sector to </w:t>
      </w:r>
      <w:r>
        <w:rPr>
          <w:b/>
        </w:rPr>
        <w:t>Leading</w:t>
      </w:r>
      <w:r>
        <w:t>.</w:t>
      </w:r>
    </w:p>
    <w:p>
      <w:r>
        <w:rPr>
          <w:b/>
        </w:rPr>
        <w:t>Domestic policy — the real drivers:</w:t>
      </w:r>
    </w:p>
    <w:p>
      <w:pPr>
        <w:pStyle w:val="ListBullet"/>
      </w:pPr>
      <w:r>
        <w:rPr>
          <w:b/>
        </w:rPr>
        <w:t>US Fed +25 bps</w:t>
      </w:r>
      <w:r>
        <w:t xml:space="preserve"> — first hike in three years. Analysts now expect the </w:t>
      </w:r>
      <w:r>
        <w:rPr>
          <w:b/>
        </w:rPr>
        <w:t>RBI to follow with two hikes by end-CY2026</w:t>
      </w:r>
      <w:r>
        <w:t>.</w:t>
      </w:r>
    </w:p>
    <w:p>
      <w:pPr>
        <w:pStyle w:val="ListBullet"/>
      </w:pPr>
      <w:r>
        <w:rPr>
          <w:b/>
        </w:rPr>
        <w:t>India August CPI accelerated</w:t>
      </w:r>
      <w:r>
        <w:t xml:space="preserve"> — pause room shrinking.</w:t>
      </w:r>
    </w:p>
    <w:p>
      <w:pPr>
        <w:pStyle w:val="ListBullet"/>
      </w:pPr>
      <w:r>
        <w:rPr>
          <w:b/>
        </w:rPr>
        <w:t>RBI drained ₹500 billion</w:t>
      </w:r>
      <w:r>
        <w:t xml:space="preserve"> via debt sales and signalled more debt issuance — direct liquidity headwind for banking.</w:t>
      </w:r>
    </w:p>
    <w:p>
      <w:pPr>
        <w:pStyle w:val="ListBullet"/>
      </w:pPr>
      <w:r>
        <w:rPr>
          <w:b/>
        </w:rPr>
        <w:t>Tata Sons banking-license rejected</w:t>
      </w:r>
      <w:r>
        <w:t xml:space="preserve"> — RBI even filed a caveat to block listing without authorisation. Direct hit to the Tata complex and a policy signal that the RBI is defending the perimeter of the banking system.</w:t>
      </w:r>
    </w:p>
    <w:p>
      <w:pPr>
        <w:pStyle w:val="ListBullet"/>
      </w:pPr>
      <w:r>
        <w:rPr>
          <w:b/>
        </w:rPr>
        <w:t>MDR on large-value UPI transactions</w:t>
      </w:r>
      <w:r>
        <w:t xml:space="preserve"> — mixed for fintech; a revenue positive for payment infrastructure long-term.</w:t>
      </w:r>
    </w:p>
    <w:p>
      <w:pPr>
        <w:pStyle w:val="ListBullet"/>
      </w:pPr>
      <w:r>
        <w:rPr>
          <w:b/>
        </w:rPr>
        <w:t>US House Russia-sanctions bill</w:t>
      </w:r>
      <w:r>
        <w:t xml:space="preserve"> advanced with a </w:t>
      </w:r>
      <w:r>
        <w:rPr>
          <w:b/>
        </w:rPr>
        <w:t>100% tariff amendment</w:t>
      </w:r>
      <w:r>
        <w:t xml:space="preserve"> targeting India as a Russian-oil buyer. Final vote pending — this is a live geopolitical overhang on IT and pharma exports. TCS's -4.5% week is likely partly this.</w:t>
      </w:r>
    </w:p>
    <w:p>
      <w:pPr>
        <w:pStyle w:val="ListBullet"/>
      </w:pPr>
      <w:r>
        <w:t xml:space="preserve">Bullish counter: </w:t>
      </w:r>
      <w:r>
        <w:rPr>
          <w:b/>
        </w:rPr>
        <w:t>India's US Treasury purchases hit a record $15.2 billion</w:t>
      </w:r>
      <w:r>
        <w:t>, signalling RBI still has ample dollar firepower.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The RBI response.</w:t>
      </w:r>
      <w:r>
        <w:t xml:space="preserve"> With CPI accelerating and the Fed hiking, the two-hike-by-CY2026 consensus will get tested. Any RBI signal (there's no specific meeting flagged in the digest) is the single biggest catalyst.</w:t>
      </w:r>
    </w:p>
    <w:p>
      <w:pPr>
        <w:pStyle w:val="ListBullet"/>
      </w:pPr>
      <w:r>
        <w:rPr>
          <w:b/>
        </w:rPr>
        <w:t>US Russia-sanctions bill final vote</w:t>
      </w:r>
      <w:r>
        <w:t xml:space="preserve"> — the House amendment with 100% tariffs on Russian-oil buyers targets India. IT and pharma most exposed.</w:t>
      </w:r>
    </w:p>
    <w:p>
      <w:pPr>
        <w:pStyle w:val="ListBullet"/>
      </w:pPr>
      <w:r>
        <w:rPr>
          <w:b/>
        </w:rPr>
        <w:t>Nifty levels:</w:t>
      </w:r>
      <w:r>
        <w:t xml:space="preserve"> immediate resistance at the </w:t>
      </w:r>
      <w:r>
        <w:rPr>
          <w:b/>
        </w:rPr>
        <w:t>EMA 20 (23,684)</w:t>
      </w:r>
      <w:r>
        <w:t xml:space="preserve"> — Nifty needs a ~1.5% move to reclaim it. Downside pivot is </w:t>
      </w:r>
      <w:r>
        <w:rPr>
          <w:b/>
        </w:rPr>
        <w:t>Tuesday's low of 23,118</w:t>
      </w:r>
      <w:r>
        <w:t>; a break of that opens 23,000.</w:t>
      </w:r>
    </w:p>
    <w:p>
      <w:pPr>
        <w:pStyle w:val="ListBullet"/>
      </w:pPr>
      <w:r>
        <w:rPr>
          <w:b/>
        </w:rPr>
        <w:t>Continuation themes worth monitoring:</w:t>
      </w:r>
      <w:r>
        <w:t xml:space="preserve"> the FMCG / Consumer Services defensive rotation (Patanjali, Dabur, HDFC Bank strength); whether Infrastructure sustains its Leading-quadrant flip (Adani Ports, JSW Infra, L&amp;T); the industrials multi-signal cluster (Graphite, Shyam Metal, Redington).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six-week correction is showing internal repair.</w:t>
      </w:r>
      <w:r>
        <w:t xml:space="preserve"> Breadth improved from 40% to 46% above the 200-EMA, fresh lows collapsed from 57 to 14, and Thursday-Friday printed clean A/D expansion. But Nifty is still below all three EMAs and no new 52-week highs printed anywhere — this is stabilisation, not reversal. Reclaiming the EMA 20 at 23,684 would be the first evidence of anything more.</w:t>
      </w:r>
    </w:p>
    <w:p>
      <w:pPr>
        <w:pStyle w:val="ListNumber"/>
      </w:pPr>
      <w:r>
        <w:rPr>
          <w:b/>
        </w:rPr>
        <w:t>Defensive rotation is the tell.</w:t>
      </w:r>
      <w:r>
        <w:t xml:space="preserve"> FMCG flipped Improving, Consumer Services flipped Leading, HDFC Bank ripped +5.4% while mid-tier banks lagged, and Titan sold off on +63% EPS. Money is going to quality and staples, not cyclicals — consistent with the rate-hike overhang. Watch whether the FMCG improvement translates to sustained price action in second-tier names or fades in a week.</w:t>
      </w:r>
    </w:p>
    <w:p>
      <w:pPr>
        <w:pStyle w:val="ListNumber"/>
      </w:pPr>
      <w:r>
        <w:rPr>
          <w:b/>
        </w:rPr>
        <w:t>The earnings base is strong but the policy tape is hostile.</w:t>
      </w:r>
      <w:r>
        <w:t xml:space="preserve"> Every sector shows positive median EPS growth for Jun 2026. That's the floor. The ceiling is set by RBI liquidity tightening, the CPI print, the Fed cycle, and the Russia-sanctions overhang. Until one of those clears, dips will be shallow but rallies will be capped.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