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Weekly Market Intelligence — 2026-07-11</w:t>
      </w:r>
    </w:p>
    <w:p>
      <w:pPr>
        <w:pStyle w:val="Heading1"/>
      </w:pPr>
      <w:r>
        <w:t>Weekly Market Report — 2026-07-11</w:t>
      </w:r>
    </w:p>
    <w:p>
      <w:pPr>
        <w:pStyle w:val="Heading2"/>
      </w:pPr>
      <w:r>
        <w:t>1. What Happened This Week</w:t>
      </w:r>
    </w:p>
    <w:p>
      <w:r>
        <w:t xml:space="preserve">Nifty 50 finished the week at </w:t>
      </w:r>
      <w:r>
        <w:rPr>
          <w:b/>
        </w:rPr>
        <w:t>24,210.85</w:t>
      </w:r>
      <w:r>
        <w:t xml:space="preserve">, a slim </w:t>
      </w:r>
      <w:r>
        <w:rPr>
          <w:b/>
        </w:rPr>
        <w:t>-0.2%</w:t>
      </w:r>
      <w:r>
        <w:t xml:space="preserve"> dip from Sunday's 24,270.55 — but that headline masks a wild ride. The index printed a mid-week gut-punch on </w:t>
      </w:r>
      <w:r>
        <w:rPr>
          <w:b/>
        </w:rPr>
        <w:t>Wednesday, closing at 23,896.30</w:t>
      </w:r>
      <w:r>
        <w:t xml:space="preserve"> (down ~1.9% intraday), before staging a two-day recovery through Friday. The dominant catalyst was </w:t>
      </w:r>
      <w:r>
        <w:rPr>
          <w:b/>
        </w:rPr>
        <w:t>US-Iran military tensions escalating</w:t>
      </w:r>
      <w:r>
        <w:t xml:space="preserve"> — Brent Crude jumped </w:t>
      </w:r>
      <w:r>
        <w:rPr>
          <w:b/>
        </w:rPr>
        <w:t>+6.1% to $76.59</w:t>
      </w:r>
      <w:r>
        <w:t xml:space="preserve"> — combined with a </w:t>
      </w:r>
      <w:r>
        <w:rPr>
          <w:b/>
        </w:rPr>
        <w:t>domestic petrol/diesel price hike of ₹3/L</w:t>
      </w:r>
      <w:r>
        <w:t xml:space="preserve"> (CNG up ₹2/L in Delhi) that landed mid-week and stung transport, logistics and discretionary names. Cushioning the blow: the </w:t>
      </w:r>
      <w:r>
        <w:rPr>
          <w:b/>
        </w:rPr>
        <w:t>CBIC's customs-duty exemption on electronics, smartphone parts and Li-ion machinery inputs</w:t>
      </w:r>
      <w:r>
        <w:t xml:space="preserve"> (bullish for EMS/electronics), and the </w:t>
      </w:r>
      <w:r>
        <w:rPr>
          <w:b/>
        </w:rPr>
        <w:t>UK FTA vehicle quota notification</w:t>
      </w:r>
      <w:r>
        <w:t xml:space="preserve"> (tariff benefits kick in July 15). Under the hood, the real story was </w:t>
      </w:r>
      <w:r>
        <w:rPr>
          <w:b/>
        </w:rPr>
        <w:t>rotation</w:t>
      </w:r>
      <w:r>
        <w:t>: IT flipped from Lagging to Improving, FMCG woke up, while Aviation, Infrastructure and Textiles got dumped hard.</w:t>
      </w:r>
    </w:p>
    <w:p>
      <w:pPr>
        <w:pStyle w:val="Heading2"/>
      </w:pPr>
      <w:r>
        <w:t>2. The Trend Picture</w:t>
      </w:r>
    </w:p>
    <w:p>
      <w:r>
        <w:t>Nifty is caught in a genuinely mixed technical setup — the kind that keeps both bulls and bears honest: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EMA (Exponential Moving Average — smoothed recent close, used as trend reference)</w:t>
            </w:r>
          </w:p>
        </w:tc>
        <w:tc>
          <w:tcPr>
            <w:tcW w:type="dxa" w:w="2880"/>
          </w:tcPr>
          <w:p>
            <w:r/>
            <w:r>
              <w:rPr>
                <w:b/>
                <w:sz w:val="20"/>
              </w:rPr>
              <w:t>Level</w:t>
            </w:r>
          </w:p>
        </w:tc>
        <w:tc>
          <w:tcPr>
            <w:tcW w:type="dxa" w:w="2880"/>
          </w:tcPr>
          <w:p>
            <w:r/>
            <w:r>
              <w:rPr>
                <w:b/>
                <w:sz w:val="20"/>
              </w:rPr>
              <w:t>Nifty vs EMA</w:t>
            </w:r>
          </w:p>
        </w:tc>
      </w:tr>
      <w:tr>
        <w:tc>
          <w:tcPr>
            <w:tcW w:type="dxa" w:w="2880"/>
          </w:tcPr>
          <w:p>
            <w:r>
              <w:rPr>
                <w:sz w:val="20"/>
              </w:rPr>
            </w:r>
            <w:r>
              <w:rPr>
                <w:sz w:val="20"/>
              </w:rPr>
              <w:t>EMA 20</w:t>
            </w:r>
          </w:p>
        </w:tc>
        <w:tc>
          <w:tcPr>
            <w:tcW w:type="dxa" w:w="2880"/>
          </w:tcPr>
          <w:p>
            <w:r>
              <w:rPr>
                <w:sz w:val="20"/>
              </w:rPr>
            </w:r>
            <w:r>
              <w:rPr>
                <w:sz w:val="20"/>
              </w:rPr>
              <w:t>23,992.66</w:t>
            </w:r>
          </w:p>
        </w:tc>
        <w:tc>
          <w:tcPr>
            <w:tcW w:type="dxa" w:w="2880"/>
          </w:tcPr>
          <w:p>
            <w:r>
              <w:rPr>
                <w:sz w:val="20"/>
              </w:rPr>
            </w:r>
            <w:r>
              <w:rPr>
                <w:b/>
                <w:sz w:val="20"/>
              </w:rPr>
              <w:t>ABOVE</w:t>
            </w:r>
            <w:r>
              <w:rPr>
                <w:sz w:val="20"/>
              </w:rPr>
              <w:t xml:space="preserve"> (+0.9%)</w:t>
            </w:r>
          </w:p>
        </w:tc>
      </w:tr>
      <w:tr>
        <w:tc>
          <w:tcPr>
            <w:tcW w:type="dxa" w:w="2880"/>
          </w:tcPr>
          <w:p>
            <w:r>
              <w:rPr>
                <w:sz w:val="20"/>
              </w:rPr>
            </w:r>
            <w:r>
              <w:rPr>
                <w:sz w:val="20"/>
              </w:rPr>
              <w:t>EMA 50</w:t>
            </w:r>
          </w:p>
        </w:tc>
        <w:tc>
          <w:tcPr>
            <w:tcW w:type="dxa" w:w="2880"/>
          </w:tcPr>
          <w:p>
            <w:r>
              <w:rPr>
                <w:sz w:val="20"/>
              </w:rPr>
            </w:r>
            <w:r>
              <w:rPr>
                <w:sz w:val="20"/>
              </w:rPr>
              <w:t>23,903.96</w:t>
            </w:r>
          </w:p>
        </w:tc>
        <w:tc>
          <w:tcPr>
            <w:tcW w:type="dxa" w:w="2880"/>
          </w:tcPr>
          <w:p>
            <w:r>
              <w:rPr>
                <w:sz w:val="20"/>
              </w:rPr>
            </w:r>
            <w:r>
              <w:rPr>
                <w:b/>
                <w:sz w:val="20"/>
              </w:rPr>
              <w:t>ABOVE</w:t>
            </w:r>
            <w:r>
              <w:rPr>
                <w:sz w:val="20"/>
              </w:rPr>
              <w:t xml:space="preserve"> (+1.3%)</w:t>
            </w:r>
          </w:p>
        </w:tc>
      </w:tr>
      <w:tr>
        <w:tc>
          <w:tcPr>
            <w:tcW w:type="dxa" w:w="2880"/>
          </w:tcPr>
          <w:p>
            <w:r>
              <w:rPr>
                <w:sz w:val="20"/>
              </w:rPr>
            </w:r>
            <w:r>
              <w:rPr>
                <w:sz w:val="20"/>
              </w:rPr>
              <w:t>EMA 200</w:t>
            </w:r>
          </w:p>
        </w:tc>
        <w:tc>
          <w:tcPr>
            <w:tcW w:type="dxa" w:w="2880"/>
          </w:tcPr>
          <w:p>
            <w:r>
              <w:rPr>
                <w:sz w:val="20"/>
              </w:rPr>
            </w:r>
            <w:r>
              <w:rPr>
                <w:sz w:val="20"/>
              </w:rPr>
              <w:t>24,431.27</w:t>
            </w:r>
          </w:p>
        </w:tc>
        <w:tc>
          <w:tcPr>
            <w:tcW w:type="dxa" w:w="2880"/>
          </w:tcPr>
          <w:p>
            <w:r>
              <w:rPr>
                <w:sz w:val="20"/>
              </w:rPr>
            </w:r>
            <w:r>
              <w:rPr>
                <w:b/>
                <w:sz w:val="20"/>
              </w:rPr>
              <w:t>BELOW</w:t>
            </w:r>
            <w:r>
              <w:rPr>
                <w:sz w:val="20"/>
              </w:rPr>
              <w:t xml:space="preserve"> (-0.9%)</w:t>
            </w:r>
          </w:p>
        </w:tc>
      </w:tr>
    </w:tbl>
    <w:p/>
    <w:p>
      <w:r>
        <w:t xml:space="preserve">Short and medium-term trends are constructive, but the </w:t>
      </w:r>
      <w:r>
        <w:rPr>
          <w:b/>
        </w:rPr>
        <w:t>200-day EMA acting as overhead resistance</w:t>
      </w:r>
      <w:r>
        <w:t xml:space="preserve"> is the story — bulls need to reclaim ~24,431 to talk about a fresh uptrend.</w:t>
      </w:r>
    </w:p>
    <w:p>
      <w:r>
        <w:t xml:space="preserve">Breadth confirms the whiplash. Wednesday was ugly: </w:t>
      </w:r>
      <w:r>
        <w:rPr>
          <w:b/>
        </w:rPr>
        <w:t>62 advances vs 523 declines</w:t>
      </w:r>
      <w:r>
        <w:t xml:space="preserve">, six fresh 52-week lows, and % of stocks above their 200-EMA collapsing to </w:t>
      </w:r>
      <w:r>
        <w:rPr>
          <w:b/>
        </w:rPr>
        <w:t>47%</w:t>
      </w:r>
      <w:r>
        <w:t xml:space="preserve">. But Thursday and Friday snapped back hard — </w:t>
      </w:r>
      <w:r>
        <w:rPr>
          <w:b/>
        </w:rPr>
        <w:t>Friday's 485 advances vs 98 declines</w:t>
      </w:r>
      <w:r>
        <w:t xml:space="preserve"> was a textbook washout-and-recovery A/D print (advance/decline: stocks up vs stocks down), and % above EMA200 recovered to </w:t>
      </w:r>
      <w:r>
        <w:rPr>
          <w:b/>
        </w:rPr>
        <w:t>54%</w:t>
      </w:r>
      <w:r>
        <w:t>. One fresh 52-week high on Friday, zero new lows. The rotation is happening in real time — you can see it in the daily numbers.</w:t>
      </w:r>
    </w:p>
    <w:p>
      <w:pPr>
        <w:pStyle w:val="Heading2"/>
      </w:pPr>
      <w:r>
        <w:t>3. Sector Rotation — Where Money Is Flowing</w:t>
      </w:r>
    </w:p>
    <w:p>
      <w:r>
        <w:rPr>
          <w:b/>
        </w:rPr>
        <w:t>Top 3 (5-day median):</w:t>
      </w:r>
      <w:r>
        <w:t xml:space="preserve"> REALTY </w:t>
      </w:r>
      <w:r>
        <w:rPr>
          <w:b/>
        </w:rPr>
        <w:t>+4.4%</w:t>
      </w:r>
      <w:r>
        <w:t xml:space="preserve">, IT </w:t>
      </w:r>
      <w:r>
        <w:rPr>
          <w:b/>
        </w:rPr>
        <w:t>+2.6%</w:t>
      </w:r>
      <w:r>
        <w:t xml:space="preserve">, HEALTHCARE </w:t>
      </w:r>
      <w:r>
        <w:rPr>
          <w:b/>
        </w:rPr>
        <w:t>+1.0%</w:t>
      </w:r>
      <w:r>
        <w:t xml:space="preserve">. </w:t>
      </w:r>
      <w:r>
        <w:rPr>
          <w:b/>
        </w:rPr>
        <w:t>Bottom 3:</w:t>
      </w:r>
      <w:r>
        <w:t xml:space="preserve"> TEXTILES </w:t>
      </w:r>
      <w:r>
        <w:rPr>
          <w:b/>
        </w:rPr>
        <w:t>-4.3%</w:t>
      </w:r>
      <w:r>
        <w:t xml:space="preserve">, AGRICULTURE </w:t>
      </w:r>
      <w:r>
        <w:rPr>
          <w:b/>
        </w:rPr>
        <w:t>-4.2%</w:t>
      </w:r>
      <w:r>
        <w:t xml:space="preserve">, ETF </w:t>
      </w:r>
      <w:r>
        <w:rPr>
          <w:b/>
        </w:rPr>
        <w:t>-3.6%</w:t>
      </w:r>
      <w:r>
        <w:t>.</w:t>
      </w:r>
    </w:p>
    <w:p>
      <w:r>
        <w:t>The quadrant flips (RRG — Relative Rotation Graph — quadrant transitions across Leading / Weakening / Lagging / Improving zones) tell the cleaner story:</w:t>
      </w:r>
    </w:p>
    <w:p>
      <w:pPr>
        <w:pStyle w:val="ListBullet"/>
      </w:pPr>
      <w:r>
        <w:rPr>
          <w:b/>
        </w:rPr>
        <w:t>IT: Lagging → Improving</w:t>
      </w:r>
      <w:r>
        <w:t xml:space="preserve"> (RS Δ +3.7). After a brutal -20.9% YTD and -31.5% 1Y, IT is finally showing early life. TCS reported +5% EPS YoY, +13.9% Rev YoY — nothing to write home about but stable. Money is likely rotating in on cheap valuations plus a weaker rupee tailwind.</w:t>
      </w:r>
    </w:p>
    <w:p>
      <w:pPr>
        <w:pStyle w:val="ListBullet"/>
      </w:pPr>
      <w:r>
        <w:rPr>
          <w:b/>
        </w:rPr>
        <w:t>FMCG: Lagging → Improving</w:t>
      </w:r>
      <w:r>
        <w:t xml:space="preserve"> — a defensive tell, consistent with mid-week risk-off.</w:t>
      </w:r>
    </w:p>
    <w:p>
      <w:pPr>
        <w:pStyle w:val="ListBullet"/>
      </w:pPr>
      <w:r>
        <w:rPr>
          <w:b/>
        </w:rPr>
        <w:t>ETF: Lagging → Improving</w:t>
      </w:r>
      <w:r>
        <w:t xml:space="preserve"> — the divergence tell. Domestic gold/silver ETFs firming while global gold fell </w:t>
      </w:r>
      <w:r>
        <w:rPr>
          <w:b/>
        </w:rPr>
        <w:t>-1.6%</w:t>
      </w:r>
      <w:r>
        <w:t xml:space="preserve"> and silver </w:t>
      </w:r>
      <w:r>
        <w:rPr>
          <w:b/>
        </w:rPr>
        <w:t>-3.4%</w:t>
      </w:r>
      <w:r>
        <w:t xml:space="preserve"> would normally point to a policy/duty cause, but no fresh precious-metals duty is in this week's digest — so treat the ETF quadrant flip cautiously; it's likely rupee-weakness driven as the RBI unwinds USD-bullish positioning.</w:t>
      </w:r>
    </w:p>
    <w:p>
      <w:pPr>
        <w:pStyle w:val="ListBullet"/>
      </w:pPr>
      <w:r>
        <w:rPr>
          <w:b/>
        </w:rPr>
        <w:t>REALTY</w:t>
      </w:r>
      <w:r>
        <w:t xml:space="preserve"> stays hot (+17.9% 1M, +24.8% 3M) — RBI holding repo rate is the ongoing tailwind (background, not fresh news).</w:t>
      </w:r>
    </w:p>
    <w:p>
      <w:pPr>
        <w:pStyle w:val="ListBullet"/>
      </w:pPr>
      <w:r>
        <w:rPr>
          <w:b/>
        </w:rPr>
        <w:t>TEXTILES: Leading → Weakening</w:t>
      </w:r>
      <w:r>
        <w:t xml:space="preserve"> — the </w:t>
      </w:r>
      <w:r>
        <w:rPr>
          <w:b/>
        </w:rPr>
        <w:t>US 12.5% Sec 301 forced-labour tariff proposal</w:t>
      </w:r>
      <w:r>
        <w:t xml:space="preserve"> is the direct hit. Textiles are labour-intensive exports, right in the crosshairs.</w:t>
      </w:r>
    </w:p>
    <w:p>
      <w:pPr>
        <w:pStyle w:val="ListBullet"/>
      </w:pPr>
      <w:r>
        <w:rPr>
          <w:b/>
        </w:rPr>
        <w:t>AVIATION: Leading → Weakening</w:t>
      </w:r>
      <w:r>
        <w:t xml:space="preserve"> and </w:t>
      </w:r>
      <w:r>
        <w:rPr>
          <w:b/>
        </w:rPr>
        <w:t>INFRASTRUCTURE / CONGLOMERATE: Leading → Lagging</w:t>
      </w:r>
      <w:r>
        <w:t xml:space="preserve"> — Brent up 6.1% plus the domestic fuel price hike is the obvious pain trade.</w:t>
      </w:r>
    </w:p>
    <w:p>
      <w:pPr>
        <w:pStyle w:val="Heading2"/>
      </w:pPr>
      <w:r>
        <w:t>4. Earnings Pulse</w:t>
      </w:r>
    </w:p>
    <w:p>
      <w:r>
        <w:rPr>
          <w:b/>
        </w:rPr>
        <w:t>Season: Jun 2026.</w:t>
      </w:r>
      <w:r>
        <w:t xml:space="preserve"> Only </w:t>
      </w:r>
      <w:r>
        <w:rPr>
          <w:b/>
        </w:rPr>
        <w:t>6 stocks</w:t>
      </w:r>
      <w:r>
        <w:t xml:space="preserve"> have reported so far; </w:t>
      </w:r>
      <w:r>
        <w:rPr>
          <w:b/>
        </w:rPr>
        <w:t>539 haven't</w:t>
      </w:r>
      <w:r>
        <w:t xml:space="preserve"> — this is the very front-end of the reporting window, so read all inferences below with humility.</w:t>
      </w:r>
    </w:p>
    <w:p>
      <w:r>
        <w:rPr>
          <w:b/>
        </w:rPr>
        <w:t>(a) Sector aggregate:</w:t>
      </w:r>
      <w:r>
        <w:t xml:space="preserve"> genuinely too sparse to call. Two PSU banks (INDIANB +48% EPS, MAHABANK +34%) and two financial-services names (LTF +28%, ANANDRATHI +74%) point to a </w:t>
      </w:r>
      <w:r>
        <w:rPr>
          <w:b/>
        </w:rPr>
        <w:t>strong opening for banks/financials</w:t>
      </w:r>
      <w:r>
        <w:t>, but four data points don't make a trend.</w:t>
      </w:r>
    </w:p>
    <w:p>
      <w:r>
        <w:rPr>
          <w:b/>
        </w:rPr>
        <w:t>(b) Top-of-list extremes:</w:t>
      </w:r>
      <w:r>
        <w:t xml:space="preserve"> ANANDRATHI's </w:t>
      </w:r>
      <w:r>
        <w:rPr>
          <w:b/>
        </w:rPr>
        <w:t>+74% EPS YoY</w:t>
      </w:r>
      <w:r>
        <w:t xml:space="preserve"> is the standout beat (+17.5% revenue confirms it's real, not low-base). ELECON's </w:t>
      </w:r>
      <w:r>
        <w:rPr>
          <w:b/>
        </w:rPr>
        <w:t>-60% EPS</w:t>
      </w:r>
      <w:r>
        <w:t xml:space="preserve"> on +6.1% revenue signals margin collapse — worth watching but a single industrial name.</w:t>
      </w:r>
    </w:p>
    <w:p>
      <w:r>
        <w:rPr>
          <w:b/>
        </w:rPr>
        <w:t>(c) Bellwethers — critical staleness caveat:</w:t>
      </w:r>
      <w:r>
        <w:t xml:space="preserve"> the "Recent Earnings Declared (last 10 days)" section is </w:t>
      </w:r>
      <w:r>
        <w:rPr>
          <w:b/>
        </w:rPr>
        <w:t>empty</w:t>
      </w:r>
      <w:r>
        <w:t>. That means every EPS number in the bellwether table below was filed weeks ago — this week's price action is NOT a fresh earnings reaction. Treat separately:</w:t>
      </w:r>
    </w:p>
    <w:p>
      <w:pPr>
        <w:pStyle w:val="ListBullet"/>
      </w:pPr>
      <w:r>
        <w:rPr>
          <w:b/>
        </w:rPr>
        <w:t>TCS (IT, ₹7.49L cr mcap)</w:t>
      </w:r>
      <w:r>
        <w:t>: +5% EPS, +13.9% Rev — solid but unspectacular. Price flat this week (+0.9% 1d, -1.2% 5d). The IT sector's Lagging → Improving flip is the story; TCS is participating quietly.</w:t>
      </w:r>
    </w:p>
    <w:p>
      <w:pPr>
        <w:pStyle w:val="ListBullet"/>
      </w:pPr>
      <w:r>
        <w:rPr>
          <w:b/>
        </w:rPr>
        <w:t>INDIAN BANK (Banking, ₹1.17L cr)</w:t>
      </w:r>
      <w:r>
        <w:t xml:space="preserve">: +48% EPS, and price action </w:t>
      </w:r>
      <w:r>
        <w:rPr>
          <w:b/>
        </w:rPr>
        <w:t>+9.8% 1d / +9.0% 5d</w:t>
      </w:r>
      <w:r>
        <w:t xml:space="preserve">. This one's notable — INDIANB also fired a </w:t>
      </w:r>
      <w:r>
        <w:rPr>
          <w:b/>
        </w:rPr>
        <w:t>6.2x volume breakout</w:t>
      </w:r>
      <w:r>
        <w:t xml:space="preserve"> on Friday. Whether the print is technically "old" or not, institutions clearly re-rated the stock this week. Read-through: PSU banks may be catching a bid.</w:t>
      </w:r>
    </w:p>
    <w:p>
      <w:pPr>
        <w:pStyle w:val="ListBullet"/>
      </w:pPr>
      <w:r>
        <w:rPr>
          <w:b/>
        </w:rPr>
        <w:t>MAHABANK (Banking, ₹64,801 cr)</w:t>
      </w:r>
      <w:r>
        <w:t xml:space="preserve">: same story as INDIANB on paper (+34% EPS), but price is </w:t>
      </w:r>
      <w:r>
        <w:rPr>
          <w:b/>
        </w:rPr>
        <w:t>-4.8% over 5 days</w:t>
      </w:r>
      <w:r>
        <w:t xml:space="preserve"> — and MAHABANK is on the "worst rank decliners" list. The disconnect between print and price is telling; the market is discriminating within PSU banks, not painting them all with the same brush.</w:t>
      </w:r>
    </w:p>
    <w:p>
      <w:pPr>
        <w:pStyle w:val="ListBullet"/>
      </w:pPr>
      <w:r>
        <w:rPr>
          <w:b/>
        </w:rPr>
        <w:t>ANANDRATHI (Financial Services)</w:t>
      </w:r>
      <w:r>
        <w:t>: +74% EPS, +2.4%/+4.1% price — clean confirmation that wealth-management earnings momentum is holding up.</w:t>
      </w:r>
    </w:p>
    <w:p>
      <w:pPr>
        <w:pStyle w:val="Heading2"/>
      </w:pPr>
      <w:r>
        <w:t>5. Technical Signals This Week</w:t>
      </w:r>
    </w:p>
    <w:p>
      <w:r>
        <w:t xml:space="preserve">Total unique stocks firing signals this week: </w:t>
      </w:r>
      <w:r>
        <w:rPr>
          <w:b/>
        </w:rPr>
        <w:t>122</w:t>
      </w:r>
      <w:r>
        <w:t xml:space="preserve"> (across all indicator types). Notable shifts:</w:t>
      </w:r>
    </w:p>
    <w:p>
      <w:pPr>
        <w:pStyle w:val="ListBullet"/>
      </w:pPr>
      <w:r>
        <w:rPr>
          <w:b/>
        </w:rPr>
        <w:t>Blue Zone Buy</w:t>
      </w:r>
      <w:r>
        <w:t xml:space="preserve"> (the dashboard's momentum-accumulation watchlist — RSI momentum rising, stock above its 20-EMA, within 10% of 52-week high): </w:t>
      </w:r>
      <w:r>
        <w:rPr>
          <w:b/>
        </w:rPr>
        <w:t>85 unique stocks vs 77 prior week (+8)</w:t>
      </w:r>
      <w:r>
        <w:t xml:space="preserve">. 21 fresh entries. Examples: </w:t>
      </w:r>
      <w:r>
        <w:rPr>
          <w:b/>
        </w:rPr>
        <w:t>AEGISLOG, QUESS, NUVAMA, PRESTIGE, PHOENIXLTD</w:t>
      </w:r>
      <w:r>
        <w:t>. The accumulation universe is quietly expanding.</w:t>
      </w:r>
    </w:p>
    <w:p>
      <w:pPr>
        <w:pStyle w:val="ListBullet"/>
      </w:pPr>
      <w:r>
        <w:rPr>
          <w:b/>
        </w:rPr>
        <w:t>MACD Buy</w:t>
      </w:r>
      <w:r>
        <w:t xml:space="preserve"> (Moving Average Convergence Divergence — momentum oscillator turning positive, a trend-change signal): </w:t>
      </w:r>
      <w:r>
        <w:rPr>
          <w:b/>
        </w:rPr>
        <w:t>25 stocks vs 17 (+8)</w:t>
      </w:r>
      <w:r>
        <w:t xml:space="preserve">. 16 fresh entries — the strongest breadth expansion this week. Examples: </w:t>
      </w:r>
      <w:r>
        <w:rPr>
          <w:b/>
        </w:rPr>
        <w:t>QUESS, SPARC, MINDACORP, AKUMS, HONASA</w:t>
      </w:r>
      <w:r>
        <w:t>.</w:t>
      </w:r>
    </w:p>
    <w:p>
      <w:pPr>
        <w:pStyle w:val="ListBullet"/>
      </w:pPr>
      <w:r>
        <w:rPr>
          <w:b/>
        </w:rPr>
        <w:t>Narrow CPR Breakaway</w:t>
      </w:r>
      <w:r>
        <w:t xml:space="preserve"> (Central Pivot Range — tight pivot setup that often precedes a directional breakout): </w:t>
      </w:r>
      <w:r>
        <w:rPr>
          <w:b/>
        </w:rPr>
        <w:t>24 stocks vs 39 (-15)</w:t>
      </w:r>
      <w:r>
        <w:t xml:space="preserve">. Sharp contraction. Examples: </w:t>
      </w:r>
      <w:r>
        <w:rPr>
          <w:b/>
        </w:rPr>
        <w:t>BOSCHLTD, TITAN, WELCORP, TORNTPHARM</w:t>
      </w:r>
      <w:r>
        <w:t>. Fewer coiled-spring setups — the market did its breakouts this week.</w:t>
      </w:r>
    </w:p>
    <w:p>
      <w:pPr>
        <w:pStyle w:val="ListBullet"/>
      </w:pPr>
      <w:r>
        <w:rPr>
          <w:b/>
        </w:rPr>
        <w:t>MACD Strong</w:t>
      </w:r>
      <w:r>
        <w:t xml:space="preserve">: </w:t>
      </w:r>
      <w:r>
        <w:rPr>
          <w:b/>
        </w:rPr>
        <w:t>18 vs 15 (+3)</w:t>
      </w:r>
      <w:r>
        <w:t xml:space="preserve">. Examples: </w:t>
      </w:r>
      <w:r>
        <w:rPr>
          <w:b/>
        </w:rPr>
        <w:t>SPARC, SFL, PIDILITIND</w:t>
      </w:r>
      <w:r>
        <w:t>.</w:t>
      </w:r>
    </w:p>
    <w:p>
      <w:pPr>
        <w:pStyle w:val="ListBullet"/>
      </w:pPr>
      <w:r>
        <w:rPr>
          <w:b/>
        </w:rPr>
        <w:t>Blue Zone Strong</w:t>
      </w:r>
      <w:r>
        <w:t xml:space="preserve"> (higher-conviction version of Blue Zone): </w:t>
      </w:r>
      <w:r>
        <w:rPr>
          <w:b/>
        </w:rPr>
        <w:t>11 vs 17 (-6)</w:t>
      </w:r>
      <w:r>
        <w:t xml:space="preserve">. Contraction here matters — the strongest-momentum bucket is thinning. Examples: </w:t>
      </w:r>
      <w:r>
        <w:rPr>
          <w:b/>
        </w:rPr>
        <w:t>WABAG, NUVAMA, GREAVESCOT, ANANDRATHI</w:t>
      </w:r>
      <w:r>
        <w:t>.</w:t>
      </w:r>
    </w:p>
    <w:p>
      <w:pPr>
        <w:pStyle w:val="ListBullet"/>
      </w:pPr>
      <w:r>
        <w:rPr>
          <w:b/>
        </w:rPr>
        <w:t>VCP Buy</w:t>
      </w:r>
      <w:r>
        <w:t xml:space="preserve"> (Volatility Contraction Pattern — Minervini setup, tightening range before breakout): </w:t>
      </w:r>
      <w:r>
        <w:rPr>
          <w:b/>
        </w:rPr>
        <w:t>8 vs 6 (+2)</w:t>
      </w:r>
      <w:r>
        <w:t xml:space="preserve">. Examples: </w:t>
      </w:r>
      <w:r>
        <w:rPr>
          <w:b/>
        </w:rPr>
        <w:t>MINDACORP, NEULANDLAB, HFCL, IPCALAB, IDFCFIRSTB</w:t>
      </w:r>
      <w:r>
        <w:t>.</w:t>
      </w:r>
    </w:p>
    <w:p>
      <w:pPr>
        <w:pStyle w:val="ListBullet"/>
      </w:pPr>
      <w:r>
        <w:rPr>
          <w:b/>
        </w:rPr>
        <w:t>Golden Cross Buy</w:t>
      </w:r>
      <w:r>
        <w:t xml:space="preserve"> (20-EMA crossing above 50-EMA — classic medium-term trend flip): </w:t>
      </w:r>
      <w:r>
        <w:rPr>
          <w:b/>
        </w:rPr>
        <w:t>3 vs 10 (-7)</w:t>
      </w:r>
      <w:r>
        <w:t xml:space="preserve">. Sharp drop. Examples: </w:t>
      </w:r>
      <w:r>
        <w:rPr>
          <w:b/>
        </w:rPr>
        <w:t>CEATLTD, MAPMYINDIA, NAUKRI</w:t>
      </w:r>
      <w:r>
        <w:t>.</w:t>
      </w:r>
    </w:p>
    <w:p>
      <w:pPr>
        <w:pStyle w:val="ListBullet"/>
      </w:pPr>
      <w:r>
        <w:rPr>
          <w:b/>
        </w:rPr>
        <w:t>Bull Flag Buy</w:t>
      </w:r>
      <w:r>
        <w:t xml:space="preserve"> (sharp rally, orderly consolidation, then breakout above the range): </w:t>
      </w:r>
      <w:r>
        <w:rPr>
          <w:b/>
        </w:rPr>
        <w:t>3 vs 3</w:t>
      </w:r>
      <w:r>
        <w:t xml:space="preserve">. Examples: </w:t>
      </w:r>
      <w:r>
        <w:rPr>
          <w:b/>
        </w:rPr>
        <w:t>AEGISLOG, QUESS, WELSPUNLIV</w:t>
      </w:r>
      <w:r>
        <w:t>.</w:t>
      </w:r>
    </w:p>
    <w:p>
      <w:pPr>
        <w:pStyle w:val="ListBullet"/>
      </w:pPr>
      <w:r>
        <w:rPr>
          <w:b/>
        </w:rPr>
        <w:t>Pullback Bounce</w:t>
      </w:r>
      <w:r>
        <w:t xml:space="preserve">: </w:t>
      </w:r>
      <w:r>
        <w:rPr>
          <w:b/>
        </w:rPr>
        <w:t>3 vs 3</w:t>
      </w:r>
      <w:r>
        <w:t xml:space="preserve">. Examples: </w:t>
      </w:r>
      <w:r>
        <w:rPr>
          <w:b/>
        </w:rPr>
        <w:t>ADANIENT, JINDALSAW, WELCORP</w:t>
      </w:r>
      <w:r>
        <w:t>.</w:t>
      </w:r>
    </w:p>
    <w:p>
      <w:pPr>
        <w:pStyle w:val="ListBullet"/>
      </w:pPr>
      <w:r>
        <w:rPr>
          <w:b/>
        </w:rPr>
        <w:t>VCP Strong</w:t>
      </w:r>
      <w:r>
        <w:t>: 1 (</w:t>
      </w:r>
      <w:r>
        <w:rPr>
          <w:b/>
        </w:rPr>
        <w:t>RAYMOND</w:t>
      </w:r>
      <w:r>
        <w:t xml:space="preserve"> — the sole entrant).</w:t>
      </w:r>
    </w:p>
    <w:p>
      <w:r>
        <w:rPr>
          <w:b/>
        </w:rPr>
        <w:t>Multi-signal (2+ indicator types) — higher-conviction setups:</w:t>
      </w:r>
    </w:p>
    <w:p>
      <w:pPr>
        <w:pStyle w:val="ListBullet"/>
      </w:pPr>
      <w:r>
        <w:rPr>
          <w:b/>
        </w:rPr>
        <w:t>WELCORP</w:t>
      </w:r>
      <w:r>
        <w:t>: 5 signals (Blue Zone Buy, MACD Buy + Strong, Narrow CPR, Pullback Bounce) — the standout of the week.</w:t>
      </w:r>
    </w:p>
    <w:p>
      <w:pPr>
        <w:pStyle w:val="ListBullet"/>
      </w:pPr>
      <w:r>
        <w:rPr>
          <w:b/>
        </w:rPr>
        <w:t>APOLLOHOSP</w:t>
      </w:r>
      <w:r>
        <w:t>: 3 signals (Blue Zone Buy + Strong, MACD Buy) — clean healthcare setup.</w:t>
      </w:r>
    </w:p>
    <w:p>
      <w:pPr>
        <w:pStyle w:val="ListBullet"/>
      </w:pPr>
      <w:r>
        <w:rPr>
          <w:b/>
        </w:rPr>
        <w:t>QUESS</w:t>
      </w:r>
      <w:r>
        <w:t>: 3 signals including Bull Flag Buy.</w:t>
      </w:r>
    </w:p>
    <w:p>
      <w:pPr>
        <w:pStyle w:val="ListBullet"/>
      </w:pPr>
      <w:r>
        <w:rPr>
          <w:b/>
        </w:rPr>
        <w:t>SPARC, SFL, AKUMS, MINDACORP, NEULANDLAB, EXIDEIND, SUPRAJIT</w:t>
      </w:r>
      <w:r>
        <w:t xml:space="preserve"> all fired 3 signals each.</w:t>
      </w:r>
    </w:p>
    <w:p>
      <w:r>
        <w:rPr>
          <w:b/>
        </w:rPr>
        <w:t>Signal-mix takeaway:</w:t>
      </w:r>
      <w:r>
        <w:t xml:space="preserve"> MACD and Blue Zone Buy expanding while Blue Zone Strong, Golden Cross and Narrow CPR contract — this is a </w:t>
      </w:r>
      <w:r>
        <w:rPr>
          <w:b/>
        </w:rPr>
        <w:t>rotation signature</w:t>
      </w:r>
      <w:r>
        <w:t>, not a broad rally. New names are entering momentum status, but the strongest-conviction bucket is thinning. Consistent with what breadth showed.</w:t>
      </w:r>
    </w:p>
    <w:p>
      <w:pPr>
        <w:pStyle w:val="Heading2"/>
      </w:pPr>
      <w:r>
        <w:t>6. Notable Stock-Level Action</w:t>
      </w:r>
    </w:p>
    <w:p>
      <w:pPr>
        <w:pStyle w:val="ListBullet"/>
      </w:pPr>
      <w:r>
        <w:rPr>
          <w:b/>
        </w:rPr>
        <w:t>SHOPPERS STOP</w:t>
      </w:r>
      <w:r>
        <w:t xml:space="preserve"> — </w:t>
      </w:r>
      <w:r>
        <w:rPr>
          <w:b/>
        </w:rPr>
        <w:t>58.4x volume breakout</w:t>
      </w:r>
      <w:r>
        <w:t xml:space="preserve"> on Friday, despite a middling RS rank of #328. That's a "something changed" print; worth watching for a follow-up week.</w:t>
      </w:r>
    </w:p>
    <w:p>
      <w:pPr>
        <w:pStyle w:val="ListBullet"/>
      </w:pPr>
      <w:r>
        <w:rPr>
          <w:b/>
        </w:rPr>
        <w:t>INDIAN BANK</w:t>
      </w:r>
      <w:r>
        <w:t xml:space="preserve"> — </w:t>
      </w:r>
      <w:r>
        <w:rPr>
          <w:b/>
        </w:rPr>
        <w:t>6.2x volume</w:t>
      </w:r>
      <w:r>
        <w:t>, +9.8% single-day, on the back of a stale but strong +48% EPS. When old news gets bought this hard, it's usually flows, not fundamentals.</w:t>
      </w:r>
    </w:p>
    <w:p>
      <w:pPr>
        <w:pStyle w:val="ListBullet"/>
      </w:pPr>
      <w:r>
        <w:rPr>
          <w:b/>
        </w:rPr>
        <w:t>KALYAN JEWELLERS</w:t>
      </w:r>
      <w:r>
        <w:t xml:space="preserve"> — </w:t>
      </w:r>
      <w:r>
        <w:rPr>
          <w:b/>
        </w:rPr>
        <w:t>7.4x volume + rank surge of -30.4</w:t>
      </w:r>
      <w:r>
        <w:t xml:space="preserve"> (rank improving to #153, RS 57.4). Consumer durables holding up despite the broader discretionary hit.</w:t>
      </w:r>
    </w:p>
    <w:p>
      <w:pPr>
        <w:pStyle w:val="ListBullet"/>
      </w:pPr>
      <w:r>
        <w:rPr>
          <w:b/>
        </w:rPr>
        <w:t>GODREJ INDUSTRIES</w:t>
      </w:r>
      <w:r>
        <w:t xml:space="preserve"> — </w:t>
      </w:r>
      <w:r>
        <w:rPr>
          <w:b/>
        </w:rPr>
        <w:t>13.4x volume, RS rank #11</w:t>
      </w:r>
      <w:r>
        <w:t>. Already at the top of the leaderboard and still getting bid.</w:t>
      </w:r>
    </w:p>
    <w:p>
      <w:pPr>
        <w:pStyle w:val="ListBullet"/>
      </w:pPr>
      <w:r>
        <w:rPr>
          <w:b/>
        </w:rPr>
        <w:t>GREAVES COTTON</w:t>
      </w:r>
      <w:r>
        <w:t xml:space="preserve"> — </w:t>
      </w:r>
      <w:r>
        <w:rPr>
          <w:b/>
        </w:rPr>
        <w:t>6.4x volume, RS rank #10</w:t>
      </w:r>
      <w:r>
        <w:t>, also fired Blue Zone Strong. Auto-component names are stealth-strong.</w:t>
      </w:r>
    </w:p>
    <w:p>
      <w:pPr>
        <w:pStyle w:val="ListBullet"/>
      </w:pPr>
      <w:r>
        <w:rPr>
          <w:b/>
        </w:rPr>
        <w:t>TRENT</w:t>
      </w:r>
      <w:r>
        <w:t xml:space="preserve"> — worst rank slope on the tape (+35.2, dropping to #225). The consumer-services darling is cooling off fast, aligned with the sector's Weakening quadrant flip.</w:t>
      </w:r>
    </w:p>
    <w:p>
      <w:pPr>
        <w:pStyle w:val="Heading2"/>
      </w:pPr>
      <w:r>
        <w:t>7. Macro &amp; Global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Metric</w:t>
            </w:r>
          </w:p>
        </w:tc>
        <w:tc>
          <w:tcPr>
            <w:tcW w:type="dxa" w:w="2880"/>
          </w:tcPr>
          <w:p>
            <w:r/>
            <w:r>
              <w:rPr>
                <w:b/>
                <w:sz w:val="20"/>
              </w:rPr>
              <w:t>Value</w:t>
            </w:r>
          </w:p>
        </w:tc>
        <w:tc>
          <w:tcPr>
            <w:tcW w:type="dxa" w:w="2880"/>
          </w:tcPr>
          <w:p>
            <w:r/>
            <w:r>
              <w:rPr>
                <w:b/>
                <w:sz w:val="20"/>
              </w:rPr>
              <w:t>Week Δ</w:t>
            </w:r>
          </w:p>
        </w:tc>
      </w:tr>
      <w:tr>
        <w:tc>
          <w:tcPr>
            <w:tcW w:type="dxa" w:w="2880"/>
          </w:tcPr>
          <w:p>
            <w:r>
              <w:rPr>
                <w:sz w:val="20"/>
              </w:rPr>
            </w:r>
            <w:r>
              <w:rPr>
                <w:sz w:val="20"/>
              </w:rPr>
              <w:t>India VIX</w:t>
            </w:r>
          </w:p>
        </w:tc>
        <w:tc>
          <w:tcPr>
            <w:tcW w:type="dxa" w:w="2880"/>
          </w:tcPr>
          <w:p>
            <w:r>
              <w:rPr>
                <w:sz w:val="20"/>
              </w:rPr>
            </w:r>
            <w:r>
              <w:rPr>
                <w:sz w:val="20"/>
              </w:rPr>
              <w:t>13.36</w:t>
            </w:r>
          </w:p>
        </w:tc>
        <w:tc>
          <w:tcPr>
            <w:tcW w:type="dxa" w:w="2880"/>
          </w:tcPr>
          <w:p>
            <w:r>
              <w:rPr>
                <w:sz w:val="20"/>
              </w:rPr>
            </w:r>
            <w:r>
              <w:rPr>
                <w:sz w:val="20"/>
              </w:rPr>
              <w:t>+1.07</w:t>
            </w:r>
          </w:p>
        </w:tc>
      </w:tr>
      <w:tr>
        <w:tc>
          <w:tcPr>
            <w:tcW w:type="dxa" w:w="2880"/>
          </w:tcPr>
          <w:p>
            <w:r>
              <w:rPr>
                <w:sz w:val="20"/>
              </w:rPr>
            </w:r>
            <w:r>
              <w:rPr>
                <w:sz w:val="20"/>
              </w:rPr>
              <w:t>Brent Crude</w:t>
            </w:r>
          </w:p>
        </w:tc>
        <w:tc>
          <w:tcPr>
            <w:tcW w:type="dxa" w:w="2880"/>
          </w:tcPr>
          <w:p>
            <w:r>
              <w:rPr>
                <w:sz w:val="20"/>
              </w:rPr>
            </w:r>
            <w:r>
              <w:rPr>
                <w:sz w:val="20"/>
              </w:rPr>
              <w:t>$76.59</w:t>
            </w:r>
          </w:p>
        </w:tc>
        <w:tc>
          <w:tcPr>
            <w:tcW w:type="dxa" w:w="2880"/>
          </w:tcPr>
          <w:p>
            <w:r>
              <w:rPr>
                <w:sz w:val="20"/>
              </w:rPr>
            </w:r>
            <w:r>
              <w:rPr>
                <w:b/>
                <w:sz w:val="20"/>
              </w:rPr>
              <w:t>+6.1%</w:t>
            </w:r>
          </w:p>
        </w:tc>
      </w:tr>
      <w:tr>
        <w:tc>
          <w:tcPr>
            <w:tcW w:type="dxa" w:w="2880"/>
          </w:tcPr>
          <w:p>
            <w:r>
              <w:rPr>
                <w:sz w:val="20"/>
              </w:rPr>
            </w:r>
            <w:r>
              <w:rPr>
                <w:sz w:val="20"/>
              </w:rPr>
              <w:t>DXY</w:t>
            </w:r>
          </w:p>
        </w:tc>
        <w:tc>
          <w:tcPr>
            <w:tcW w:type="dxa" w:w="2880"/>
          </w:tcPr>
          <w:p>
            <w:r>
              <w:rPr>
                <w:sz w:val="20"/>
              </w:rPr>
            </w:r>
            <w:r>
              <w:rPr>
                <w:sz w:val="20"/>
              </w:rPr>
              <w:t>100.78</w:t>
            </w:r>
          </w:p>
        </w:tc>
        <w:tc>
          <w:tcPr>
            <w:tcW w:type="dxa" w:w="2880"/>
          </w:tcPr>
          <w:p>
            <w:r>
              <w:rPr>
                <w:sz w:val="20"/>
              </w:rPr>
            </w:r>
            <w:r>
              <w:rPr>
                <w:sz w:val="20"/>
              </w:rPr>
              <w:t>flat</w:t>
            </w:r>
          </w:p>
        </w:tc>
      </w:tr>
      <w:tr>
        <w:tc>
          <w:tcPr>
            <w:tcW w:type="dxa" w:w="2880"/>
          </w:tcPr>
          <w:p>
            <w:r>
              <w:rPr>
                <w:sz w:val="20"/>
              </w:rPr>
            </w:r>
            <w:r>
              <w:rPr>
                <w:sz w:val="20"/>
              </w:rPr>
              <w:t>Gold (USD/oz)</w:t>
            </w:r>
          </w:p>
        </w:tc>
        <w:tc>
          <w:tcPr>
            <w:tcW w:type="dxa" w:w="2880"/>
          </w:tcPr>
          <w:p>
            <w:r>
              <w:rPr>
                <w:sz w:val="20"/>
              </w:rPr>
            </w:r>
            <w:r>
              <w:rPr>
                <w:sz w:val="20"/>
              </w:rPr>
              <w:t>4,125.40</w:t>
            </w:r>
          </w:p>
        </w:tc>
        <w:tc>
          <w:tcPr>
            <w:tcW w:type="dxa" w:w="2880"/>
          </w:tcPr>
          <w:p>
            <w:r>
              <w:rPr>
                <w:sz w:val="20"/>
              </w:rPr>
            </w:r>
            <w:r>
              <w:rPr>
                <w:sz w:val="20"/>
              </w:rPr>
              <w:t>-1.6%</w:t>
            </w:r>
          </w:p>
        </w:tc>
      </w:tr>
      <w:tr>
        <w:tc>
          <w:tcPr>
            <w:tcW w:type="dxa" w:w="2880"/>
          </w:tcPr>
          <w:p>
            <w:r>
              <w:rPr>
                <w:sz w:val="20"/>
              </w:rPr>
            </w:r>
            <w:r>
              <w:rPr>
                <w:sz w:val="20"/>
              </w:rPr>
              <w:t>Silver (USD/oz)</w:t>
            </w:r>
          </w:p>
        </w:tc>
        <w:tc>
          <w:tcPr>
            <w:tcW w:type="dxa" w:w="2880"/>
          </w:tcPr>
          <w:p>
            <w:r>
              <w:rPr>
                <w:sz w:val="20"/>
              </w:rPr>
            </w:r>
            <w:r>
              <w:rPr>
                <w:sz w:val="20"/>
              </w:rPr>
              <w:t>60.72</w:t>
            </w:r>
          </w:p>
        </w:tc>
        <w:tc>
          <w:tcPr>
            <w:tcW w:type="dxa" w:w="2880"/>
          </w:tcPr>
          <w:p>
            <w:r>
              <w:rPr>
                <w:sz w:val="20"/>
              </w:rPr>
            </w:r>
            <w:r>
              <w:rPr>
                <w:sz w:val="20"/>
              </w:rPr>
              <w:t>-3.4%</w:t>
            </w:r>
          </w:p>
        </w:tc>
      </w:tr>
      <w:tr>
        <w:tc>
          <w:tcPr>
            <w:tcW w:type="dxa" w:w="2880"/>
          </w:tcPr>
          <w:p>
            <w:r>
              <w:rPr>
                <w:sz w:val="20"/>
              </w:rPr>
            </w:r>
            <w:r>
              <w:rPr>
                <w:sz w:val="20"/>
              </w:rPr>
              <w:t>Gold/Silver Ratio</w:t>
            </w:r>
          </w:p>
        </w:tc>
        <w:tc>
          <w:tcPr>
            <w:tcW w:type="dxa" w:w="2880"/>
          </w:tcPr>
          <w:p>
            <w:r>
              <w:rPr>
                <w:sz w:val="20"/>
              </w:rPr>
            </w:r>
            <w:r>
              <w:rPr>
                <w:sz w:val="20"/>
              </w:rPr>
              <w:t>67.94</w:t>
            </w:r>
          </w:p>
        </w:tc>
        <w:tc>
          <w:tcPr>
            <w:tcW w:type="dxa" w:w="2880"/>
          </w:tcPr>
          <w:p>
            <w:r>
              <w:rPr>
                <w:sz w:val="20"/>
              </w:rPr>
            </w:r>
            <w:r>
              <w:rPr>
                <w:sz w:val="20"/>
              </w:rPr>
              <w:t>+1.30</w:t>
            </w:r>
          </w:p>
        </w:tc>
      </w:tr>
    </w:tbl>
    <w:p/>
    <w:p>
      <w:r>
        <w:rPr>
          <w:b/>
        </w:rPr>
        <w:t>US-Iran tensions</w:t>
      </w:r>
      <w:r>
        <w:t xml:space="preserve"> drove crude; DXY barely budged. Gold and silver both softened in dollar terms — no fresh safe-haven bid, no domestic duty catalyst either, so the domestic ETF quadrant flip is more about rupee positioning than gold demand.</w:t>
      </w:r>
    </w:p>
    <w:p>
      <w:r>
        <w:rPr>
          <w:b/>
        </w:rPr>
        <w:t>Domestic policy — active week:</w:t>
      </w:r>
    </w:p>
    <w:p>
      <w:pPr>
        <w:pStyle w:val="ListBullet"/>
      </w:pPr>
      <w:r>
        <w:rPr>
          <w:b/>
        </w:rPr>
        <w:t>CBIC customs-duty exemption on electronics, smartphone parts and Li-ion machinery inputs</w:t>
      </w:r>
      <w:r>
        <w:t xml:space="preserve"> — direct positive for EMS/contract manufacturers.</w:t>
      </w:r>
    </w:p>
    <w:p>
      <w:pPr>
        <w:pStyle w:val="ListBullet"/>
      </w:pPr>
      <w:r>
        <w:rPr>
          <w:b/>
        </w:rPr>
        <w:t>UK FTA vehicle import quota (20,000 units) notified</w:t>
      </w:r>
      <w:r>
        <w:t>, tariff benefits from July 15 — auto (especially Tata Motors) beneficiary.</w:t>
      </w:r>
    </w:p>
    <w:p>
      <w:pPr>
        <w:pStyle w:val="ListBullet"/>
      </w:pPr>
      <w:r>
        <w:rPr>
          <w:b/>
        </w:rPr>
        <w:t>US Sec 301 12.5% tariff proposal</w:t>
      </w:r>
      <w:r>
        <w:t xml:space="preserve"> on Indian goods under forced-labour probe — India seeking exemption on 1,600 critical items; Textiles (-4.3% for the week) took the direct hit.</w:t>
      </w:r>
    </w:p>
    <w:p>
      <w:pPr>
        <w:pStyle w:val="ListBullet"/>
      </w:pPr>
      <w:r>
        <w:rPr>
          <w:b/>
        </w:rPr>
        <w:t>Petrol/diesel ₹3/L, CNG ₹2/L hike</w:t>
      </w:r>
      <w:r>
        <w:t xml:space="preserve"> — transport, logistics, discretionary drag.</w:t>
      </w:r>
    </w:p>
    <w:p>
      <w:pPr>
        <w:pStyle w:val="ListBullet"/>
      </w:pPr>
      <w:r>
        <w:rPr>
          <w:b/>
        </w:rPr>
        <w:t>RBI backs crypto ban, tax dept flags evasion risks</w:t>
      </w:r>
      <w:r>
        <w:t xml:space="preserve"> — bearish for fintech and payment platforms.</w:t>
      </w:r>
    </w:p>
    <w:p>
      <w:pPr>
        <w:pStyle w:val="ListBullet"/>
      </w:pPr>
      <w:r>
        <w:rPr>
          <w:b/>
        </w:rPr>
        <w:t>RBI unwinds USD-bullish positioning; India's US Treasury holdings at 6-year low</w:t>
      </w:r>
      <w:r>
        <w:t xml:space="preserve"> — rupee volatility ahead.</w:t>
      </w:r>
    </w:p>
    <w:p>
      <w:pPr>
        <w:pStyle w:val="ListBullet"/>
      </w:pPr>
      <w:r>
        <w:rPr>
          <w:b/>
        </w:rPr>
        <w:t>CPI likely exceeded RBI's 4% target in June</w:t>
      </w:r>
      <w:r>
        <w:t xml:space="preserve"> — rate-cut hopes get pushed further out.</w:t>
      </w:r>
    </w:p>
    <w:p>
      <w:pPr>
        <w:pStyle w:val="Heading2"/>
      </w:pPr>
      <w:r>
        <w:t>8. What to Watch Next Week</w:t>
      </w:r>
    </w:p>
    <w:p>
      <w:pPr>
        <w:pStyle w:val="ListBullet"/>
      </w:pPr>
      <w:r>
        <w:rPr>
          <w:b/>
        </w:rPr>
        <w:t>UK FTA vehicle tariff benefits go live July 15</w:t>
      </w:r>
      <w:r>
        <w:t xml:space="preserve"> — watch auto and auto-component names, especially Tata Motors and exporters, for a follow-through move.</w:t>
      </w:r>
    </w:p>
    <w:p>
      <w:pPr>
        <w:pStyle w:val="ListBullet"/>
      </w:pPr>
      <w:r>
        <w:rPr>
          <w:b/>
        </w:rPr>
        <w:t>Nifty levels</w:t>
      </w:r>
      <w:r>
        <w:t xml:space="preserve">: reclaim of the </w:t>
      </w:r>
      <w:r>
        <w:rPr>
          <w:b/>
        </w:rPr>
        <w:t>EMA 200 at 24,431</w:t>
      </w:r>
      <w:r>
        <w:t xml:space="preserve"> would be the trend-change signal. On the downside, </w:t>
      </w:r>
      <w:r>
        <w:rPr>
          <w:b/>
        </w:rPr>
        <w:t>Wednesday's low near 23,896</w:t>
      </w:r>
      <w:r>
        <w:t xml:space="preserve"> is the near-term line in the sand — a break below opens the door back to the 50-EMA (23,904) area.</w:t>
      </w:r>
    </w:p>
    <w:p>
      <w:pPr>
        <w:pStyle w:val="ListBullet"/>
      </w:pPr>
      <w:r>
        <w:rPr>
          <w:b/>
        </w:rPr>
        <w:t>IT rotation continuation</w:t>
      </w:r>
      <w:r>
        <w:t>: with IT flipping to Improving, the next tell is whether mid-cap IT names (ECLERX, HAPPSTMNDS, ZENSARTECH — all in the volume/rank-surge tables) start printing follow-through breakouts.</w:t>
      </w:r>
    </w:p>
    <w:p>
      <w:pPr>
        <w:pStyle w:val="ListBullet"/>
      </w:pPr>
      <w:r>
        <w:rPr>
          <w:b/>
        </w:rPr>
        <w:t>PSU bank divergence</w:t>
      </w:r>
      <w:r>
        <w:t>: INDIAN BANK ripping, MAHABANK sinking on similar EPS prints — watch whether the discrimination widens or reverses.</w:t>
      </w:r>
    </w:p>
    <w:p>
      <w:pPr>
        <w:pStyle w:val="ListBullet"/>
      </w:pPr>
      <w:r>
        <w:rPr>
          <w:b/>
        </w:rPr>
        <w:t>Textile pain</w:t>
      </w:r>
      <w:r>
        <w:t>: with the US tariff proposal fresh, watch textile names for follow-through weakness or a headline-driven reversal.</w:t>
      </w:r>
    </w:p>
    <w:p>
      <w:pPr>
        <w:pStyle w:val="Heading2"/>
      </w:pPr>
      <w:r>
        <w:t>9. The Bottom Line</w:t>
      </w:r>
    </w:p>
    <w:p>
      <w:pPr>
        <w:pStyle w:val="ListNumber"/>
      </w:pPr>
      <w:r>
        <w:rPr>
          <w:b/>
        </w:rPr>
        <w:t>The tape is rotating, not trending.</w:t>
      </w:r>
      <w:r>
        <w:t xml:space="preserve"> Nifty is above its 20 and 50-EMAs but below the 200 — and the signal mix (MACD/Blue Zone Buy expanding, Blue Zone Strong contracting) confirms new names entering leadership while old leaders (Aviation, Infrastructure, Textiles) get dumped. This is a stock-picker's market, not an index-buyer's market.</w:t>
      </w:r>
    </w:p>
    <w:p>
      <w:pPr>
        <w:pStyle w:val="ListNumber"/>
      </w:pPr>
      <w:r>
        <w:rPr>
          <w:b/>
        </w:rPr>
        <w:t>Watch WELCORP for follow-through</w:t>
      </w:r>
      <w:r>
        <w:t xml:space="preserve"> — 5 different technical signals in one week is unusual and worth flagging (not a recommendation; conviction setups can still fail). Multi-signal clusters like APOLLOHOSP and QUESS also deserve attention as higher-quality setups.</w:t>
      </w:r>
    </w:p>
    <w:p>
      <w:pPr>
        <w:pStyle w:val="ListNumber"/>
      </w:pPr>
      <w:r>
        <w:rPr>
          <w:b/>
        </w:rPr>
        <w:t>Fuel-price hike + Brent spike is a slow-burn drag.</w:t>
      </w:r>
      <w:r>
        <w:t xml:space="preserve"> Transport, logistics and discretionary consumption take a hit — with June CPI likely above RBI's 4% target, rate-cut hopes are getting pushed out. Caveat: with only 6 stocks reporting Jun 2026 so far and no fresh earnings declared in the last 10 days, we're navigating on macro reads and technicals rather than fundamentals. Full earnings colour comes over the next 3-4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