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Weekly Market Intelligence — 2026-09-05</w:t>
      </w:r>
    </w:p>
    <w:p>
      <w:pPr>
        <w:pStyle w:val="Heading2"/>
      </w:pPr>
      <w:r>
        <w:t>1. What Happened This Week</w:t>
      </w:r>
    </w:p>
    <w:p>
      <w:r>
        <w:t xml:space="preserve">Nifty 50 slid </w:t>
      </w:r>
      <w:r>
        <w:rPr>
          <w:b/>
        </w:rPr>
        <w:t>-1.1%</w:t>
      </w:r>
      <w:r>
        <w:t xml:space="preserve"> for the week, from </w:t>
      </w:r>
      <w:r>
        <w:rPr>
          <w:b/>
        </w:rPr>
        <w:t>24,175.65</w:t>
      </w:r>
      <w:r>
        <w:t xml:space="preserve"> on Sunday to </w:t>
      </w:r>
      <w:r>
        <w:rPr>
          <w:b/>
        </w:rPr>
        <w:t>23,897.70</w:t>
      </w:r>
      <w:r>
        <w:t xml:space="preserve"> by Friday's close — a fourth straight weekly loss. The dominant catalyst was the </w:t>
      </w:r>
      <w:r>
        <w:rPr>
          <w:b/>
        </w:rPr>
        <w:t>Iran-US conflict flare-up, which spiked Brent crude +9.0% to $95.37</w:t>
      </w:r>
      <w:r>
        <w:t xml:space="preserve">, torching import-sensitive sectors (Auto, Aviation, FMCG). Cushioning the fall: </w:t>
      </w:r>
      <w:r>
        <w:rPr>
          <w:b/>
        </w:rPr>
        <w:t>India's Q1 FY27 GDP printed at 7.8%</w:t>
      </w:r>
      <w:r>
        <w:t xml:space="preserve">, comfortably beating RBI's estimate, and the </w:t>
      </w:r>
      <w:r>
        <w:rPr>
          <w:b/>
        </w:rPr>
        <w:t>RBI's forex swap window drew a bumper $136 billion</w:t>
      </w:r>
      <w:r>
        <w:t xml:space="preserve"> (with FCNR(B) deposits crossing $100 billion vs the $80bn expectation) — a genuinely large capital-flows story that stabilised the rupee. Add in </w:t>
      </w:r>
      <w:r>
        <w:rPr>
          <w:b/>
        </w:rPr>
        <w:t>SEBI clearing NSE's ₹30,000 crore IPO</w:t>
      </w:r>
      <w:r>
        <w:t xml:space="preserve"> (India's second-largest ever), and the week was a tug-of-war between a nasty oil shock and unusually strong domestic macro plumbing.</w:t>
      </w:r>
    </w:p>
    <w:p>
      <w:pPr>
        <w:pStyle w:val="Heading2"/>
      </w:pPr>
      <w:r>
        <w:t>2. The Trend Picture</w:t>
      </w:r>
    </w:p>
    <w:p>
      <w:r>
        <w:t>The trend has clearly broken down. Per the Nifty 50 Trend Levels section: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EMA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Value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Nifty position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20-day EMA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24,166.38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BELOW</w:t>
            </w:r>
            <w:r>
              <w:rPr>
                <w:sz w:val="20"/>
              </w:rPr>
              <w:t xml:space="preserve"> (-1.1%)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50-day EMA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24,155.04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BELOW</w:t>
            </w:r>
            <w:r>
              <w:rPr>
                <w:sz w:val="20"/>
              </w:rPr>
              <w:t xml:space="preserve"> (-1.1%)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200-day EMA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24,335.15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BELOW</w:t>
            </w:r>
            <w:r>
              <w:rPr>
                <w:sz w:val="20"/>
              </w:rPr>
              <w:t xml:space="preserve"> (-1.8%)</w:t>
            </w:r>
          </w:p>
        </w:tc>
      </w:tr>
    </w:tbl>
    <w:p/>
    <w:p>
      <w:r>
        <w:t xml:space="preserve">Nifty is now below all three key EMAs (Exponential Moving Averages — smoothed averages of recent closes used to gauge trend). This is a </w:t>
      </w:r>
      <w:r>
        <w:rPr>
          <w:b/>
        </w:rPr>
        <w:t>narrowing tape</w:t>
      </w:r>
      <w:r>
        <w:t xml:space="preserve">: only </w:t>
      </w:r>
      <w:r>
        <w:rPr>
          <w:b/>
        </w:rPr>
        <w:t>51%</w:t>
      </w:r>
      <w:r>
        <w:t xml:space="preserve"> of stocks sit above their 200-day EMA (down from 55% earlier in the week), and new 52-week highs have essentially vanished (</w:t>
      </w:r>
      <w:r>
        <w:rPr>
          <w:b/>
        </w:rPr>
        <w:t>0</w:t>
      </w:r>
      <w:r>
        <w:t xml:space="preserve"> on four of the last seven sessions) while new lows kept ticking in (28 on Monday, 24 on Wednesday).</w:t>
      </w:r>
    </w:p>
    <w:p>
      <w:r>
        <w:t xml:space="preserve">The one bright spot in breadth was </w:t>
      </w:r>
      <w:r>
        <w:rPr>
          <w:b/>
        </w:rPr>
        <w:t>Thursday's advance-decline split of 351/230</w:t>
      </w:r>
      <w:r>
        <w:t xml:space="preserve"> — the only day this week where advances materially beat declines. That was the day of the metal/oil rebound, which brought Friday's action to something close to neutral (296/287). Not a reversal — a pause.</w:t>
      </w:r>
    </w:p>
    <w:p>
      <w:pPr>
        <w:pStyle w:val="Heading2"/>
      </w:pPr>
      <w:r>
        <w:t>3. Sector Rotation — Where Money Is Flowing</w:t>
      </w:r>
    </w:p>
    <w:p>
      <w:r>
        <w:rPr>
          <w:b/>
        </w:rPr>
        <w:t>Top 3 (5-day median):</w:t>
      </w:r>
      <w:r>
        <w:t xml:space="preserve"> Trading (+1.9%), Textiles (+0.9%), Logistics (+0.2%). </w:t>
      </w:r>
      <w:r>
        <w:rPr>
          <w:b/>
        </w:rPr>
        <w:t>Bottom 3:</w:t>
      </w:r>
      <w:r>
        <w:t xml:space="preserve"> Automobile (-4.8%), Conglomerate (-4.4%), Aviation (-3.2%), with FMCG (-2.6%) close behind.</w:t>
      </w:r>
    </w:p>
    <w:p>
      <w:r>
        <w:t xml:space="preserve">The </w:t>
      </w:r>
      <w:r>
        <w:rPr>
          <w:b/>
        </w:rPr>
        <w:t>crude spike does most of the work here</w:t>
      </w:r>
      <w:r>
        <w:t>. Aviation and Auto — the two most obvious fuel-sensitive sectors — sit at the bottom. FMCG's slide reflects the same input-cost pressure plus a broader risk-off tilt. Conglomerate's -4.4% is heavily influenced by Adani names (see Section 4).</w:t>
      </w:r>
    </w:p>
    <w:p>
      <w:r>
        <w:t xml:space="preserve">Quadrant flips (RRG — Relative Rotation Graph — is a dashboard that tracks sectors across four quadrants: Leading, Weakening, Lagging, Improving) are unusually numerous this week — </w:t>
      </w:r>
      <w:r>
        <w:rPr>
          <w:b/>
        </w:rPr>
        <w:t>17 sectors moved quadrants</w:t>
      </w:r>
      <w:r>
        <w:t>, telling you the rotation is happening in real time:</w:t>
      </w:r>
    </w:p>
    <w:p>
      <w:pPr>
        <w:pStyle w:val="ListBullet"/>
      </w:pPr>
      <w:r>
        <w:rPr>
          <w:b/>
        </w:rPr>
        <w:t>Into Leading:</w:t>
      </w:r>
      <w:r>
        <w:t xml:space="preserve"> IT (from Weakening), Healthcare (from Weakening), Conglomerate (from Improving) — a defensive rotation.</w:t>
      </w:r>
    </w:p>
    <w:p>
      <w:pPr>
        <w:pStyle w:val="ListBullet"/>
      </w:pPr>
      <w:r>
        <w:rPr>
          <w:b/>
        </w:rPr>
        <w:t>Out of Leading:</w:t>
      </w:r>
      <w:r>
        <w:t xml:space="preserve"> Banking → Weakening, Defence → Weakening, ETF → Weakening, Realty → Weakening, Industrial → Weakening.</w:t>
      </w:r>
    </w:p>
    <w:p>
      <w:pPr>
        <w:pStyle w:val="ListBullet"/>
      </w:pPr>
      <w:r>
        <w:rPr>
          <w:b/>
        </w:rPr>
        <w:t>Automobile: Weakening → Lagging</w:t>
      </w:r>
      <w:r>
        <w:t xml:space="preserve"> — the worst kind of flip, confirming the crude damage.</w:t>
      </w:r>
    </w:p>
    <w:p>
      <w:pPr>
        <w:pStyle w:val="ListBullet"/>
      </w:pPr>
      <w:r>
        <w:rPr>
          <w:b/>
        </w:rPr>
        <w:t>Energy: Lagging → Improving</w:t>
      </w:r>
      <w:r>
        <w:t xml:space="preserve"> — the natural crude beneficiary.</w:t>
      </w:r>
    </w:p>
    <w:p>
      <w:r>
        <w:t xml:space="preserve">IT and Healthcare both re-entering Leading is textbook defensive rotation into a weak-tape week. But note: IT also carries </w:t>
      </w:r>
      <w:r>
        <w:rPr>
          <w:b/>
        </w:rPr>
        <w:t>tariff overhang</w:t>
      </w:r>
      <w:r>
        <w:t xml:space="preserve"> from Piyush Goyal's ongoing US trade-deal negotiations — the sector's leadership status is fragile.</w:t>
      </w:r>
    </w:p>
    <w:p>
      <w:pPr>
        <w:pStyle w:val="Heading2"/>
      </w:pPr>
      <w:r>
        <w:t>4. Earnings Pulse</w:t>
      </w:r>
    </w:p>
    <w:p>
      <w:r>
        <w:t xml:space="preserve">The current reporting season is </w:t>
      </w:r>
      <w:r>
        <w:rPr>
          <w:b/>
        </w:rPr>
        <w:t>Jun 2026</w:t>
      </w:r>
      <w:r>
        <w:t xml:space="preserve">, with </w:t>
      </w:r>
      <w:r>
        <w:rPr>
          <w:b/>
        </w:rPr>
        <w:t>507 stocks reported and 33 still outstanding</w:t>
      </w:r>
      <w:r>
        <w:t xml:space="preserve">. There are </w:t>
      </w:r>
      <w:r>
        <w:rPr>
          <w:b/>
        </w:rPr>
        <w:t>no fresh earnings prints in the last 10 days</w:t>
      </w:r>
      <w:r>
        <w:t xml:space="preserve">, which means every bellwether number below is </w:t>
      </w:r>
      <w:r>
        <w:rPr>
          <w:b/>
        </w:rPr>
        <w:t>stale context</w:t>
      </w:r>
      <w:r>
        <w:t xml:space="preserve"> — the price reactions this week are sector-rotation moves, not earnings responses.</w:t>
      </w:r>
    </w:p>
    <w:p>
      <w:r>
        <w:rPr>
          <w:b/>
        </w:rPr>
        <w:t>(a) Sector aggregate.</w:t>
      </w:r>
      <w:r>
        <w:t xml:space="preserve"> Logistics leads with </w:t>
      </w:r>
      <w:r>
        <w:rPr>
          <w:b/>
        </w:rPr>
        <w:t>+81.2% median EPS YoY</w:t>
      </w:r>
      <w:r>
        <w:t xml:space="preserve"> (7 stocks), Textiles at +49.4% (6), Chemicals +34.3% (37), Consumer Durables +32.0% (26). Banking (+27.4%) and Healthcare (+25.8%) both look genuinely healthy. The weakest large sectors are FMCG (+13.6%) and Auto Components (+13.4%) — respectable but middle of the pack.</w:t>
      </w:r>
    </w:p>
    <w:p>
      <w:r>
        <w:rPr>
          <w:b/>
        </w:rPr>
        <w:t>(b) Extremes as colour.</w:t>
      </w:r>
      <w:r>
        <w:t xml:space="preserve"> Top EPS beats: </w:t>
      </w:r>
      <w:r>
        <w:rPr>
          <w:b/>
        </w:rPr>
        <w:t>NEULANDLAB (+963%), GLENMARK (+931%), HFCL (+777%)</w:t>
      </w:r>
      <w:r>
        <w:t xml:space="preserve">. Bottom: </w:t>
      </w:r>
      <w:r>
        <w:rPr>
          <w:b/>
        </w:rPr>
        <w:t>DELTACORP (-822%), HINDPETRO (-398%)</w:t>
      </w:r>
      <w:r>
        <w:t>. HPCL's miss is the notable one — refining margins compressed even before the current crude spike; the setup for Q2 looks worse.</w:t>
      </w:r>
    </w:p>
    <w:p>
      <w:r>
        <w:rPr>
          <w:b/>
        </w:rPr>
        <w:t>(c) Bellwether large-caps — staleness caveat applies to all.</w:t>
      </w:r>
    </w:p>
    <w:p>
      <w:pPr>
        <w:pStyle w:val="ListBullet"/>
      </w:pPr>
      <w:r>
        <w:rPr>
          <w:b/>
        </w:rPr>
        <w:t>RELIANCE (-22% EPS, +27% revenue; +1.5% 1d, +2.7% 5d).</w:t>
      </w:r>
      <w:r>
        <w:t xml:space="preserve"> The only large conglomerate up this week despite Adani Enterprises collapsing -7.3% over 5 days. The revenue growth is real; the EPS drop is likely retail/telecom margin timing. Market shrugged off the earnings weeks ago and this week's move is pure crude-beneficiary flow.</w:t>
      </w:r>
    </w:p>
    <w:p>
      <w:pPr>
        <w:pStyle w:val="ListBullet"/>
      </w:pPr>
      <w:r>
        <w:rPr>
          <w:b/>
        </w:rPr>
        <w:t>SBIN (+10% EPS; -3.0% 5d).</w:t>
      </w:r>
      <w:r>
        <w:t xml:space="preserve"> The PSU bank flagship led banking's slide from Leading → Weakening. A +10% EPS print didn't stop a -3% weekly drawdown — read-through for other PSU banks is cautious.</w:t>
      </w:r>
    </w:p>
    <w:p>
      <w:pPr>
        <w:pStyle w:val="ListBullet"/>
      </w:pPr>
      <w:r>
        <w:rPr>
          <w:b/>
        </w:rPr>
        <w:t>TITAN (+63% EPS, +29% revenue; -2.9% 5d).</w:t>
      </w:r>
      <w:r>
        <w:t xml:space="preserve"> A stellar print several weeks old, but the stock still lost 2.9% this week — consumer-discretionary risk-off, not an earnings story.</w:t>
      </w:r>
    </w:p>
    <w:p>
      <w:pPr>
        <w:pStyle w:val="ListBullet"/>
      </w:pPr>
      <w:r>
        <w:rPr>
          <w:b/>
        </w:rPr>
        <w:t>MARUTI (-9% EPS, +36% revenue; -5.1% 5d)</w:t>
      </w:r>
      <w:r>
        <w:t xml:space="preserve"> and </w:t>
      </w:r>
      <w:r>
        <w:rPr>
          <w:b/>
        </w:rPr>
        <w:t>M&amp;M (+34% EPS; -4.9% 5d).</w:t>
      </w:r>
      <w:r>
        <w:t xml:space="preserve"> Autos got hit hard by crude. Notably, M&amp;M's strong EPS print offered zero cushion — the sector flipped Weakening → Lagging.</w:t>
      </w:r>
    </w:p>
    <w:p>
      <w:pPr>
        <w:pStyle w:val="ListBullet"/>
      </w:pPr>
      <w:r>
        <w:rPr>
          <w:b/>
        </w:rPr>
        <w:t>ADANIENT (-230% EPS, +50% revenue; -7.3% 5d).</w:t>
      </w:r>
      <w:r>
        <w:t xml:space="preserve"> The Conglomerate sector's -4.4% is largely this. Whether that's residual earnings digestion or something else, the tape is voting against it.</w:t>
      </w:r>
    </w:p>
    <w:p>
      <w:pPr>
        <w:pStyle w:val="Heading2"/>
      </w:pPr>
      <w:r>
        <w:t>5. Technical Signals This Week</w:t>
      </w:r>
    </w:p>
    <w:p>
      <w:r>
        <w:t xml:space="preserve">Total unique stocks firing signals across all indicators: </w:t>
      </w:r>
      <w:r>
        <w:rPr>
          <w:b/>
        </w:rPr>
        <w:t>143</w:t>
      </w:r>
      <w:r>
        <w:t>. The mix is rotating rather than uniformly expanding.</w:t>
      </w:r>
    </w:p>
    <w:p>
      <w:pPr>
        <w:pStyle w:val="ListBullet"/>
      </w:pPr>
      <w:r>
        <w:rPr>
          <w:b/>
        </w:rPr>
        <w:t>Blue Zone Buy (momentum stocks under accumulation — RSI EMA above threshold + close above EMA20 + within 10% of 52W high): 56 unique stocks vs 68 prior, Δ -12.</w:t>
      </w:r>
      <w:r>
        <w:t xml:space="preserve"> Contracting. Examples: </w:t>
      </w:r>
      <w:r>
        <w:rPr>
          <w:b/>
        </w:rPr>
        <w:t>WELCORP, SHILPAMED, UFLEX, COFORGE, WELSPUNLIV</w:t>
      </w:r>
      <w:r>
        <w:t>. The accumulation universe is shrinking — consistent with the broader breadth deterioration.</w:t>
      </w:r>
    </w:p>
    <w:p>
      <w:pPr>
        <w:pStyle w:val="ListBullet"/>
      </w:pPr>
      <w:r>
        <w:rPr>
          <w:b/>
        </w:rPr>
        <w:t>Blue Zone Strong: 5 vs 7, Δ -2.</w:t>
      </w:r>
      <w:r>
        <w:t xml:space="preserve"> Examples: </w:t>
      </w:r>
      <w:r>
        <w:rPr>
          <w:b/>
        </w:rPr>
        <w:t>UFLEX, DIVISLAB, IFCI</w:t>
      </w:r>
      <w:r>
        <w:t>.</w:t>
      </w:r>
    </w:p>
    <w:p>
      <w:pPr>
        <w:pStyle w:val="ListBullet"/>
      </w:pPr>
      <w:r>
        <w:rPr>
          <w:b/>
        </w:rPr>
        <w:t>Narrow CPR Breakaway (Central Pivot Range setup — a tight pivot band that often precedes a breakout): 52 vs 28, Δ +24.</w:t>
      </w:r>
      <w:r>
        <w:t xml:space="preserve"> The biggest expansion of any indicator this week — coiled setups are stacking up. Examples: </w:t>
      </w:r>
      <w:r>
        <w:rPr>
          <w:b/>
        </w:rPr>
        <w:t>APLAPOLLO, HATSUN, GPPL, BAJAJ-AUTO, KOTAKBANK</w:t>
      </w:r>
      <w:r>
        <w:t>.</w:t>
      </w:r>
    </w:p>
    <w:p>
      <w:pPr>
        <w:pStyle w:val="ListBullet"/>
      </w:pPr>
      <w:r>
        <w:rPr>
          <w:b/>
        </w:rPr>
        <w:t>MACD Buy (momentum oscillator crossing positive — trend-change signal): 27 vs 24, Δ +3.</w:t>
      </w:r>
      <w:r>
        <w:t xml:space="preserve"> Examples: </w:t>
      </w:r>
      <w:r>
        <w:rPr>
          <w:b/>
        </w:rPr>
        <w:t>DIVISLAB, COFORGE, QUESS, BAJAJ-AUTO</w:t>
      </w:r>
      <w:r>
        <w:t>.</w:t>
      </w:r>
    </w:p>
    <w:p>
      <w:pPr>
        <w:pStyle w:val="ListBullet"/>
      </w:pPr>
      <w:r>
        <w:rPr>
          <w:b/>
        </w:rPr>
        <w:t>MACD Strong: 18 vs 14, Δ +4.</w:t>
      </w:r>
      <w:r>
        <w:t xml:space="preserve"> Examples: </w:t>
      </w:r>
      <w:r>
        <w:rPr>
          <w:b/>
        </w:rPr>
        <w:t>DIVISLAB, COFORGE, GMMPFAUDLR, BAJAJ-AUTO</w:t>
      </w:r>
      <w:r>
        <w:t>.</w:t>
      </w:r>
    </w:p>
    <w:p>
      <w:pPr>
        <w:pStyle w:val="ListBullet"/>
      </w:pPr>
      <w:r>
        <w:rPr>
          <w:b/>
        </w:rPr>
        <w:t>VCP Buy (Volatility Contraction Pattern — Minervini setup where price range tightens before breakout): 22 vs 23, Δ -1.</w:t>
      </w:r>
      <w:r>
        <w:t xml:space="preserve"> Examples: </w:t>
      </w:r>
      <w:r>
        <w:rPr>
          <w:b/>
        </w:rPr>
        <w:t>PVRINOX, KOTAKBANK, JINDALSAW, POLICYBZR</w:t>
      </w:r>
      <w:r>
        <w:t>.</w:t>
      </w:r>
    </w:p>
    <w:p>
      <w:pPr>
        <w:pStyle w:val="ListBullet"/>
      </w:pPr>
      <w:r>
        <w:rPr>
          <w:b/>
        </w:rPr>
        <w:t>Bull Flag Buy (sharp rally, orderly consolidation, breakout above the range): 10 vs 7, Δ +3.</w:t>
      </w:r>
      <w:r>
        <w:t xml:space="preserve"> Examples: </w:t>
      </w:r>
      <w:r>
        <w:rPr>
          <w:b/>
        </w:rPr>
        <w:t>SHILPAMED, UFLEX, TVSSRICHAK, SUNDRMFAST</w:t>
      </w:r>
      <w:r>
        <w:t>.</w:t>
      </w:r>
    </w:p>
    <w:p>
      <w:pPr>
        <w:pStyle w:val="ListBullet"/>
      </w:pPr>
      <w:r>
        <w:rPr>
          <w:b/>
        </w:rPr>
        <w:t>Bull Flag Strong: 1 vs 0, Δ +1.</w:t>
      </w:r>
      <w:r>
        <w:t xml:space="preserve"> </w:t>
      </w:r>
      <w:r>
        <w:rPr>
          <w:b/>
        </w:rPr>
        <w:t>UFLEX</w:t>
      </w:r>
      <w:r>
        <w:t>.</w:t>
      </w:r>
    </w:p>
    <w:p>
      <w:pPr>
        <w:pStyle w:val="ListBullet"/>
      </w:pPr>
      <w:r>
        <w:rPr>
          <w:b/>
        </w:rPr>
        <w:t>Golden Cross Buy (20-EMA crossing above 50-EMA — medium-term bullish trend): 6 vs 8, Δ -2.</w:t>
      </w:r>
      <w:r>
        <w:t xml:space="preserve"> </w:t>
      </w:r>
      <w:r>
        <w:rPr>
          <w:b/>
        </w:rPr>
        <w:t>CYIENT, MAHSEAMLES, SAIL</w:t>
      </w:r>
      <w:r>
        <w:t>.</w:t>
      </w:r>
    </w:p>
    <w:p>
      <w:pPr>
        <w:pStyle w:val="ListBullet"/>
      </w:pPr>
      <w:r>
        <w:rPr>
          <w:b/>
        </w:rPr>
        <w:t>Golden Cross Strong: 1 vs 2.</w:t>
      </w:r>
      <w:r>
        <w:t xml:space="preserve"> </w:t>
      </w:r>
      <w:r>
        <w:rPr>
          <w:b/>
        </w:rPr>
        <w:t>ELECTCAST</w:t>
      </w:r>
      <w:r>
        <w:t>.</w:t>
      </w:r>
    </w:p>
    <w:p>
      <w:pPr>
        <w:pStyle w:val="ListBullet"/>
      </w:pPr>
      <w:r>
        <w:rPr>
          <w:b/>
        </w:rPr>
        <w:t>Pullback Bounce (strong-trend stocks dipping to EMA20 and recovering): 3 vs 0, Δ +3.</w:t>
      </w:r>
      <w:r>
        <w:t xml:space="preserve"> </w:t>
      </w:r>
      <w:r>
        <w:rPr>
          <w:b/>
        </w:rPr>
        <w:t>TBOTEK, REDINGTON, HEG</w:t>
      </w:r>
      <w:r>
        <w:t>.</w:t>
      </w:r>
    </w:p>
    <w:p>
      <w:r>
        <w:rPr>
          <w:b/>
        </w:rPr>
        <w:t>Multi-signal cluster stocks (2+ indicator types this week)</w:t>
      </w:r>
      <w:r>
        <w:t xml:space="preserve"> — the high-conviction setups:</w:t>
      </w:r>
    </w:p>
    <w:p>
      <w:pPr>
        <w:pStyle w:val="ListBullet"/>
      </w:pPr>
      <w:r>
        <w:rPr>
          <w:b/>
        </w:rPr>
        <w:t>DIVISLAB (4 signals):</w:t>
      </w:r>
      <w:r>
        <w:t xml:space="preserve"> Blue Zone Buy + Strong + MACD Buy + Strong. Full-stack momentum.</w:t>
      </w:r>
    </w:p>
    <w:p>
      <w:pPr>
        <w:pStyle w:val="ListBullet"/>
      </w:pPr>
      <w:r>
        <w:rPr>
          <w:b/>
        </w:rPr>
        <w:t>UFLEX (4 signals):</w:t>
      </w:r>
      <w:r>
        <w:t xml:space="preserve"> Blue Zone Buy + Strong + Bull Flag Buy + Strong. The only Bull Flag Strong of the week.</w:t>
      </w:r>
    </w:p>
    <w:p>
      <w:pPr>
        <w:pStyle w:val="ListBullet"/>
      </w:pPr>
      <w:r>
        <w:rPr>
          <w:b/>
        </w:rPr>
        <w:t>COFORGE, CRAFTSMAN, CRISIL, INDGN, QUESS:</w:t>
      </w:r>
      <w:r>
        <w:t xml:space="preserve"> each firing Blue Zone + MACD Buy + MACD Strong triple.</w:t>
      </w:r>
    </w:p>
    <w:p>
      <w:pPr>
        <w:pStyle w:val="ListBullet"/>
      </w:pPr>
      <w:r>
        <w:rPr>
          <w:b/>
        </w:rPr>
        <w:t>KOTAKBANK:</w:t>
      </w:r>
      <w:r>
        <w:t xml:space="preserve"> Blue Zone Buy + Narrow CPR + VCP Buy — the sole large-cap bellwether in the multi-signal list.</w:t>
      </w:r>
    </w:p>
    <w:p>
      <w:pPr>
        <w:pStyle w:val="ListBullet"/>
      </w:pPr>
      <w:r>
        <w:rPr>
          <w:b/>
        </w:rPr>
        <w:t>BAJAJ-AUTO:</w:t>
      </w:r>
      <w:r>
        <w:t xml:space="preserve"> MACD Buy + Strong + Narrow CPR — an auto name defying the sector rout, aligned with its +46% EPS print.</w:t>
      </w:r>
    </w:p>
    <w:p>
      <w:r>
        <w:rPr>
          <w:b/>
        </w:rPr>
        <w:t>Signal read:</w:t>
      </w:r>
      <w:r>
        <w:t xml:space="preserve"> Blue Zone is contracting while Narrow CPR breakaways surge — the broad accumulation theme is fading, but pockets are coiling for potential moves. This is a </w:t>
      </w:r>
      <w:r>
        <w:rPr>
          <w:b/>
        </w:rPr>
        <w:t>rotating</w:t>
      </w:r>
      <w:r>
        <w:t>, not expanding, signal mix.</w:t>
      </w:r>
    </w:p>
    <w:p>
      <w:pPr>
        <w:pStyle w:val="Heading2"/>
      </w:pPr>
      <w:r>
        <w:t>6. Notable Stock-Level Action</w:t>
      </w:r>
    </w:p>
    <w:p>
      <w:pPr>
        <w:pStyle w:val="ListBullet"/>
      </w:pPr>
      <w:r>
        <w:rPr>
          <w:b/>
        </w:rPr>
        <w:t>NIACL (New India Assurance)</w:t>
      </w:r>
      <w:r>
        <w:t xml:space="preserve"> — volume ratio of </w:t>
      </w:r>
      <w:r>
        <w:rPr>
          <w:b/>
        </w:rPr>
        <w:t>16.8x</w:t>
      </w:r>
      <w:r>
        <w:t xml:space="preserve"> on Friday, RS rank #51. The largest volume anomaly of the week; likely IPO/insurance-sector noise given the NSE IPO clearance headlines.</w:t>
      </w:r>
    </w:p>
    <w:p>
      <w:pPr>
        <w:pStyle w:val="ListBullet"/>
      </w:pPr>
      <w:r>
        <w:rPr>
          <w:b/>
        </w:rPr>
        <w:t>HBLENGINE — 15.9x volume</w:t>
      </w:r>
      <w:r>
        <w:t xml:space="preserve"> in Auto Components on Friday despite the sector being crushed. A single-stock story worth watching.</w:t>
      </w:r>
    </w:p>
    <w:p>
      <w:pPr>
        <w:pStyle w:val="ListBullet"/>
      </w:pPr>
      <w:r>
        <w:rPr>
          <w:b/>
        </w:rPr>
        <w:t>AFFLE (13.1x) and TEJASNET (6.8x, RS #120)</w:t>
      </w:r>
      <w:r>
        <w:t xml:space="preserve"> — two TMT names moving on volume against a weak-breadth backdrop. Tejas also appears in the rank-surge list.</w:t>
      </w:r>
    </w:p>
    <w:p>
      <w:pPr>
        <w:pStyle w:val="ListBullet"/>
      </w:pPr>
      <w:r>
        <w:rPr>
          <w:b/>
        </w:rPr>
        <w:t>IFCI at 6.4x volume, RS #15</w:t>
      </w:r>
      <w:r>
        <w:t xml:space="preserve"> — one of the highest-ranked names on the board and it's also firing Blue Zone Strong. The financials-microcap complex is quietly bidding.</w:t>
      </w:r>
    </w:p>
    <w:p>
      <w:pPr>
        <w:pStyle w:val="ListBullet"/>
      </w:pPr>
      <w:r>
        <w:rPr>
          <w:b/>
        </w:rPr>
        <w:t>RAYMOND rank surged to #62 (slope -25.4)</w:t>
      </w:r>
      <w:r>
        <w:t xml:space="preserve"> — a Realty name climbing hard even as the sector flipped Leading → Weakening. Idiosyncratic strength.</w:t>
      </w:r>
    </w:p>
    <w:p>
      <w:pPr>
        <w:pStyle w:val="ListBullet"/>
      </w:pPr>
      <w:r>
        <w:rPr>
          <w:b/>
        </w:rPr>
        <w:t>Rank decliners</w:t>
      </w:r>
      <w:r>
        <w:t xml:space="preserve"> are almost all consumption-facing: </w:t>
      </w:r>
      <w:r>
        <w:rPr>
          <w:b/>
        </w:rPr>
        <w:t>HAPPSTMNDS, EICHERMOT, M&amp;M, HAVELLS</w:t>
      </w:r>
      <w:r>
        <w:t xml:space="preserve"> — the crude/auto/durables complex is bleeding rank.</w:t>
      </w:r>
    </w:p>
    <w:p>
      <w:pPr>
        <w:pStyle w:val="Heading2"/>
      </w:pPr>
      <w:r>
        <w:t>7. Macro &amp; Global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Level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WoW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India VIX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11.59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+0.91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Brent Crude (USD)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95.37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+9.0%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DXY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99.02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-0.20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Gold (USD/oz)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4,515.70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-2.8%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Silver (USD/oz)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67.26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-5.7%</w:t>
            </w:r>
          </w:p>
        </w:tc>
      </w:tr>
    </w:tbl>
    <w:p/>
    <w:p>
      <w:r>
        <w:t xml:space="preserve">The </w:t>
      </w:r>
      <w:r>
        <w:rPr>
          <w:b/>
        </w:rPr>
        <w:t>Brent spike is the week's dominant global variable</w:t>
      </w:r>
      <w:r>
        <w:t xml:space="preserve"> — Iran-US flare-up drove the move and drove Nifty's four-day losing streak. Gold and silver both slipped in USD terms — no classic safe-haven bid despite the geopolitics.</w:t>
      </w:r>
    </w:p>
    <w:p>
      <w:r>
        <w:rPr>
          <w:b/>
        </w:rPr>
        <w:t>Domestic macro was, by contrast, remarkably supportive:</w:t>
      </w:r>
    </w:p>
    <w:p>
      <w:pPr>
        <w:pStyle w:val="ListBullet"/>
      </w:pPr>
      <w:r>
        <w:rPr>
          <w:b/>
        </w:rPr>
        <w:t>Q1 FY27 GDP at 7.8%</w:t>
      </w:r>
      <w:r>
        <w:t xml:space="preserve"> beat RBI's estimate — a genuine growth surprise, even amid the Iran war (though Systematix noted "uneven growth" beneath the headline).</w:t>
      </w:r>
    </w:p>
    <w:p>
      <w:pPr>
        <w:pStyle w:val="ListBullet"/>
      </w:pPr>
      <w:r>
        <w:rPr>
          <w:b/>
        </w:rPr>
        <w:t>RBI's forex swap window drew $136 billion</w:t>
      </w:r>
      <w:r>
        <w:t xml:space="preserve">, with FCNR(B) deposits alone at </w:t>
      </w:r>
      <w:r>
        <w:rPr>
          <w:b/>
        </w:rPr>
        <w:t>$100+ billion vs the $80bn estimate</w:t>
      </w:r>
      <w:r>
        <w:t>. This is a huge liquidity/reserves story — the rupee logged its best week in five. Cost to RBI: ~$11 billion bill on the deposits programme, per Bloomberg.</w:t>
      </w:r>
    </w:p>
    <w:p>
      <w:pPr>
        <w:pStyle w:val="ListBullet"/>
      </w:pPr>
      <w:r>
        <w:rPr>
          <w:b/>
        </w:rPr>
        <w:t>RBI also tapped longer-duration reverse repo</w:t>
      </w:r>
      <w:r>
        <w:t xml:space="preserve"> to drain the resulting excess system liquidity — a technical follow-up to the FCNR(B) success.</w:t>
      </w:r>
    </w:p>
    <w:p>
      <w:pPr>
        <w:pStyle w:val="ListBullet"/>
      </w:pPr>
      <w:r>
        <w:rPr>
          <w:b/>
        </w:rPr>
        <w:t>SEBI cleared NSE's ₹30,000 cr IPO</w:t>
      </w:r>
      <w:r>
        <w:t xml:space="preserve"> — India's second-largest, materially bullish for Financial Services and market plumbing.</w:t>
      </w:r>
    </w:p>
    <w:p>
      <w:pPr>
        <w:pStyle w:val="ListBullet"/>
      </w:pPr>
      <w:r>
        <w:rPr>
          <w:b/>
        </w:rPr>
        <w:t>Piyush Goyal is renegotiating with the US on preferential tariff terms</w:t>
      </w:r>
      <w:r>
        <w:t xml:space="preserve"> — an unresolved overhang for IT, Pharma, Engineering exports.</w:t>
      </w:r>
    </w:p>
    <w:p>
      <w:pPr>
        <w:pStyle w:val="Heading2"/>
      </w:pPr>
      <w:r>
        <w:t>8. What to Watch Next Week</w:t>
      </w:r>
    </w:p>
    <w:p>
      <w:pPr>
        <w:pStyle w:val="ListBullet"/>
      </w:pPr>
      <w:r>
        <w:rPr>
          <w:b/>
        </w:rPr>
        <w:t>Nifty levels:</w:t>
      </w:r>
      <w:r>
        <w:t xml:space="preserve"> the 20/50 EMA cluster near </w:t>
      </w:r>
      <w:r>
        <w:rPr>
          <w:b/>
        </w:rPr>
        <w:t>24,155–24,166</w:t>
      </w:r>
      <w:r>
        <w:t xml:space="preserve"> is now overhead resistance. Friday's close at </w:t>
      </w:r>
      <w:r>
        <w:rPr>
          <w:b/>
        </w:rPr>
        <w:t>23,897.70</w:t>
      </w:r>
      <w:r>
        <w:t xml:space="preserve"> needs to hold; a decisive break below would open air toward the recent lows. On the upside, reclaiming 24,155 would be the first sign of trend repair.</w:t>
      </w:r>
    </w:p>
    <w:p>
      <w:pPr>
        <w:pStyle w:val="ListBullet"/>
      </w:pPr>
      <w:r>
        <w:rPr>
          <w:b/>
        </w:rPr>
        <w:t>Brent crude:</w:t>
      </w:r>
      <w:r>
        <w:t xml:space="preserve"> the single most important variable next week. Any further escalation lifts oil further; any de-escalation could unwind the Auto/Aviation/FMCG damage quickly.</w:t>
      </w:r>
    </w:p>
    <w:p>
      <w:pPr>
        <w:pStyle w:val="ListBullet"/>
      </w:pPr>
      <w:r>
        <w:rPr>
          <w:b/>
        </w:rPr>
        <w:t>India-US trade deal talks:</w:t>
      </w:r>
      <w:r>
        <w:t xml:space="preserve"> an unresolved overhang for IT and Pharma exporters — worth watching for any framework update.</w:t>
      </w:r>
    </w:p>
    <w:p>
      <w:pPr>
        <w:pStyle w:val="ListBullet"/>
      </w:pPr>
      <w:r>
        <w:rPr>
          <w:b/>
        </w:rPr>
        <w:t>Continuation themes:</w:t>
      </w:r>
      <w:r>
        <w:t xml:space="preserve"> whether IT and Healthcare hold their fresh Leading-quadrant status, and whether Banking's slip from Leading → Weakening deepens or reverses. The Narrow CPR breakaway coil (52 stocks) is a setup queue — watch for which of them actually resolves higher.</w:t>
      </w:r>
    </w:p>
    <w:p>
      <w:pPr>
        <w:pStyle w:val="Heading2"/>
      </w:pPr>
      <w:r>
        <w:t>9. The Bottom Line</w:t>
      </w:r>
    </w:p>
    <w:p>
      <w:pPr>
        <w:pStyle w:val="ListNumber"/>
      </w:pPr>
      <w:r>
        <w:rPr>
          <w:b/>
        </w:rPr>
        <w:t>The tape is decisively below trend — but the macro underneath is stronger than the price action suggests.</w:t>
      </w:r>
      <w:r>
        <w:t xml:space="preserve"> Nifty is below its 20/50/200 EMAs and breadth is thin, yet Q1 GDP printed 7.8% and RBI pulled in $136bn of FX. The gap between price and fundamentals is unusual; resolution will hinge on Brent.</w:t>
      </w:r>
    </w:p>
    <w:p>
      <w:pPr>
        <w:pStyle w:val="ListNumber"/>
      </w:pPr>
      <w:r>
        <w:rPr>
          <w:b/>
        </w:rPr>
        <w:t>Crude sensitivity is the dominant sector filter right now.</w:t>
      </w:r>
      <w:r>
        <w:t xml:space="preserve"> Auto flipped Weakening → Lagging, Aviation and FMCG both sold off, while Energy improved. Until Brent settles, factor exposure to fuel costs is the single biggest driver of relative performance — even ahead of earnings.</w:t>
      </w:r>
    </w:p>
    <w:p>
      <w:pPr>
        <w:pStyle w:val="ListNumber"/>
      </w:pPr>
      <w:r>
        <w:rPr>
          <w:b/>
        </w:rPr>
        <w:t>The signal mix is rotating, not expanding — favour the multi-signal names.</w:t>
      </w:r>
      <w:r>
        <w:t xml:space="preserve"> Blue Zone contracted by 12 stocks even as Narrow CPR breakaways expanded by 24. In a narrowing market, cross-indicator confirmation matters more; </w:t>
      </w:r>
      <w:r>
        <w:rPr>
          <w:b/>
        </w:rPr>
        <w:t>DIVISLAB, UFLEX, COFORGE, KOTAKBANK, BAJAJ-AUTO</w:t>
      </w:r>
      <w:r>
        <w:t xml:space="preserve"> carry the strongest technical stack. Honest caveat: in a weak-tape week, even good setups fail more often — position sizing matters as much as selection.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