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2026-07-25</w:t>
      </w:r>
    </w:p>
    <w:p>
      <w:pPr>
        <w:pStyle w:val="Heading2"/>
      </w:pPr>
      <w:r>
        <w:t>The Week in One Line</w:t>
      </w:r>
    </w:p>
    <w:p>
      <w:r>
        <w:t xml:space="preserve">Nifty slid </w:t>
      </w:r>
      <w:r>
        <w:rPr>
          <w:b/>
        </w:rPr>
        <w:t>-2.3%</w:t>
      </w:r>
      <w:r>
        <w:t xml:space="preserve"> to 23,787.55 as a sharp spike in crude oil rattled sentiment and dragged the index below all major moving averages.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ETFs (+2.5%)</w:t>
      </w:r>
      <w:r>
        <w:t xml:space="preserve"> — A broad ETF basket led the tape, likely reflecting flows into gold and defensive/thematic ETFs as investors sought shelter from the equity sell-off.</w:t>
      </w:r>
    </w:p>
    <w:p>
      <w:pPr>
        <w:pStyle w:val="ListBullet"/>
      </w:pPr>
      <w:r>
        <w:rPr>
          <w:b/>
        </w:rPr>
        <w:t>Logistics (+0.7%)</w:t>
      </w:r>
      <w:r>
        <w:t xml:space="preserve"> — Held up on the back of strong Jun-quarter earnings (Mahindra Logistics posted EPS growth of +335%), suggesting operating leverage is finally kicking in.</w:t>
      </w:r>
    </w:p>
    <w:p>
      <w:pPr>
        <w:pStyle w:val="ListBullet"/>
      </w:pPr>
      <w:r>
        <w:rPr>
          <w:b/>
        </w:rPr>
        <w:t>Agriculture (+0.3%)</w:t>
      </w:r>
      <w:r>
        <w:t xml:space="preserve"> — A quiet, defensive winner. This sector often outperforms when the broader market wobbles.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Aviation (-4.7%)</w:t>
      </w:r>
      <w:r>
        <w:t xml:space="preserve"> — Brent crude jumped </w:t>
      </w:r>
      <w:r>
        <w:rPr>
          <w:b/>
        </w:rPr>
        <w:t>+17.8%</w:t>
      </w:r>
      <w:r>
        <w:t xml:space="preserve"> in a week to $100. Jet fuel is airlines' single biggest cost. IndiGo also swung to a loss (EPS -111% YoY), a double blow.</w:t>
      </w:r>
    </w:p>
    <w:p>
      <w:pPr>
        <w:pStyle w:val="ListBullet"/>
      </w:pPr>
      <w:r>
        <w:rPr>
          <w:b/>
        </w:rPr>
        <w:t>Realty (-3.9%)</w:t>
      </w:r>
      <w:r>
        <w:t xml:space="preserve"> — After a strong month, profit-booking hit hard. Rising crude also stokes inflation fears, which pushes back rate-cut hopes — bad news for interest-rate-sensitive property stocks.</w:t>
      </w:r>
    </w:p>
    <w:p>
      <w:pPr>
        <w:pStyle w:val="ListBullet"/>
      </w:pPr>
      <w:r>
        <w:rPr>
          <w:b/>
        </w:rPr>
        <w:t>Conglomerate (-3.5%)</w:t>
      </w:r>
      <w:r>
        <w:t xml:space="preserve"> — Reliance's -22% EPS drop and -3.7% price fall over five days weighed on the whole basket, given its heavy index weight.</w:t>
      </w:r>
    </w:p>
    <w:p>
      <w:pPr>
        <w:pStyle w:val="ListBullet"/>
      </w:pPr>
      <w:r>
        <w:rPr>
          <w:b/>
        </w:rPr>
        <w:t>IT (-2.6%)</w:t>
      </w:r>
      <w:r>
        <w:t xml:space="preserve"> — Despite decent earnings (TCS, Infy, HCL all in line), the sector remains in a downtrend (</w:t>
      </w:r>
      <w:r>
        <w:rPr>
          <w:b/>
        </w:rPr>
        <w:t>-21% year-to-date</w:t>
      </w:r>
      <w:r>
        <w:t>) as concerns about US client spending linger.</w:t>
      </w:r>
    </w:p>
    <w:p>
      <w:pPr>
        <w:pStyle w:val="Heading2"/>
      </w:pPr>
      <w:r>
        <w:t>Notable Events</w:t>
      </w:r>
    </w:p>
    <w:p>
      <w:r>
        <w:rPr>
          <w:b/>
        </w:rPr>
        <w:t>Brent crude surged nearly 18% in a week to $100.</w:t>
      </w:r>
      <w:r>
        <w:t xml:space="preserve"> This is the single biggest story. It hits aviation directly, squeezes margins for paint/tyre/chemical makers, and worsens India's import bill (we buy ~85% of our oil). It also feeds inflation, which complicates the RBI's rate-cut path.</w:t>
      </w:r>
    </w:p>
    <w:p>
      <w:r>
        <w:rPr>
          <w:b/>
        </w:rPr>
        <w:t>Banking heavyweights disappointed on price, not earnings.</w:t>
      </w:r>
      <w:r>
        <w:t xml:space="preserve"> HDFC Bank and ICICI Bank both grew EPS ~15-20%, but their stock prices fell </w:t>
      </w:r>
      <w:r>
        <w:rPr>
          <w:b/>
        </w:rPr>
        <w:t>-9.4%</w:t>
      </w:r>
      <w:r>
        <w:t xml:space="preserve"> and </w:t>
      </w:r>
      <w:r>
        <w:rPr>
          <w:b/>
        </w:rPr>
        <w:t>-0.8%</w:t>
      </w:r>
      <w:r>
        <w:t xml:space="preserve"> over five days respectively. Translation: results were fine, but the market wanted more — or is simply de-risking. HDFC Bank's rank slid sharply (now #479 of ~500), a notable weakness signal.</w:t>
      </w:r>
    </w:p>
    <w:p>
      <w:r>
        <w:rPr>
          <w:b/>
        </w:rPr>
        <w:t>Bright spot — capital-goods and select autos crushed it.</w:t>
      </w:r>
      <w:r>
        <w:t xml:space="preserve"> BHEL delivered </w:t>
      </w:r>
      <w:r>
        <w:rPr>
          <w:b/>
        </w:rPr>
        <w:t>+182% EPS growth</w:t>
      </w:r>
      <w:r>
        <w:t xml:space="preserve">, Bajaj Auto </w:t>
      </w:r>
      <w:r>
        <w:rPr>
          <w:b/>
        </w:rPr>
        <w:t>+46%</w:t>
      </w:r>
      <w:r>
        <w:t xml:space="preserve">, TVS Motor </w:t>
      </w:r>
      <w:r>
        <w:rPr>
          <w:b/>
        </w:rPr>
        <w:t>+67%</w:t>
      </w:r>
      <w:r>
        <w:t xml:space="preserve">. Both auto names actually gained 6-7% over five days despite the broader fall — the </w:t>
      </w:r>
      <w:r>
        <w:rPr>
          <w:b/>
        </w:rPr>
        <w:t>Automobile sector flipped from Weakening to Leading</w:t>
      </w:r>
      <w:r>
        <w:t xml:space="preserve"> in relative-strength terms (a technical way of saying money is rotating in).</w:t>
      </w:r>
    </w:p>
    <w:p>
      <w:pPr>
        <w:pStyle w:val="Heading2"/>
      </w:pPr>
      <w:r>
        <w:t>Charts to Know</w:t>
      </w:r>
    </w:p>
    <w:p>
      <w:r>
        <w:rPr>
          <w:b/>
        </w:rPr>
        <w:t>Breadth turned ugly mid-week.</w:t>
      </w:r>
      <w:r>
        <w:t xml:space="preserve"> Breadth simply counts how many stocks went up vs down each day. On Monday/Tuesday, advances beat declines comfortably (345 vs 238, then 325 vs 255). But Wednesday and Thursday saw a wipeout — only </w:t>
      </w:r>
      <w:r>
        <w:rPr>
          <w:b/>
        </w:rPr>
        <w:t>109 and 119 stocks advanced against 470+ declining</w:t>
      </w:r>
      <w:r>
        <w:t>. That's a broad-based sell, not a rotation. Friday recovered slightly (313 up, 267 down), hinting the selling may be pausing.</w:t>
      </w:r>
    </w:p>
    <w:p>
      <w:r>
        <w:rPr>
          <w:b/>
        </w:rPr>
        <w:t>Stocks above their 200-day average slipped from 55% to 50%.</w:t>
      </w:r>
      <w:r>
        <w:t xml:space="preserve"> The 200-day moving average is the classic dividing line between "long-term uptrend" and "long-term downtrend." Half the market is now on the wrong side of it — a caution flag, though not a crisis.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 xml:space="preserve">: Most large-caps have reported. Watch the mid-cap earnings tail — particularly in </w:t>
      </w:r>
      <w:r>
        <w:rPr>
          <w:b/>
        </w:rPr>
        <w:t>chemicals</w:t>
      </w:r>
      <w:r>
        <w:t xml:space="preserve"> (Guj Alkalies posted +498% EPS), </w:t>
      </w:r>
      <w:r>
        <w:rPr>
          <w:b/>
        </w:rPr>
        <w:t>realty</w:t>
      </w:r>
      <w:r>
        <w:t xml:space="preserve">, and </w:t>
      </w:r>
      <w:r>
        <w:rPr>
          <w:b/>
        </w:rPr>
        <w:t>financial services</w:t>
      </w:r>
      <w:r>
        <w:t>, where sector-wide EPS growth has been strong.</w:t>
      </w:r>
    </w:p>
    <w:p>
      <w:pPr>
        <w:pStyle w:val="ListBullet"/>
      </w:pPr>
      <w:r>
        <w:rPr>
          <w:b/>
        </w:rPr>
        <w:t>Macro</w:t>
      </w:r>
      <w:r>
        <w:t xml:space="preserve">: </w:t>
      </w:r>
      <w:r>
        <w:rPr>
          <w:b/>
        </w:rPr>
        <w:t>Crude oil is the swing factor.</w:t>
      </w:r>
      <w:r>
        <w:t xml:space="preserve"> Any further move above $100 pressures aviation, paints, and the rupee. Also watch DXY (dollar index at 101.43, up modestly) — a stronger dollar means more FII selling pressure.</w:t>
      </w:r>
    </w:p>
    <w:p>
      <w:pPr>
        <w:pStyle w:val="ListBullet"/>
      </w:pPr>
      <w:r>
        <w:rPr>
          <w:b/>
        </w:rPr>
        <w:t>Nifty levels</w:t>
      </w:r>
      <w:r>
        <w:t xml:space="preserve">: The index is below its 20-day (24,072), 50-day (23,979), and 200-day (24,410) averages. </w:t>
      </w:r>
      <w:r>
        <w:rPr>
          <w:b/>
        </w:rPr>
        <w:t>23,750 is immediate support</w:t>
      </w:r>
      <w:r>
        <w:t xml:space="preserve">; a break opens up 23,500. On the upside, Nifty needs to reclaim </w:t>
      </w:r>
      <w:r>
        <w:rPr>
          <w:b/>
        </w:rPr>
        <w:t>24,000</w:t>
      </w:r>
      <w:r>
        <w:t xml:space="preserve"> to signal the pullback is done.</w:t>
      </w:r>
    </w:p>
    <w:p>
      <w:r>
        <w:t>Stay patient. Corrections like this are normal — the medium-term earnings picture (banking +27%, metals +113%, financials +26%) remains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