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2026-10-10</w:t>
      </w:r>
    </w:p>
    <w:p>
      <w:pPr>
        <w:pStyle w:val="Heading2"/>
      </w:pPr>
      <w:r>
        <w:t>1. What Happened This Week</w:t>
      </w:r>
    </w:p>
    <w:p>
      <w:r>
        <w:t xml:space="preserve">Nifty 50 eked out a </w:t>
      </w:r>
      <w:r>
        <w:rPr>
          <w:b/>
        </w:rPr>
        <w:t>+0.4% weekly gain</w:t>
      </w:r>
      <w:r>
        <w:t xml:space="preserve">, closing at </w:t>
      </w:r>
      <w:r>
        <w:rPr>
          <w:b/>
        </w:rPr>
        <w:t>22,520.45</w:t>
      </w:r>
      <w:r>
        <w:t xml:space="preserve"> on Friday after a brutal mid-week swing: Tuesday's rally to 22,776 was almost entirely surrendered by Thursday's crash to 22,231 (a 544-point intraday capitulation on advance-decline of 35:548), before Friday clawed back 289 points. The dominant story this week was </w:t>
      </w:r>
      <w:r>
        <w:rPr>
          <w:b/>
        </w:rPr>
        <w:t>the aftermath of the RBI's 25 bps hike to 5.50%</w:t>
      </w:r>
      <w:r>
        <w:t xml:space="preserve"> (continuing from last week, but driving everything), compounded by </w:t>
      </w:r>
      <w:r>
        <w:rPr>
          <w:b/>
        </w:rPr>
        <w:t>two fresh domestic policy jolts</w:t>
      </w:r>
      <w:r>
        <w:t xml:space="preserve">: Nayara Energy's ₹5/litre petrol and ₹3/litre diesel hike with a 90-day bulk-diesel restriction, and the edible-oil import-duty cut that's expected to lift sunflower-oil imports 30%. Add surging Brent (+2.1% to $103, with mid-week spikes above $106 on US-Iran tensions) and the rupee stuck near record lows despite RBI's dollar-forward curbs, and you get the chop you saw — a textbook defensive-rotation week where </w:t>
      </w:r>
      <w:r>
        <w:rPr>
          <w:b/>
        </w:rPr>
        <w:t>FMCG and IT led while Auto, Realty, and Conglomerates got hammered</w:t>
      </w:r>
      <w:r>
        <w:t>.</w:t>
      </w:r>
    </w:p>
    <w:p>
      <w:pPr>
        <w:pStyle w:val="Heading2"/>
      </w:pPr>
      <w:r>
        <w:t>2. The Trend Picture</w:t>
      </w:r>
    </w:p>
    <w:p>
      <w:r>
        <w:t xml:space="preserve">Nifty remains structurally weak — </w:t>
      </w:r>
      <w:r>
        <w:rPr>
          <w:b/>
        </w:rPr>
        <w:t>below all three major EMAs</w:t>
      </w:r>
      <w:r>
        <w:t xml:space="preserve"> (Exponential Moving Average — a smoothed average of recent closing prices):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Reference</w:t>
            </w:r>
          </w:p>
        </w:tc>
        <w:tc>
          <w:tcPr>
            <w:tcW w:type="dxa" w:w="2880"/>
          </w:tcPr>
          <w:p>
            <w:r/>
            <w:r>
              <w:rPr>
                <w:b/>
                <w:sz w:val="20"/>
              </w:rPr>
              <w:t>Level</w:t>
            </w:r>
          </w:p>
        </w:tc>
        <w:tc>
          <w:tcPr>
            <w:tcW w:type="dxa" w:w="2880"/>
          </w:tcPr>
          <w:p>
            <w:r/>
            <w:r>
              <w:rPr>
                <w:b/>
                <w:sz w:val="20"/>
              </w:rPr>
              <w:t>Nifty vs.</w:t>
            </w:r>
          </w:p>
        </w:tc>
      </w:tr>
      <w:tr>
        <w:tc>
          <w:tcPr>
            <w:tcW w:type="dxa" w:w="2880"/>
          </w:tcPr>
          <w:p>
            <w:r>
              <w:rPr>
                <w:sz w:val="20"/>
              </w:rPr>
            </w:r>
            <w:r>
              <w:rPr>
                <w:sz w:val="20"/>
              </w:rPr>
              <w:t>EMA 20</w:t>
            </w:r>
          </w:p>
        </w:tc>
        <w:tc>
          <w:tcPr>
            <w:tcW w:type="dxa" w:w="2880"/>
          </w:tcPr>
          <w:p>
            <w:r>
              <w:rPr>
                <w:sz w:val="20"/>
              </w:rPr>
            </w:r>
            <w:r>
              <w:rPr>
                <w:sz w:val="20"/>
              </w:rPr>
              <w:t>22,935.94</w:t>
            </w:r>
          </w:p>
        </w:tc>
        <w:tc>
          <w:tcPr>
            <w:tcW w:type="dxa" w:w="2880"/>
          </w:tcPr>
          <w:p>
            <w:r>
              <w:rPr>
                <w:sz w:val="20"/>
              </w:rPr>
            </w:r>
            <w:r>
              <w:rPr>
                <w:b/>
                <w:sz w:val="20"/>
              </w:rPr>
              <w:t>-1.8% below</w:t>
            </w:r>
          </w:p>
        </w:tc>
      </w:tr>
      <w:tr>
        <w:tc>
          <w:tcPr>
            <w:tcW w:type="dxa" w:w="2880"/>
          </w:tcPr>
          <w:p>
            <w:r>
              <w:rPr>
                <w:sz w:val="20"/>
              </w:rPr>
            </w:r>
            <w:r>
              <w:rPr>
                <w:sz w:val="20"/>
              </w:rPr>
              <w:t>EMA 50</w:t>
            </w:r>
          </w:p>
        </w:tc>
        <w:tc>
          <w:tcPr>
            <w:tcW w:type="dxa" w:w="2880"/>
          </w:tcPr>
          <w:p>
            <w:r>
              <w:rPr>
                <w:sz w:val="20"/>
              </w:rPr>
            </w:r>
            <w:r>
              <w:rPr>
                <w:sz w:val="20"/>
              </w:rPr>
              <w:t>23,415.51</w:t>
            </w:r>
          </w:p>
        </w:tc>
        <w:tc>
          <w:tcPr>
            <w:tcW w:type="dxa" w:w="2880"/>
          </w:tcPr>
          <w:p>
            <w:r>
              <w:rPr>
                <w:sz w:val="20"/>
              </w:rPr>
            </w:r>
            <w:r>
              <w:rPr>
                <w:b/>
                <w:sz w:val="20"/>
              </w:rPr>
              <w:t>-3.8% below</w:t>
            </w:r>
          </w:p>
        </w:tc>
      </w:tr>
      <w:tr>
        <w:tc>
          <w:tcPr>
            <w:tcW w:type="dxa" w:w="2880"/>
          </w:tcPr>
          <w:p>
            <w:r>
              <w:rPr>
                <w:sz w:val="20"/>
              </w:rPr>
            </w:r>
            <w:r>
              <w:rPr>
                <w:sz w:val="20"/>
              </w:rPr>
              <w:t>EMA 200</w:t>
            </w:r>
          </w:p>
        </w:tc>
        <w:tc>
          <w:tcPr>
            <w:tcW w:type="dxa" w:w="2880"/>
          </w:tcPr>
          <w:p>
            <w:r>
              <w:rPr>
                <w:sz w:val="20"/>
              </w:rPr>
            </w:r>
            <w:r>
              <w:rPr>
                <w:sz w:val="20"/>
              </w:rPr>
              <w:t>24,065.06</w:t>
            </w:r>
          </w:p>
        </w:tc>
        <w:tc>
          <w:tcPr>
            <w:tcW w:type="dxa" w:w="2880"/>
          </w:tcPr>
          <w:p>
            <w:r>
              <w:rPr>
                <w:sz w:val="20"/>
              </w:rPr>
            </w:r>
            <w:r>
              <w:rPr>
                <w:b/>
                <w:sz w:val="20"/>
              </w:rPr>
              <w:t>-6.4% below</w:t>
            </w:r>
          </w:p>
        </w:tc>
      </w:tr>
    </w:tbl>
    <w:p/>
    <w:p>
      <w:r>
        <w:t xml:space="preserve">This is a confirmed downtrend, not a pullback. Breadth confirms the damage: only </w:t>
      </w:r>
      <w:r>
        <w:rPr>
          <w:b/>
        </w:rPr>
        <w:t>29% of stocks trade above their 200-EMA</w:t>
      </w:r>
      <w:r>
        <w:t xml:space="preserve"> (down from 36% last Tuesday), and the market has registered </w:t>
      </w:r>
      <w:r>
        <w:rPr>
          <w:b/>
        </w:rPr>
        <w:t>zero new 52-week highs for seven straight sessions</w:t>
      </w:r>
      <w:r>
        <w:t xml:space="preserve"> against hundreds of new lows (</w:t>
      </w:r>
      <w:r>
        <w:rPr>
          <w:b/>
        </w:rPr>
        <w:t>96 fresh lows on Thursday alone</w:t>
      </w:r>
      <w:r>
        <w:t xml:space="preserve">). The daily advance-decline table shows the character well — </w:t>
      </w:r>
      <w:r>
        <w:rPr>
          <w:b/>
        </w:rPr>
        <w:t>Tuesday (435:146 advancing) and Friday (406:176)</w:t>
      </w:r>
      <w:r>
        <w:t xml:space="preserve"> were the only genuinely strong days, sandwiched around </w:t>
      </w:r>
      <w:r>
        <w:rPr>
          <w:b/>
        </w:rPr>
        <w:t>Thursday's wipeout (35:548)</w:t>
      </w:r>
      <w:r>
        <w:t>. That's not a market healing; that's a market oscillating under distribution.</w:t>
      </w:r>
    </w:p>
    <w:p>
      <w:pPr>
        <w:pStyle w:val="Heading2"/>
      </w:pPr>
      <w:r>
        <w:t>3. Sector Rotation — Where Money Is Flowing</w:t>
      </w:r>
    </w:p>
    <w:p>
      <w:r>
        <w:rPr>
          <w:b/>
        </w:rPr>
        <w:t>Top 3 (5-day median):</w:t>
      </w:r>
      <w:r>
        <w:t xml:space="preserve"> FMCG </w:t>
      </w:r>
      <w:r>
        <w:rPr>
          <w:b/>
        </w:rPr>
        <w:t>+2.1%</w:t>
      </w:r>
      <w:r>
        <w:t xml:space="preserve">, Media </w:t>
      </w:r>
      <w:r>
        <w:rPr>
          <w:b/>
        </w:rPr>
        <w:t>+1.4%</w:t>
      </w:r>
      <w:r>
        <w:t xml:space="preserve">, IT </w:t>
      </w:r>
      <w:r>
        <w:rPr>
          <w:b/>
        </w:rPr>
        <w:t>+1.0%</w:t>
      </w:r>
      <w:r>
        <w:t xml:space="preserve"> </w:t>
      </w:r>
      <w:r>
        <w:rPr>
          <w:b/>
        </w:rPr>
        <w:t>Bottom 3:</w:t>
      </w:r>
      <w:r>
        <w:t xml:space="preserve"> Conglomerate </w:t>
      </w:r>
      <w:r>
        <w:rPr>
          <w:b/>
        </w:rPr>
        <w:t>-6.5%</w:t>
      </w:r>
      <w:r>
        <w:t xml:space="preserve">, Realty </w:t>
      </w:r>
      <w:r>
        <w:rPr>
          <w:b/>
        </w:rPr>
        <w:t>-3.7%</w:t>
      </w:r>
      <w:r>
        <w:t xml:space="preserve">, Auto </w:t>
      </w:r>
      <w:r>
        <w:rPr>
          <w:b/>
        </w:rPr>
        <w:t>-3.5%</w:t>
      </w:r>
    </w:p>
    <w:p>
      <w:r>
        <w:t xml:space="preserve">The rotation this week is </w:t>
      </w:r>
      <w:r>
        <w:rPr>
          <w:b/>
        </w:rPr>
        <w:t>defensive-and-dollar-earners up, rate-sensitives down</w:t>
      </w:r>
      <w:r>
        <w:t xml:space="preserve"> — exactly what you'd expect after an RBI hike with 100 bps more guided. Three quadrant flips (RRG = Relative Rotation Graph, which maps sectors across Leading/Weakening/Lagging/Improving quadrants based on relative strength and momentum) tell the story cleanly:</w:t>
      </w:r>
    </w:p>
    <w:p>
      <w:pPr>
        <w:pStyle w:val="ListBullet"/>
      </w:pPr>
      <w:r>
        <w:rPr>
          <w:b/>
        </w:rPr>
        <w:t>FMCG: Improving → Leading</w:t>
      </w:r>
      <w:r>
        <w:t xml:space="preserve"> (RS Δ +3.0). The edible-oil duty cut is a direct tailwind for food processors, and the sector is also benefiting from defensive flows as risk assets wobble.</w:t>
      </w:r>
    </w:p>
    <w:p>
      <w:pPr>
        <w:pStyle w:val="ListBullet"/>
      </w:pPr>
      <w:r>
        <w:rPr>
          <w:b/>
        </w:rPr>
        <w:t>IT: Lagging → Improving</w:t>
      </w:r>
      <w:r>
        <w:t xml:space="preserve"> (RS Δ +4.0). A weak rupee is manna for exporters, and TCS's +15% YoY EPS print (filed earlier) is reinforcing the sector bid.</w:t>
      </w:r>
    </w:p>
    <w:p>
      <w:pPr>
        <w:pStyle w:val="ListBullet"/>
      </w:pPr>
      <w:r>
        <w:rPr>
          <w:b/>
        </w:rPr>
        <w:t>Realty: Leading → Lagging</w:t>
      </w:r>
      <w:r>
        <w:t xml:space="preserve"> (RS Δ -5.0) and </w:t>
      </w:r>
      <w:r>
        <w:rPr>
          <w:b/>
        </w:rPr>
        <w:t>Auto: -3.5% weekly</w:t>
      </w:r>
      <w:r>
        <w:t>. Both are pure rate casualties — a 5.50% repo with more hikes guided kills the EMI-sensitive buyer.</w:t>
      </w:r>
    </w:p>
    <w:p>
      <w:r>
        <w:t xml:space="preserve">Also worth flagging: </w:t>
      </w:r>
      <w:r>
        <w:rPr>
          <w:b/>
        </w:rPr>
        <w:t>Energy flipped Leading → Lagging</w:t>
      </w:r>
      <w:r>
        <w:t xml:space="preserve"> despite Brent surging — because the Nayara fuel-price hike plus the 90-day bulk-diesel restriction is being read as margin pressure for downstream refiners, not a tailwind. </w:t>
      </w:r>
      <w:r>
        <w:rPr>
          <w:b/>
        </w:rPr>
        <w:t>Logistics flipped Lagging → Leading</w:t>
      </w:r>
      <w:r>
        <w:t xml:space="preserve"> (RS Δ +3.4), notable given fuel costs — likely a pricing-power read.</w:t>
      </w:r>
    </w:p>
    <w:p>
      <w:pPr>
        <w:pStyle w:val="Heading2"/>
      </w:pPr>
      <w:r>
        <w:t>4. Earnings Pulse</w:t>
      </w:r>
    </w:p>
    <w:p>
      <w:r>
        <w:rPr>
          <w:b/>
        </w:rPr>
        <w:t>Season covered: Sep 2026 quarter.</w:t>
      </w:r>
      <w:r>
        <w:t xml:space="preserve"> Only </w:t>
      </w:r>
      <w:r>
        <w:rPr>
          <w:b/>
        </w:rPr>
        <w:t>3 stocks</w:t>
      </w:r>
      <w:r>
        <w:t xml:space="preserve"> have reported so far; </w:t>
      </w:r>
      <w:r>
        <w:rPr>
          <w:b/>
        </w:rPr>
        <w:t>542 are yet to file</w:t>
      </w:r>
      <w:r>
        <w:t>. This is effectively the pre-season — don't read too much into aggregates.</w:t>
      </w:r>
    </w:p>
    <w:p>
      <w:r>
        <w:rPr>
          <w:b/>
        </w:rPr>
        <w:t>(a) Sector aggregate</w:t>
      </w:r>
      <w:r>
        <w:t>: with only 3 names, no meaningful sector pattern yet.</w:t>
      </w:r>
    </w:p>
    <w:p>
      <w:r>
        <w:rPr>
          <w:b/>
        </w:rPr>
        <w:t>(b) Extremes</w:t>
      </w:r>
      <w:r>
        <w:t xml:space="preserve">: Poonawalla Fincorp </w:t>
      </w:r>
      <w:r>
        <w:rPr>
          <w:b/>
        </w:rPr>
        <w:t>+368% EPS YoY</w:t>
      </w:r>
      <w:r>
        <w:t xml:space="preserve"> (low-base print, don't extrapolate), Anand Rathi </w:t>
      </w:r>
      <w:r>
        <w:rPr>
          <w:b/>
        </w:rPr>
        <w:t>-10% EPS</w:t>
      </w:r>
      <w:r>
        <w:t xml:space="preserve"> on </w:t>
      </w:r>
      <w:r>
        <w:rPr>
          <w:b/>
        </w:rPr>
        <w:t>+15.8% revenue</w:t>
      </w:r>
      <w:r>
        <w:t xml:space="preserve"> (margin compression at the operating level).</w:t>
      </w:r>
    </w:p>
    <w:p>
      <w:r>
        <w:rPr>
          <w:b/>
        </w:rPr>
        <w:t>(c) Bellwethers</w:t>
      </w:r>
      <w:r>
        <w:t>: only TCS qualifies as a true bellwether this quarter.</w:t>
      </w:r>
    </w:p>
    <w:p>
      <w:pPr>
        <w:pStyle w:val="ListBullet"/>
      </w:pPr>
      <w:r>
        <w:rPr>
          <w:b/>
        </w:rPr>
        <w:t>TCS</w:t>
      </w:r>
      <w:r>
        <w:t xml:space="preserve"> (IT, ₹7.51 lakh cr mkt cap): </w:t>
      </w:r>
      <w:r>
        <w:rPr>
          <w:b/>
        </w:rPr>
        <w:t>+15% EPS YoY, +11.2% revenue YoY, +3.9% 1-day, +3.9% 5-day</w:t>
      </w:r>
      <w:r>
        <w:t>. A clean beat with a clean reaction. The rupee-at-record-lows backdrop amplifies the read-through to the broader IT basket — this is why the IT sector flipped Lagging → Improving. Watch Infosys, HCL Tech, and Wipro prints in coming weeks for confirmation.</w:t>
      </w:r>
    </w:p>
    <w:p>
      <w:r>
        <w:rPr>
          <w:b/>
        </w:rPr>
        <w:t>Staleness check:</w:t>
      </w:r>
      <w:r>
        <w:t xml:space="preserve"> The "Recent Earnings Declared (last 10 days)" section is empty. So apart from these three names, every bellwether EPS figure you'd otherwise cite is from the June quarter and does NOT explain this week's price action. The vast majority of corporate India hasn't filed yet; the real earnings story starts in the next 2-3 weeks.</w:t>
      </w:r>
    </w:p>
    <w:p>
      <w:pPr>
        <w:pStyle w:val="Heading2"/>
      </w:pPr>
      <w:r>
        <w:t>5. Technical Signals This Week</w:t>
      </w:r>
    </w:p>
    <w:p>
      <w:r>
        <w:t xml:space="preserve">The signal universe </w:t>
      </w:r>
      <w:r>
        <w:rPr>
          <w:b/>
        </w:rPr>
        <w:t>contracted sharply</w:t>
      </w:r>
      <w:r>
        <w:t xml:space="preserve"> — total unique stocks firing any signal fell to </w:t>
      </w:r>
      <w:r>
        <w:rPr>
          <w:b/>
        </w:rPr>
        <w:t>55</w:t>
      </w:r>
      <w:r>
        <w:t>, with most indicators down WoW. That's consistent with the weak breadth picture.</w:t>
      </w:r>
    </w:p>
    <w:p>
      <w:pPr>
        <w:pStyle w:val="ListBullet"/>
      </w:pPr>
      <w:r>
        <w:rPr>
          <w:b/>
        </w:rPr>
        <w:t>Narrow CPR (Central Pivot Range — a tight daily pivot setup often preceding breakouts): 21 unique stocks</w:t>
      </w:r>
      <w:r>
        <w:t xml:space="preserve"> (down from 38, Δ </w:t>
      </w:r>
      <w:r>
        <w:rPr>
          <w:b/>
        </w:rPr>
        <w:t>-17</w:t>
      </w:r>
      <w:r>
        <w:t>). Still the largest bucket. Examples: PHOENIXLTD, IPCALAB, EMCURE, VRLLOG, ALKEM.</w:t>
      </w:r>
    </w:p>
    <w:p>
      <w:pPr>
        <w:pStyle w:val="ListBullet"/>
      </w:pPr>
      <w:r>
        <w:rPr>
          <w:b/>
        </w:rPr>
        <w:t>MACD Buy (Moving Average Convergence Divergence — momentum oscillator turning positive): 14 stocks</w:t>
      </w:r>
      <w:r>
        <w:t xml:space="preserve"> (down from 25, Δ </w:t>
      </w:r>
      <w:r>
        <w:rPr>
          <w:b/>
        </w:rPr>
        <w:t>-11</w:t>
      </w:r>
      <w:r>
        <w:t>). Examples: KOTAKBANK, GPPL, FINEORG, GLAND.</w:t>
      </w:r>
    </w:p>
    <w:p>
      <w:pPr>
        <w:pStyle w:val="ListBullet"/>
      </w:pPr>
      <w:r>
        <w:rPr>
          <w:b/>
        </w:rPr>
        <w:t>MACD Strong: 8 stocks</w:t>
      </w:r>
      <w:r>
        <w:t xml:space="preserve"> (up from 3, Δ </w:t>
      </w:r>
      <w:r>
        <w:rPr>
          <w:b/>
        </w:rPr>
        <w:t>+5</w:t>
      </w:r>
      <w:r>
        <w:t>) — the only indicator genuinely expanding. Examples: KOTAKBANK, ACE, PTCIL, GLAND.</w:t>
      </w:r>
    </w:p>
    <w:p>
      <w:pPr>
        <w:pStyle w:val="ListBullet"/>
      </w:pPr>
      <w:r>
        <w:rPr>
          <w:b/>
        </w:rPr>
        <w:t>Blue Zone Buy (dashboard watchlist for stocks in momentum-accumulation — RSI EMA above threshold, price above EMA20, within 10% of 52W high): 10 stocks</w:t>
      </w:r>
      <w:r>
        <w:t xml:space="preserve"> (down from 13, Δ </w:t>
      </w:r>
      <w:r>
        <w:rPr>
          <w:b/>
        </w:rPr>
        <w:t>-3</w:t>
      </w:r>
      <w:r>
        <w:t>). Examples: RAYMOND, SOMANYCERA, WELSPUNLIV.</w:t>
      </w:r>
    </w:p>
    <w:p>
      <w:pPr>
        <w:pStyle w:val="ListBullet"/>
      </w:pPr>
      <w:r>
        <w:rPr>
          <w:b/>
        </w:rPr>
        <w:t>VCP Buy (Volatility Contraction Pattern — Minervini setup where price range tightens before a breakout): 4 stocks</w:t>
      </w:r>
      <w:r>
        <w:t xml:space="preserve"> (down from 12, Δ </w:t>
      </w:r>
      <w:r>
        <w:rPr>
          <w:b/>
        </w:rPr>
        <w:t>-8</w:t>
      </w:r>
      <w:r>
        <w:t>). Examples: RAYMOND, GESHIP, IPCALAB.</w:t>
      </w:r>
    </w:p>
    <w:p>
      <w:pPr>
        <w:pStyle w:val="ListBullet"/>
      </w:pPr>
      <w:r>
        <w:rPr>
          <w:b/>
        </w:rPr>
        <w:t>Golden Cross Buy (20-EMA crossing above 50-EMA — medium-term trend-change signal): 4 stocks</w:t>
      </w:r>
      <w:r>
        <w:t>, flat WoW. Examples: DELTACORP, SUNTV, MRPL.</w:t>
      </w:r>
    </w:p>
    <w:p>
      <w:pPr>
        <w:pStyle w:val="ListBullet"/>
      </w:pPr>
      <w:r>
        <w:rPr>
          <w:b/>
        </w:rPr>
        <w:t>Bull Flag Buy (sharp rally → orderly consolidation → breakout above the range): 3 stocks</w:t>
      </w:r>
      <w:r>
        <w:t>, flat. Examples: RAYMOND, CARBORUNIV, SYRMA.</w:t>
      </w:r>
    </w:p>
    <w:p>
      <w:pPr>
        <w:pStyle w:val="ListBullet"/>
      </w:pPr>
      <w:r>
        <w:rPr>
          <w:b/>
        </w:rPr>
        <w:t>Pullback Bounce (strong-trend stock dipping to EMA20 and recovering): 2 stocks</w:t>
      </w:r>
      <w:r>
        <w:t xml:space="preserve"> (down from 3). Examples: LAURUSLABS, CYIENT.</w:t>
      </w:r>
    </w:p>
    <w:p>
      <w:pPr>
        <w:pStyle w:val="ListBullet"/>
      </w:pPr>
      <w:r>
        <w:rPr>
          <w:b/>
        </w:rPr>
        <w:t>Golden Cross Strong: 1 stock</w:t>
      </w:r>
      <w:r>
        <w:t xml:space="preserve"> (RRKABEL).</w:t>
      </w:r>
    </w:p>
    <w:p>
      <w:r>
        <w:rPr>
          <w:b/>
        </w:rPr>
        <w:t>Cluster signals</w:t>
      </w:r>
      <w:r>
        <w:t xml:space="preserve"> (higher conviction when a stock fires 2+ distinct indicator types): </w:t>
      </w:r>
      <w:r>
        <w:rPr>
          <w:b/>
        </w:rPr>
        <w:t>RAYMOND stands out with 3 signals</w:t>
      </w:r>
      <w:r>
        <w:t xml:space="preserve"> — Blue Zone, Bull Flag, and VCP. That's a rare triple-stack. </w:t>
      </w:r>
      <w:r>
        <w:rPr>
          <w:b/>
        </w:rPr>
        <w:t>KOTAKBANK, GLAND, SOTL, ACE, and CHENNPETRO</w:t>
      </w:r>
      <w:r>
        <w:t xml:space="preserve"> fired MACD Buy + MACD Strong (same family, so weaker confirmation), while </w:t>
      </w:r>
      <w:r>
        <w:rPr>
          <w:b/>
        </w:rPr>
        <w:t>IPCALAB and VRLLOG</w:t>
      </w:r>
      <w:r>
        <w:t xml:space="preserve"> fired Narrow CPR + VCP — classic coiled-spring setups.</w:t>
      </w:r>
    </w:p>
    <w:p>
      <w:r>
        <w:rPr>
          <w:b/>
        </w:rPr>
        <w:t>Signal mix read:</w:t>
      </w:r>
      <w:r>
        <w:t xml:space="preserve"> this is a </w:t>
      </w:r>
      <w:r>
        <w:rPr>
          <w:b/>
        </w:rPr>
        <w:t>contracting rally</w:t>
      </w:r>
      <w:r>
        <w:t xml:space="preserve"> — nearly every indicator shrank WoW, with only MACD Strong expanding. Combined with 29% of stocks above EMA200 (also contracting), the setup universe is narrowing to a handful of high-conviction names rather than broadening out.</w:t>
      </w:r>
    </w:p>
    <w:p>
      <w:pPr>
        <w:pStyle w:val="Heading2"/>
      </w:pPr>
      <w:r>
        <w:t>6. Notable Stock-Level Action</w:t>
      </w:r>
    </w:p>
    <w:p>
      <w:pPr>
        <w:pStyle w:val="ListBullet"/>
      </w:pPr>
      <w:r>
        <w:rPr>
          <w:b/>
        </w:rPr>
        <w:t>TRENT</w:t>
      </w:r>
      <w:r>
        <w:t xml:space="preserve"> topped the rank-surge table (slope -64, now #106). Despite Consumer Services flipping Leading → Weakening, Trent itself is bucking the sector — worth watching whether it holds.</w:t>
      </w:r>
    </w:p>
    <w:p>
      <w:pPr>
        <w:pStyle w:val="ListBullet"/>
      </w:pPr>
      <w:r>
        <w:rPr>
          <w:b/>
        </w:rPr>
        <w:t>KEC International</w:t>
      </w:r>
      <w:r>
        <w:t xml:space="preserve"> printed a </w:t>
      </w:r>
      <w:r>
        <w:rPr>
          <w:b/>
        </w:rPr>
        <w:t>13.9x volume ratio</w:t>
      </w:r>
      <w:r>
        <w:t xml:space="preserve"> — the standout volume event of the week. RS rank is weak (#523), but a vol event that large doesn't happen quietly. Early signs of accumulation, or distribution climax — hard to call without more context.</w:t>
      </w:r>
    </w:p>
    <w:p>
      <w:pPr>
        <w:pStyle w:val="ListBullet"/>
      </w:pPr>
      <w:r>
        <w:rPr>
          <w:b/>
        </w:rPr>
        <w:t>ICICI Bank</w:t>
      </w:r>
      <w:r>
        <w:t xml:space="preserve"> climbing the rank table (-38.6 slope) is a tell — in a week when the RBI hiked and banks got sold, ICICI's relative resilience is a leadership signal for the private-bank cluster.</w:t>
      </w:r>
    </w:p>
    <w:p>
      <w:pPr>
        <w:pStyle w:val="ListBullet"/>
      </w:pPr>
      <w:r>
        <w:rPr>
          <w:b/>
        </w:rPr>
        <w:t>Colgate-Palmolive</w:t>
      </w:r>
      <w:r>
        <w:t xml:space="preserve"> hit an </w:t>
      </w:r>
      <w:r>
        <w:rPr>
          <w:b/>
        </w:rPr>
        <w:t>8.4x volume breakout</w:t>
      </w:r>
      <w:r>
        <w:t xml:space="preserve"> — fits the FMCG-leading narrative cleanly.</w:t>
      </w:r>
    </w:p>
    <w:p>
      <w:pPr>
        <w:pStyle w:val="ListBullet"/>
      </w:pPr>
      <w:r>
        <w:rPr>
          <w:b/>
        </w:rPr>
        <w:t>Cyient</w:t>
      </w:r>
      <w:r>
        <w:t xml:space="preserve"> combined a </w:t>
      </w:r>
      <w:r>
        <w:rPr>
          <w:b/>
        </w:rPr>
        <w:t>7.5x volume breakout</w:t>
      </w:r>
      <w:r>
        <w:t xml:space="preserve"> with a #21 RS rank AND a Pullback Bounce signal — about as clean a technical setup as this week offered, consistent with the IT sector flip.</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Level</w:t>
            </w:r>
          </w:p>
        </w:tc>
        <w:tc>
          <w:tcPr>
            <w:tcW w:type="dxa" w:w="2880"/>
          </w:tcPr>
          <w:p>
            <w:r/>
            <w:r>
              <w:rPr>
                <w:b/>
                <w:sz w:val="20"/>
              </w:rPr>
              <w:t>WoW</w:t>
            </w:r>
          </w:p>
        </w:tc>
      </w:tr>
      <w:tr>
        <w:tc>
          <w:tcPr>
            <w:tcW w:type="dxa" w:w="2880"/>
          </w:tcPr>
          <w:p>
            <w:r>
              <w:rPr>
                <w:sz w:val="20"/>
              </w:rPr>
            </w:r>
            <w:r>
              <w:rPr>
                <w:sz w:val="20"/>
              </w:rPr>
              <w:t>India VIX</w:t>
            </w:r>
          </w:p>
        </w:tc>
        <w:tc>
          <w:tcPr>
            <w:tcW w:type="dxa" w:w="2880"/>
          </w:tcPr>
          <w:p>
            <w:r>
              <w:rPr>
                <w:sz w:val="20"/>
              </w:rPr>
            </w:r>
            <w:r>
              <w:rPr>
                <w:sz w:val="20"/>
              </w:rPr>
              <w:t>15.28</w:t>
            </w:r>
          </w:p>
        </w:tc>
        <w:tc>
          <w:tcPr>
            <w:tcW w:type="dxa" w:w="2880"/>
          </w:tcPr>
          <w:p>
            <w:r>
              <w:rPr>
                <w:sz w:val="20"/>
              </w:rPr>
            </w:r>
            <w:r>
              <w:rPr>
                <w:sz w:val="20"/>
              </w:rPr>
              <w:t>+0.82</w:t>
            </w:r>
          </w:p>
        </w:tc>
      </w:tr>
      <w:tr>
        <w:tc>
          <w:tcPr>
            <w:tcW w:type="dxa" w:w="2880"/>
          </w:tcPr>
          <w:p>
            <w:r>
              <w:rPr>
                <w:sz w:val="20"/>
              </w:rPr>
            </w:r>
            <w:r>
              <w:rPr>
                <w:sz w:val="20"/>
              </w:rPr>
              <w:t>Brent (USD)</w:t>
            </w:r>
          </w:p>
        </w:tc>
        <w:tc>
          <w:tcPr>
            <w:tcW w:type="dxa" w:w="2880"/>
          </w:tcPr>
          <w:p>
            <w:r>
              <w:rPr>
                <w:sz w:val="20"/>
              </w:rPr>
            </w:r>
            <w:r>
              <w:rPr>
                <w:sz w:val="20"/>
              </w:rPr>
              <w:t>103.33</w:t>
            </w:r>
          </w:p>
        </w:tc>
        <w:tc>
          <w:tcPr>
            <w:tcW w:type="dxa" w:w="2880"/>
          </w:tcPr>
          <w:p>
            <w:r>
              <w:rPr>
                <w:sz w:val="20"/>
              </w:rPr>
            </w:r>
            <w:r>
              <w:rPr>
                <w:sz w:val="20"/>
              </w:rPr>
              <w:t>+2.1%</w:t>
            </w:r>
          </w:p>
        </w:tc>
      </w:tr>
      <w:tr>
        <w:tc>
          <w:tcPr>
            <w:tcW w:type="dxa" w:w="2880"/>
          </w:tcPr>
          <w:p>
            <w:r>
              <w:rPr>
                <w:sz w:val="20"/>
              </w:rPr>
            </w:r>
            <w:r>
              <w:rPr>
                <w:sz w:val="20"/>
              </w:rPr>
              <w:t>DXY</w:t>
            </w:r>
          </w:p>
        </w:tc>
        <w:tc>
          <w:tcPr>
            <w:tcW w:type="dxa" w:w="2880"/>
          </w:tcPr>
          <w:p>
            <w:r>
              <w:rPr>
                <w:sz w:val="20"/>
              </w:rPr>
            </w:r>
            <w:r>
              <w:rPr>
                <w:sz w:val="20"/>
              </w:rPr>
              <w:t>102.03</w:t>
            </w:r>
          </w:p>
        </w:tc>
        <w:tc>
          <w:tcPr>
            <w:tcW w:type="dxa" w:w="2880"/>
          </w:tcPr>
          <w:p>
            <w:r>
              <w:rPr>
                <w:sz w:val="20"/>
              </w:rPr>
            </w:r>
            <w:r>
              <w:rPr>
                <w:sz w:val="20"/>
              </w:rPr>
              <w:t>+0.13</w:t>
            </w:r>
          </w:p>
        </w:tc>
      </w:tr>
      <w:tr>
        <w:tc>
          <w:tcPr>
            <w:tcW w:type="dxa" w:w="2880"/>
          </w:tcPr>
          <w:p>
            <w:r>
              <w:rPr>
                <w:sz w:val="20"/>
              </w:rPr>
            </w:r>
            <w:r>
              <w:rPr>
                <w:sz w:val="20"/>
              </w:rPr>
              <w:t>Gold (USD/oz)</w:t>
            </w:r>
          </w:p>
        </w:tc>
        <w:tc>
          <w:tcPr>
            <w:tcW w:type="dxa" w:w="2880"/>
          </w:tcPr>
          <w:p>
            <w:r>
              <w:rPr>
                <w:sz w:val="20"/>
              </w:rPr>
            </w:r>
            <w:r>
              <w:rPr>
                <w:sz w:val="20"/>
              </w:rPr>
              <w:t>4,217.30</w:t>
            </w:r>
          </w:p>
        </w:tc>
        <w:tc>
          <w:tcPr>
            <w:tcW w:type="dxa" w:w="2880"/>
          </w:tcPr>
          <w:p>
            <w:r>
              <w:rPr>
                <w:sz w:val="20"/>
              </w:rPr>
            </w:r>
            <w:r>
              <w:rPr>
                <w:sz w:val="20"/>
              </w:rPr>
              <w:t>+0.2%</w:t>
            </w:r>
          </w:p>
        </w:tc>
      </w:tr>
      <w:tr>
        <w:tc>
          <w:tcPr>
            <w:tcW w:type="dxa" w:w="2880"/>
          </w:tcPr>
          <w:p>
            <w:r>
              <w:rPr>
                <w:sz w:val="20"/>
              </w:rPr>
            </w:r>
            <w:r>
              <w:rPr>
                <w:sz w:val="20"/>
              </w:rPr>
              <w:t>Silver (USD/oz)</w:t>
            </w:r>
          </w:p>
        </w:tc>
        <w:tc>
          <w:tcPr>
            <w:tcW w:type="dxa" w:w="2880"/>
          </w:tcPr>
          <w:p>
            <w:r>
              <w:rPr>
                <w:sz w:val="20"/>
              </w:rPr>
            </w:r>
            <w:r>
              <w:rPr>
                <w:sz w:val="20"/>
              </w:rPr>
              <w:t>60.74</w:t>
            </w:r>
          </w:p>
        </w:tc>
        <w:tc>
          <w:tcPr>
            <w:tcW w:type="dxa" w:w="2880"/>
          </w:tcPr>
          <w:p>
            <w:r>
              <w:rPr>
                <w:sz w:val="20"/>
              </w:rPr>
            </w:r>
            <w:r>
              <w:rPr>
                <w:sz w:val="20"/>
              </w:rPr>
              <w:t>-1.1%</w:t>
            </w:r>
          </w:p>
        </w:tc>
      </w:tr>
      <w:tr>
        <w:tc>
          <w:tcPr>
            <w:tcW w:type="dxa" w:w="2880"/>
          </w:tcPr>
          <w:p>
            <w:r>
              <w:rPr>
                <w:sz w:val="20"/>
              </w:rPr>
            </w:r>
            <w:r>
              <w:rPr>
                <w:sz w:val="20"/>
              </w:rPr>
              <w:t>Market Cap / GDP</w:t>
            </w:r>
          </w:p>
        </w:tc>
        <w:tc>
          <w:tcPr>
            <w:tcW w:type="dxa" w:w="2880"/>
          </w:tcPr>
          <w:p>
            <w:r>
              <w:rPr>
                <w:sz w:val="20"/>
              </w:rPr>
            </w:r>
            <w:r>
              <w:rPr>
                <w:sz w:val="20"/>
              </w:rPr>
              <w:t>119.10</w:t>
            </w:r>
          </w:p>
        </w:tc>
        <w:tc>
          <w:tcPr>
            <w:tcW w:type="dxa" w:w="2880"/>
          </w:tcPr>
          <w:p>
            <w:r>
              <w:rPr>
                <w:sz w:val="20"/>
              </w:rPr>
            </w:r>
            <w:r>
              <w:rPr>
                <w:sz w:val="20"/>
              </w:rPr>
              <w:t>-2.30</w:t>
            </w:r>
          </w:p>
        </w:tc>
      </w:tr>
    </w:tbl>
    <w:p/>
    <w:p>
      <w:r>
        <w:t>VIX rising while the index gains marginally is a mild caution flag — the market is pricing more two-way risk. Brent above $103 (with intra-week spikes above $106 on US-Iran tensions) is a direct hit to the import bill and feeds the rupee weakness.</w:t>
      </w:r>
    </w:p>
    <w:p>
      <w:r>
        <w:rPr>
          <w:b/>
        </w:rPr>
        <w:t>Domestic policy — the real drivers this week:</w:t>
      </w:r>
    </w:p>
    <w:p>
      <w:pPr>
        <w:pStyle w:val="ListBullet"/>
      </w:pPr>
      <w:r>
        <w:rPr>
          <w:b/>
        </w:rPr>
        <w:t>RBI repo at 5.50% with 100 bps more hikes guided through H1 2027</w:t>
      </w:r>
      <w:r>
        <w:t xml:space="preserve"> (continuing event, but still the dominant macro force). The RBI chief also warned bank liquidity surplus will decline by FY-end — a double tightening.</w:t>
      </w:r>
    </w:p>
    <w:p>
      <w:pPr>
        <w:pStyle w:val="ListBullet"/>
      </w:pPr>
      <w:r>
        <w:rPr>
          <w:b/>
        </w:rPr>
        <w:t>Nayara fuel-price hike (₹5 petrol / ₹3 diesel) + 90-day bulk-diesel sale restriction</w:t>
      </w:r>
      <w:r>
        <w:t xml:space="preserve"> — new this week. Mixed impact: inflationary for consumers and transport, margin positive for retailers who can pass through.</w:t>
      </w:r>
    </w:p>
    <w:p>
      <w:pPr>
        <w:pStyle w:val="ListBullet"/>
      </w:pPr>
      <w:r>
        <w:rPr>
          <w:b/>
        </w:rPr>
        <w:t>Edible oil import-duty cut</w:t>
      </w:r>
      <w:r>
        <w:t xml:space="preserve"> — new. Direct tailwind for FMCG food processors; sunflower imports projected +30% in 2026/27.</w:t>
      </w:r>
    </w:p>
    <w:p>
      <w:pPr>
        <w:pStyle w:val="ListBullet"/>
      </w:pPr>
      <w:r>
        <w:rPr>
          <w:b/>
        </w:rPr>
        <w:t>Scotch whisky tariff halved</w:t>
      </w:r>
      <w:r>
        <w:t xml:space="preserve"> — new. Shelf prices down less than 10% means domestic distributors are capturing the margin — a quiet positive for the beverages value chain.</w:t>
      </w:r>
    </w:p>
    <w:p>
      <w:pPr>
        <w:pStyle w:val="ListBullet"/>
      </w:pPr>
      <w:r>
        <w:rPr>
          <w:b/>
        </w:rPr>
        <w:t>GDP confirmed at 7.8% for Q2 FY2026</w:t>
      </w:r>
      <w:r>
        <w:t xml:space="preserve"> — strong number, but inflation expectations in the RBI household survey are rising, which reinforces the hawkish rate path.</w:t>
      </w:r>
    </w:p>
    <w:p>
      <w:pPr>
        <w:pStyle w:val="ListBullet"/>
      </w:pPr>
      <w:r>
        <w:rPr>
          <w:b/>
        </w:rPr>
        <w:t>RBI's tough dollar-demand curbs</w:t>
      </w:r>
      <w:r>
        <w:t xml:space="preserve"> (forward-contract position limits) — banks absorbed ~$500m in FX losses. Rupee still near record lows.</w:t>
      </w:r>
    </w:p>
    <w:p>
      <w:pPr>
        <w:pStyle w:val="Heading2"/>
      </w:pPr>
      <w:r>
        <w:t>8. What to Watch Next Week</w:t>
      </w:r>
    </w:p>
    <w:p>
      <w:pPr>
        <w:pStyle w:val="ListBullet"/>
      </w:pPr>
      <w:r>
        <w:rPr>
          <w:b/>
        </w:rPr>
        <w:t>India-EFTA FTA finalisation</w:t>
      </w:r>
      <w:r>
        <w:t xml:space="preserve"> is flagged as upcoming — read-through for chemicals, pharma, machinery, and textile exporters if the deal clears.</w:t>
      </w:r>
    </w:p>
    <w:p>
      <w:pPr>
        <w:pStyle w:val="ListBullet"/>
      </w:pPr>
      <w:r>
        <w:rPr>
          <w:b/>
        </w:rPr>
        <w:t>The 22,231 Thursday low on Nifty</w:t>
      </w:r>
      <w:r>
        <w:t xml:space="preserve"> is the key technical level to watch. A break below it opens the door to the next support zone; a hold reinforces this week's reversal.</w:t>
      </w:r>
    </w:p>
    <w:p>
      <w:pPr>
        <w:pStyle w:val="ListBullet"/>
      </w:pPr>
      <w:r>
        <w:rPr>
          <w:b/>
        </w:rPr>
        <w:t>22,935 (EMA 20)</w:t>
      </w:r>
      <w:r>
        <w:t xml:space="preserve"> is the first overhead level — Nifty needs to reclaim it to put the short-term downtrend into question.</w:t>
      </w:r>
    </w:p>
    <w:p>
      <w:pPr>
        <w:pStyle w:val="ListBullet"/>
      </w:pPr>
      <w:r>
        <w:rPr>
          <w:b/>
        </w:rPr>
        <w:t>FMCG and IT sector follow-through</w:t>
      </w:r>
      <w:r>
        <w:t xml:space="preserve"> — both just flipped into stronger quadrants. If the rotation is real, Monday-Tuesday action should confirm.</w:t>
      </w:r>
    </w:p>
    <w:p>
      <w:pPr>
        <w:pStyle w:val="ListBullet"/>
      </w:pPr>
      <w:r>
        <w:rPr>
          <w:b/>
        </w:rPr>
        <w:t>Rupee behaviour vs. RBI intervention</w:t>
      </w:r>
      <w:r>
        <w:t xml:space="preserve"> — any further record lows would pressure imported-inflation prints and the RBI's hawkish stance.</w:t>
      </w:r>
    </w:p>
    <w:p>
      <w:pPr>
        <w:pStyle w:val="Heading2"/>
      </w:pPr>
      <w:r>
        <w:t>9. The Bottom Line</w:t>
      </w:r>
    </w:p>
    <w:p>
      <w:pPr>
        <w:pStyle w:val="ListNumber"/>
      </w:pPr>
      <w:r>
        <w:rPr>
          <w:b/>
        </w:rPr>
        <w:t>The structural trend is down, but the rotation is live.</w:t>
      </w:r>
      <w:r>
        <w:t xml:space="preserve"> Nifty is 6.4% below its 200-EMA with only 29% of stocks above theirs — this isn't a healthy tape. But FMCG, IT, and Logistics all flipped into stronger RRG quadrants this week, driven by concrete causes (edible-oil duty cut, weak rupee, pricing power). Worth tracking which flips sustain into next week.</w:t>
      </w:r>
    </w:p>
    <w:p>
      <w:pPr>
        <w:pStyle w:val="ListNumber"/>
      </w:pPr>
      <w:r>
        <w:rPr>
          <w:b/>
        </w:rPr>
        <w:t>Policy is dominating price action — read the digest, not the charts.</w:t>
      </w:r>
      <w:r>
        <w:t xml:space="preserve"> The RBI hike, Nayara fuel hike, bulk-diesel restriction, edible-oil duty cut, and Scotch tariff cut all hit this week. Every top/bottom sector traces back to a specific policy catalyst. Caveat: policy-driven moves can reverse fast if the policy signal shifts (e.g., any RBI dovish surprise would flip the sector leaders).</w:t>
      </w:r>
    </w:p>
    <w:p>
      <w:pPr>
        <w:pStyle w:val="ListNumber"/>
      </w:pPr>
      <w:r>
        <w:rPr>
          <w:b/>
        </w:rPr>
        <w:t>TCS set the IT bar; the real earnings season starts in 2-3 weeks.</w:t>
      </w:r>
      <w:r>
        <w:t xml:space="preserve"> With only 3 stocks reported and 542 pending, don't anchor on this week's prints. TCS's +15% EPS beat and clean +3.9% reaction is a positive read-through, but Infosys, HCL, Wipro, HDFC Bank, Reliance will tell the real story. Multi-signal cluster names (RAYMOND, CYIENT, KOTAKBANK, IPCALAB) are the higher-conviction technical setups to keep on the radar.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