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2026-10-10</w:t>
      </w:r>
    </w:p>
    <w:p>
      <w:pPr>
        <w:pStyle w:val="Heading2"/>
      </w:pPr>
      <w:r>
        <w:t>The Week in One Line</w:t>
      </w:r>
    </w:p>
    <w:p>
      <w:r>
        <w:t xml:space="preserve">Nifty eked out a </w:t>
      </w:r>
      <w:r>
        <w:rPr>
          <w:b/>
        </w:rPr>
        <w:t>+0.4%</w:t>
      </w:r>
      <w:r>
        <w:t xml:space="preserve"> gain to close at </w:t>
      </w:r>
      <w:r>
        <w:rPr>
          <w:b/>
        </w:rPr>
        <w:t>22,520</w:t>
      </w:r>
      <w:r>
        <w:t xml:space="preserve">, but it was a bumpy ride dominated by the </w:t>
      </w:r>
      <w:r>
        <w:rPr>
          <w:b/>
        </w:rPr>
        <w:t>RBI's surprise rate hike</w:t>
      </w:r>
      <w:r>
        <w:t xml:space="preserve"> and surging crude oil.</w:t>
      </w:r>
    </w:p>
    <w:p>
      <w:pPr>
        <w:pStyle w:val="Heading2"/>
      </w:pPr>
      <w:r>
        <w:t>What's Working</w:t>
      </w:r>
    </w:p>
    <w:p>
      <w:pPr>
        <w:pStyle w:val="ListBullet"/>
      </w:pPr>
      <w:r>
        <w:rPr>
          <w:b/>
        </w:rPr>
        <w:t>FMCG (+2.1%)</w:t>
      </w:r>
      <w:r>
        <w:t>: A defensive bounce after months of pain. Edible oil import duty cuts should ease input costs for packaged food makers.</w:t>
      </w:r>
    </w:p>
    <w:p>
      <w:pPr>
        <w:pStyle w:val="ListBullet"/>
      </w:pPr>
      <w:r>
        <w:rPr>
          <w:b/>
        </w:rPr>
        <w:t>Media (+1.4%)</w:t>
      </w:r>
      <w:r>
        <w:t>: Quiet recovery with no major negative catalyst — buyers nibbling after a long slump.</w:t>
      </w:r>
    </w:p>
    <w:p>
      <w:pPr>
        <w:pStyle w:val="ListBullet"/>
      </w:pPr>
      <w:r>
        <w:rPr>
          <w:b/>
        </w:rPr>
        <w:t>IT (+1.0%)</w:t>
      </w:r>
      <w:r>
        <w:t xml:space="preserve">: TCS kicked off earnings with a solid </w:t>
      </w:r>
      <w:r>
        <w:rPr>
          <w:b/>
        </w:rPr>
        <w:t>+15% EPS</w:t>
      </w:r>
      <w:r>
        <w:t xml:space="preserve"> beat, and the stock jumped nearly 4%. Cooling crude also helped sentiment mid-week.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Conglomerate (-6.5%)</w:t>
      </w:r>
      <w:r>
        <w:t>: Large diversified groups took the brunt of foreign selling and the rate-hike shock.</w:t>
      </w:r>
    </w:p>
    <w:p>
      <w:pPr>
        <w:pStyle w:val="ListBullet"/>
      </w:pPr>
      <w:r>
        <w:rPr>
          <w:b/>
        </w:rPr>
        <w:t>Realty (-3.7%)</w:t>
      </w:r>
      <w:r>
        <w:t xml:space="preserve">: Rate-sensitive by nature. The RBI's hike to </w:t>
      </w:r>
      <w:r>
        <w:rPr>
          <w:b/>
        </w:rPr>
        <w:t>5.50%</w:t>
      </w:r>
      <w:r>
        <w:t xml:space="preserve"> — plus guidance for </w:t>
      </w:r>
      <w:r>
        <w:rPr>
          <w:i/>
        </w:rPr>
        <w:t>more</w:t>
      </w:r>
      <w:r>
        <w:t xml:space="preserve"> hikes — means costlier home loans ahead.</w:t>
      </w:r>
    </w:p>
    <w:p>
      <w:pPr>
        <w:pStyle w:val="ListBullet"/>
      </w:pPr>
      <w:r>
        <w:rPr>
          <w:b/>
        </w:rPr>
        <w:t>Automobile (-3.5%)</w:t>
      </w:r>
      <w:r>
        <w:t>: Same story. Higher EMIs hurt car demand, and Nayara's fuel-price hike (petrol +₹5, diesel +₹3) adds to consumer stress.</w:t>
      </w:r>
    </w:p>
    <w:p>
      <w:pPr>
        <w:pStyle w:val="Heading2"/>
      </w:pPr>
      <w:r>
        <w:t>Notable Events</w:t>
      </w:r>
    </w:p>
    <w:p>
      <w:r>
        <w:rPr>
          <w:b/>
        </w:rPr>
        <w:t>RBI hiked the repo rate to 5.50%</w:t>
      </w:r>
      <w:r>
        <w:t xml:space="preserve"> — its first hike since 2023 — and signalled up to </w:t>
      </w:r>
      <w:r>
        <w:rPr>
          <w:b/>
        </w:rPr>
        <w:t>100 bps more</w:t>
      </w:r>
      <w:r>
        <w:t xml:space="preserve"> through H1 2027. The repo rate is what banks pay to borrow from the RBI; when it rises, your home loan, car loan, and credit card rates typically rise too. This is the single biggest reason rate-sensitive sectors (banks, autos, realty) came under pressure. The RBI also said bank "liquidity surplus" (extra cash sloshing in the banking system) will shrink by year-end — another tightening signal.</w:t>
      </w:r>
    </w:p>
    <w:p>
      <w:r>
        <w:rPr>
          <w:b/>
        </w:rPr>
        <w:t>Crude oil spiked to $106/bbl</w:t>
      </w:r>
      <w:r>
        <w:t xml:space="preserve"> on US-Iran tensions before settling near </w:t>
      </w:r>
      <w:r>
        <w:rPr>
          <w:b/>
        </w:rPr>
        <w:t>$103</w:t>
      </w:r>
      <w:r>
        <w:t xml:space="preserve">. India imports roughly 85% of its oil, so expensive crude hits everything — fuel prices, airline costs, FMCG packaging, the rupee. Nayara Energy raised pump prices, and the government imposed a </w:t>
      </w:r>
      <w:r>
        <w:rPr>
          <w:b/>
        </w:rPr>
        <w:t>90-day limit on bulk diesel sales</w:t>
      </w:r>
      <w:r>
        <w:t xml:space="preserve"> to stop hoarding.</w:t>
      </w:r>
    </w:p>
    <w:p>
      <w:r>
        <w:rPr>
          <w:b/>
        </w:rPr>
        <w:t>Edible oil duty cut</w:t>
      </w:r>
      <w:r>
        <w:t xml:space="preserve"> is a quiet positive. India's sunflower oil imports are projected to jump </w:t>
      </w:r>
      <w:r>
        <w:rPr>
          <w:b/>
        </w:rPr>
        <w:t>30%</w:t>
      </w:r>
      <w:r>
        <w:t xml:space="preserve"> next year after the import tax was reduced. That's cheaper raw material for FMCG makers — part of why the sector led this week.</w:t>
      </w:r>
    </w:p>
    <w:p>
      <w:pPr>
        <w:pStyle w:val="Heading2"/>
      </w:pPr>
      <w:r>
        <w:t>Charts to Know</w:t>
      </w:r>
    </w:p>
    <w:p>
      <w:r>
        <w:rPr>
          <w:b/>
        </w:rPr>
        <w:t>Market breadth was ugly in the middle, strong at the edges.</w:t>
      </w:r>
      <w:r>
        <w:t xml:space="preserve"> Breadth simply counts how many stocks rose vs fell each day. Thursday saw just </w:t>
      </w:r>
      <w:r>
        <w:rPr>
          <w:b/>
        </w:rPr>
        <w:t>35 stocks advance vs 548 decline</w:t>
      </w:r>
      <w:r>
        <w:t xml:space="preserve"> — a brutal washout as Nifty cracked below 22,250. But Friday snapped back with </w:t>
      </w:r>
      <w:r>
        <w:rPr>
          <w:b/>
        </w:rPr>
        <w:t>406 advancers</w:t>
      </w:r>
      <w:r>
        <w:t xml:space="preserve">, suggesting panic bottoming rather than a slow bleed. Only about </w:t>
      </w:r>
      <w:r>
        <w:rPr>
          <w:b/>
        </w:rPr>
        <w:t>29% of stocks</w:t>
      </w:r>
      <w:r>
        <w:t xml:space="preserve"> are trading above their 200-day average — a reminder that under the surface, this market is still weak.</w:t>
      </w:r>
    </w:p>
    <w:p>
      <w:r>
        <w:rPr>
          <w:b/>
        </w:rPr>
        <w:t>Nifty vs its moving averages:</w:t>
      </w:r>
      <w:r>
        <w:t xml:space="preserve"> Nifty closed </w:t>
      </w:r>
      <w:r>
        <w:rPr>
          <w:b/>
        </w:rPr>
        <w:t>1.8% below its 20-day EMA, 3.8% below the 50-day, and 6.4% below the 200-day</w:t>
      </w:r>
      <w:r>
        <w:t>. A moving average is just the average closing price over the last N days — a smoothed trend line. Being below all three means the medium-term trend is still down, even after this week's modest bounce.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 season begins in earnest</w:t>
      </w:r>
      <w:r>
        <w:t xml:space="preserve"> — Infosys, Wipro, HDFC Bank, and Reliance are expected in the coming weeks. TCS set a positive tone; watch if the rest of IT follows.</w:t>
      </w:r>
    </w:p>
    <w:p>
      <w:pPr>
        <w:pStyle w:val="ListBullet"/>
      </w:pPr>
      <w:r>
        <w:rPr>
          <w:b/>
        </w:rPr>
        <w:t>Macro</w:t>
      </w:r>
      <w:r>
        <w:t>: Any further RBI commentary on the rate path, crude oil moves on US-Iran headlines, and the rupee (near record lows despite RBI intervention).</w:t>
      </w:r>
    </w:p>
    <w:p>
      <w:pPr>
        <w:pStyle w:val="ListBullet"/>
      </w:pPr>
      <w:r>
        <w:rPr>
          <w:b/>
        </w:rPr>
        <w:t>Nifty levels</w:t>
      </w:r>
      <w:r>
        <w:t xml:space="preserve">: Thursday's low near </w:t>
      </w:r>
      <w:r>
        <w:rPr>
          <w:b/>
        </w:rPr>
        <w:t>22,230</w:t>
      </w:r>
      <w:r>
        <w:t xml:space="preserve"> is immediate support — if it breaks, the next cushion is well below. On the upside, </w:t>
      </w:r>
      <w:r>
        <w:rPr>
          <w:b/>
        </w:rPr>
        <w:t>22,935</w:t>
      </w:r>
      <w:r>
        <w:t xml:space="preserve"> (the 20-day EMA) is the first real resistance; reclaiming it would be the first sign the correction is pausing.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