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Weekly Market Intelligence — 2026-10-24</w:t>
      </w:r>
    </w:p>
    <w:p>
      <w:pPr>
        <w:pStyle w:val="Heading2"/>
      </w:pPr>
      <w:r>
        <w:t>1. What Happened This Week</w:t>
      </w:r>
    </w:p>
    <w:p>
      <w:r>
        <w:t xml:space="preserve">Indian equities bled all week — Nifty 50 slid from </w:t>
      </w:r>
      <w:r>
        <w:rPr>
          <w:b/>
        </w:rPr>
        <w:t>23,146.15 on Sunday to 22,600.00 by Friday</w:t>
      </w:r>
      <w:r>
        <w:t xml:space="preserve">, a </w:t>
      </w:r>
      <w:r>
        <w:rPr>
          <w:b/>
        </w:rPr>
        <w:t>-2.4%</w:t>
      </w:r>
      <w:r>
        <w:t xml:space="preserve"> cut with declines on every single session. The dominant cause is clear from this week's events digest: </w:t>
      </w:r>
      <w:r>
        <w:rPr>
          <w:b/>
        </w:rPr>
        <w:t>Brent crude surged +8.7% to $114.37/bbl</w:t>
      </w:r>
      <w:r>
        <w:t xml:space="preserve">, and the RBI Governor publicly signalled openness to using </w:t>
      </w:r>
      <w:r>
        <w:rPr>
          <w:b/>
        </w:rPr>
        <w:t>policy rates as a financial-stability tool</w:t>
      </w:r>
      <w:r>
        <w:t xml:space="preserve"> to defend a sliding rupee — a double shock of imported inflation and the threat of a hike into a weak economy. Layer in a fresh RBI Bulletin flagging </w:t>
      </w:r>
      <w:r>
        <w:rPr>
          <w:b/>
        </w:rPr>
        <w:t>broad-based food price increases</w:t>
      </w:r>
      <w:r>
        <w:t xml:space="preserve">, and you get textbook risk-off: breadth collapsed, bellwether earnings were ignored, and the only genuinely bullish catalyst — the </w:t>
      </w:r>
      <w:r>
        <w:rPr>
          <w:b/>
        </w:rPr>
        <w:t>India-New Zealand FTA</w:t>
      </w:r>
      <w:r>
        <w:t xml:space="preserve"> going live Oct 20 — barely registered against the crude move.</w:t>
      </w:r>
    </w:p>
    <w:p>
      <w:pPr>
        <w:pStyle w:val="Heading2"/>
      </w:pPr>
      <w:r>
        <w:t>2. The Trend Picture</w:t>
      </w:r>
    </w:p>
    <w:p>
      <w:r>
        <w:t xml:space="preserve">The trend has decisively broken down. Nifty closed Friday </w:t>
      </w:r>
      <w:r>
        <w:rPr>
          <w:b/>
        </w:rPr>
        <w:t>below all three</w:t>
      </w:r>
      <w:r>
        <w:t xml:space="preserve"> of its key EMAs (Exponential Moving Averages — smoothed trend-reference lines):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Reference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Level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Nifty vs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EMA 20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22,844.50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-1.1% (below)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EMA 50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23,204.95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-2.6% (below)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EMA 200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23,975.08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-5.7% (below)</w:t>
            </w:r>
          </w:p>
        </w:tc>
      </w:tr>
    </w:tbl>
    <w:p/>
    <w:p>
      <w:r>
        <w:t xml:space="preserve">That last number matters most — being </w:t>
      </w:r>
      <w:r>
        <w:rPr>
          <w:b/>
        </w:rPr>
        <w:t>5.7% below the 200-day EMA</w:t>
      </w:r>
      <w:r>
        <w:t xml:space="preserve"> means the long-term trend has flipped from support to resistance.</w:t>
      </w:r>
    </w:p>
    <w:p>
      <w:r>
        <w:t xml:space="preserve">Breadth confirms the damage. The daily advance/decline split deteriorated every session: Monday </w:t>
      </w:r>
      <w:r>
        <w:rPr>
          <w:b/>
        </w:rPr>
        <w:t>93 adv / 488 dec</w:t>
      </w:r>
      <w:r>
        <w:t xml:space="preserve">, Wednesday </w:t>
      </w:r>
      <w:r>
        <w:rPr>
          <w:b/>
        </w:rPr>
        <w:t>87/495</w:t>
      </w:r>
      <w:r>
        <w:t xml:space="preserve">, and Friday </w:t>
      </w:r>
      <w:r>
        <w:rPr>
          <w:b/>
        </w:rPr>
        <w:t>a brutal 50 advancing vs 531 declining</w:t>
      </w:r>
      <w:r>
        <w:t xml:space="preserve"> — the worst day of the week. Fresh 52-week lows exploded from </w:t>
      </w:r>
      <w:r>
        <w:rPr>
          <w:b/>
        </w:rPr>
        <w:t>13 on Oct 16 to 147 on Friday</w:t>
      </w:r>
      <w:r>
        <w:t xml:space="preserve">. The share of stocks above their 200-EMA collapsed from </w:t>
      </w:r>
      <w:r>
        <w:rPr>
          <w:b/>
        </w:rPr>
        <w:t>33% to 18%</w:t>
      </w:r>
      <w:r>
        <w:t xml:space="preserve"> in five sessions. This isn't a mild pullback — it's a broad-based de-rating.</w:t>
      </w:r>
    </w:p>
    <w:p>
      <w:pPr>
        <w:pStyle w:val="Heading2"/>
      </w:pPr>
      <w:r>
        <w:t>3. Sector Rotation — Where Money Is Flowing</w:t>
      </w:r>
    </w:p>
    <w:p>
      <w:r>
        <w:t>With everything red, "top sectors" means "hurt least." The relative picture:</w:t>
      </w:r>
    </w:p>
    <w:p>
      <w:r>
        <w:rPr>
          <w:b/>
        </w:rPr>
        <w:t>Best 5-day (least bad):</w:t>
      </w:r>
      <w:r>
        <w:t xml:space="preserve"> Cement -0.4%, IT -2.0%, Automobile -3.0%, Healthcare -3.9%, Banking -4.8%. </w:t>
      </w:r>
      <w:r>
        <w:rPr>
          <w:b/>
        </w:rPr>
        <w:t>Worst:</w:t>
      </w:r>
      <w:r>
        <w:t xml:space="preserve"> Trading -10.6%, Industrial -9.2%, Logistics -9.1%, Media -9.0%, Chemicals -8.8%.</w:t>
      </w:r>
    </w:p>
    <w:p>
      <w:r>
        <w:t xml:space="preserve">Quadrant flips tell the real story. </w:t>
      </w:r>
      <w:r>
        <w:rPr>
          <w:b/>
        </w:rPr>
        <w:t>Banking, FMCG, Logistics and Textiles all dropped from Leading to Lagging</w:t>
      </w:r>
      <w:r>
        <w:t xml:space="preserve"> in a single week — four leadership sectors broken simultaneously. </w:t>
      </w:r>
      <w:r>
        <w:rPr>
          <w:b/>
        </w:rPr>
        <w:t>Automobile moved Lagging → Improving</w:t>
      </w:r>
      <w:r>
        <w:t xml:space="preserve"> (RS Δ +4.3), the lone quadrant upgrade, which fits with the India-NZ FTA's </w:t>
      </w:r>
      <w:r>
        <w:rPr>
          <w:b/>
        </w:rPr>
        <w:t>zero-duty access for Indian exporters</w:t>
      </w:r>
      <w:r>
        <w:t xml:space="preserve"> (though automobiles weren't the headline beneficiary, the broader exporter narrative helped).</w:t>
      </w:r>
    </w:p>
    <w:p>
      <w:r>
        <w:t xml:space="preserve">Note the divergence: </w:t>
      </w:r>
      <w:r>
        <w:rPr>
          <w:b/>
        </w:rPr>
        <w:t>gold fell -3.7% and silver -6.0% in USD terms</w:t>
      </w:r>
      <w:r>
        <w:t xml:space="preserve"> globally, yet Indian metals-sector earnings looked healthy on reported quarters. There's no corresponding Indian precious-metals ETF rally this week to flag as a policy divergence — the pain was equity-wide and crude-driven. The energy complex is split: refiners (BPCL profit drop in the headlines) are hurting on crude input costs, while upstream names like </w:t>
      </w:r>
      <w:r>
        <w:rPr>
          <w:b/>
        </w:rPr>
        <w:t>ONGC and OIL India</w:t>
      </w:r>
      <w:r>
        <w:t xml:space="preserve"> showed up in the top rank-surge list despite negative slopes — they're falling less than peers.</w:t>
      </w:r>
    </w:p>
    <w:p>
      <w:pPr>
        <w:pStyle w:val="Heading2"/>
      </w:pPr>
      <w:r>
        <w:t>4. Earnings Pulse</w:t>
      </w:r>
    </w:p>
    <w:p>
      <w:r>
        <w:t xml:space="preserve">The context is filtered to the </w:t>
      </w:r>
      <w:r>
        <w:rPr>
          <w:b/>
        </w:rPr>
        <w:t>Sep 2026 quarter</w:t>
      </w:r>
      <w:r>
        <w:t xml:space="preserve"> — </w:t>
      </w:r>
      <w:r>
        <w:rPr>
          <w:b/>
        </w:rPr>
        <w:t>101 stocks have reported, 443 have not yet</w:t>
      </w:r>
      <w:r>
        <w:t>. So we're reading a partial season.</w:t>
      </w:r>
    </w:p>
    <w:p>
      <w:r>
        <w:rPr>
          <w:b/>
        </w:rPr>
        <w:t>(a) Sector aggregates look strong where you'd expect:</w:t>
      </w:r>
      <w:r>
        <w:t xml:space="preserve"> Energy median EPS </w:t>
      </w:r>
      <w:r>
        <w:rPr>
          <w:b/>
        </w:rPr>
        <w:t>+104% YoY</w:t>
      </w:r>
      <w:r>
        <w:t xml:space="preserve"> (10 reported), Telecom </w:t>
      </w:r>
      <w:r>
        <w:rPr>
          <w:b/>
        </w:rPr>
        <w:t>+86%</w:t>
      </w:r>
      <w:r>
        <w:t xml:space="preserve">, Cement </w:t>
      </w:r>
      <w:r>
        <w:rPr>
          <w:b/>
        </w:rPr>
        <w:t>+79%</w:t>
      </w:r>
      <w:r>
        <w:t xml:space="preserve">, Industrial </w:t>
      </w:r>
      <w:r>
        <w:rPr>
          <w:b/>
        </w:rPr>
        <w:t>+42%</w:t>
      </w:r>
      <w:r>
        <w:t xml:space="preserve">, Banking </w:t>
      </w:r>
      <w:r>
        <w:rPr>
          <w:b/>
        </w:rPr>
        <w:t>+21%</w:t>
      </w:r>
      <w:r>
        <w:t xml:space="preserve"> (15 reported), Financial Services </w:t>
      </w:r>
      <w:r>
        <w:rPr>
          <w:b/>
        </w:rPr>
        <w:t>+17%</w:t>
      </w:r>
      <w:r>
        <w:t xml:space="preserve"> (18 reported). The weak spots are </w:t>
      </w:r>
      <w:r>
        <w:rPr>
          <w:b/>
        </w:rPr>
        <w:t>Auto Components (-39.8%)</w:t>
      </w:r>
      <w:r>
        <w:t xml:space="preserve"> and </w:t>
      </w:r>
      <w:r>
        <w:rPr>
          <w:b/>
        </w:rPr>
        <w:t>Realty (-54.6%)</w:t>
      </w:r>
      <w:r>
        <w:t>.</w:t>
      </w:r>
    </w:p>
    <w:p>
      <w:r>
        <w:rPr>
          <w:b/>
        </w:rPr>
        <w:t>(b) Headline extremes:</w:t>
      </w:r>
      <w:r>
        <w:t xml:space="preserve"> HFCL </w:t>
      </w:r>
      <w:r>
        <w:rPr>
          <w:b/>
        </w:rPr>
        <w:t>+404% EPS</w:t>
      </w:r>
      <w:r>
        <w:t xml:space="preserve"> (on +144% revenue — this one's real, not a base effect), IndusInd Bank </w:t>
      </w:r>
      <w:r>
        <w:rPr>
          <w:b/>
        </w:rPr>
        <w:t>+384%</w:t>
      </w:r>
      <w:r>
        <w:t xml:space="preserve">, Poonawalla </w:t>
      </w:r>
      <w:r>
        <w:rPr>
          <w:b/>
        </w:rPr>
        <w:t>+368%</w:t>
      </w:r>
      <w:r>
        <w:t xml:space="preserve">. On the miss side, DeltaCorp </w:t>
      </w:r>
      <w:r>
        <w:rPr>
          <w:b/>
        </w:rPr>
        <w:t>-522%</w:t>
      </w:r>
      <w:r>
        <w:t xml:space="preserve"> and Westlife </w:t>
      </w:r>
      <w:r>
        <w:rPr>
          <w:b/>
        </w:rPr>
        <w:t>-107%</w:t>
      </w:r>
      <w:r>
        <w:t xml:space="preserve"> — both consumer services, both small enough to be colour not signal.</w:t>
      </w:r>
    </w:p>
    <w:p>
      <w:r>
        <w:rPr>
          <w:b/>
        </w:rPr>
        <w:t>(c) Bellwether read-throughs — but with a critical caveat:</w:t>
      </w:r>
      <w:r>
        <w:t xml:space="preserve"> The </w:t>
      </w:r>
      <w:r>
        <w:rPr>
          <w:b/>
        </w:rPr>
        <w:t>"Recent Earnings Declared (last 10 days)" section is empty</w:t>
      </w:r>
      <w:r>
        <w:t xml:space="preserve">. That means every EPS print in the bellwether table was filed earlier in this reporting window — the price action in the 1-day / 5-day columns is </w:t>
      </w:r>
      <w:r>
        <w:rPr>
          <w:b/>
        </w:rPr>
        <w:t>this week's crude-and-rate-driven sell-off</w:t>
      </w:r>
      <w:r>
        <w:t>, NOT a fresh earnings reaction. Framing accordingly:</w:t>
      </w:r>
    </w:p>
    <w:p>
      <w:pPr>
        <w:pStyle w:val="ListBullet"/>
      </w:pPr>
      <w:r>
        <w:rPr>
          <w:b/>
        </w:rPr>
        <w:t>HDFC Bank</w:t>
      </w:r>
      <w:r>
        <w:t xml:space="preserve"> (+5% EPS, Rev not disclosed): -0.2% / </w:t>
      </w:r>
      <w:r>
        <w:rPr>
          <w:b/>
        </w:rPr>
        <w:t>-4.7% this week</w:t>
      </w:r>
      <w:r>
        <w:t>. The EPS print is OLD; the 5-day drop is pure banking-sector de-rating on the RBI rate-hike signal. Read-through: the market is pricing margin compression risk, not reacting to the quarter.</w:t>
      </w:r>
    </w:p>
    <w:p>
      <w:pPr>
        <w:pStyle w:val="ListBullet"/>
      </w:pPr>
      <w:r>
        <w:rPr>
          <w:b/>
        </w:rPr>
        <w:t>Axis Bank</w:t>
      </w:r>
      <w:r>
        <w:t xml:space="preserve"> (+39% EPS): +0.5% / </w:t>
      </w:r>
      <w:r>
        <w:rPr>
          <w:b/>
        </w:rPr>
        <w:t>-5.5%</w:t>
      </w:r>
      <w:r>
        <w:t>. Same story — a strong quarter being ignored because rate risk dominates.</w:t>
      </w:r>
    </w:p>
    <w:p>
      <w:pPr>
        <w:pStyle w:val="ListBullet"/>
      </w:pPr>
      <w:r>
        <w:rPr>
          <w:b/>
        </w:rPr>
        <w:t>TCS</w:t>
      </w:r>
      <w:r>
        <w:t xml:space="preserve"> (+15% EPS, +11% Rev): +0.9% / </w:t>
      </w:r>
      <w:r>
        <w:rPr>
          <w:b/>
        </w:rPr>
        <w:t>+7.7%</w:t>
      </w:r>
      <w:r>
        <w:t>. One of the only green 5-day prints in the whole table. The IT sector's relative strength (sector -2.0% vs Nifty -2.4%) and rupee weakness tailwind are the current catalyst — the earnings print is historical context.</w:t>
      </w:r>
    </w:p>
    <w:p>
      <w:pPr>
        <w:pStyle w:val="ListBullet"/>
      </w:pPr>
      <w:r>
        <w:rPr>
          <w:b/>
        </w:rPr>
        <w:t>Nestle</w:t>
      </w:r>
      <w:r>
        <w:t xml:space="preserve"> (+36% EPS, +20% Rev): </w:t>
      </w:r>
      <w:r>
        <w:rPr>
          <w:b/>
        </w:rPr>
        <w:t>-7.9% in 5 days</w:t>
      </w:r>
      <w:r>
        <w:t>. The RBI Bulletin flagging broad-based food price increases hits FMCG margins directly — the market is pricing input cost pain regardless of the strong quarter already filed.</w:t>
      </w:r>
    </w:p>
    <w:p>
      <w:pPr>
        <w:pStyle w:val="ListBullet"/>
      </w:pPr>
      <w:r>
        <w:rPr>
          <w:b/>
        </w:rPr>
        <w:t>BHEL</w:t>
      </w:r>
      <w:r>
        <w:t xml:space="preserve"> (+118% EPS, +24% Rev): </w:t>
      </w:r>
      <w:r>
        <w:rPr>
          <w:b/>
        </w:rPr>
        <w:t>-10.8%</w:t>
      </w:r>
      <w:r>
        <w:t>. A monster EPS print met with the single-worst 5-day return among large caps. Industrial sector was -9.2% for the week; the capex-cycle trade is being unwound on rate-hike fears. Call-transcript detail would confirm, but the setup suggests the market thinks the earnings peak is in.</w:t>
      </w:r>
    </w:p>
    <w:p>
      <w:r>
        <w:t xml:space="preserve">The read: </w:t>
      </w:r>
      <w:r>
        <w:rPr>
          <w:b/>
        </w:rPr>
        <w:t>good earnings don't matter in a crude/rates panic</w:t>
      </w:r>
      <w:r>
        <w:t>. That's the single most important takeaway from the bellwether table this week.</w:t>
      </w:r>
    </w:p>
    <w:p>
      <w:pPr>
        <w:pStyle w:val="Heading2"/>
      </w:pPr>
      <w:r>
        <w:t>5. Technical Signals This Week</w:t>
      </w:r>
    </w:p>
    <w:p>
      <w:r>
        <w:t xml:space="preserve">The signals data mirrors the macro story: narrowing, not broadening. Total unique stocks across all indicators this week: </w:t>
      </w:r>
      <w:r>
        <w:rPr>
          <w:b/>
        </w:rPr>
        <w:t>55</w:t>
      </w:r>
      <w:r>
        <w:t xml:space="preserve"> — a thin number. Walking through every non-zero indicator:</w:t>
      </w:r>
    </w:p>
    <w:p>
      <w:pPr>
        <w:pStyle w:val="ListBullet"/>
      </w:pPr>
      <w:r>
        <w:rPr>
          <w:b/>
        </w:rPr>
        <w:t>Narrow CPR (Central Pivot Range — a tight pivot setup that often precedes a breakout)</w:t>
      </w:r>
      <w:r>
        <w:t>: 26 unique stocks vs 32 prior week (</w:t>
      </w:r>
      <w:r>
        <w:rPr>
          <w:b/>
        </w:rPr>
        <w:t>Δ -6</w:t>
      </w:r>
      <w:r>
        <w:t>), 22 fresh. Examples: DRREDDY, PNB, KPITTECH, FLUOROCHEM, MGL.</w:t>
      </w:r>
    </w:p>
    <w:p>
      <w:pPr>
        <w:pStyle w:val="ListBullet"/>
      </w:pPr>
      <w:r>
        <w:rPr>
          <w:b/>
        </w:rPr>
        <w:t>MACD Buy (momentum oscillator turning positive — a trend-change signal)</w:t>
      </w:r>
      <w:r>
        <w:t xml:space="preserve">: </w:t>
      </w:r>
      <w:r>
        <w:rPr>
          <w:b/>
        </w:rPr>
        <w:t>14 vs 30, Δ -16</w:t>
      </w:r>
      <w:r>
        <w:t xml:space="preserve"> — the biggest contraction. Examples: SHYAMMETL, CYIENT, TECHM, HCLTECH, DRREDDY.</w:t>
      </w:r>
    </w:p>
    <w:p>
      <w:pPr>
        <w:pStyle w:val="ListBullet"/>
      </w:pPr>
      <w:r>
        <w:rPr>
          <w:b/>
        </w:rPr>
        <w:t>Blue Zone Buy (institutional-accumulation watchlist: RSI EMA above thresholds + close above EMA20 + within 10% of 52W high)</w:t>
      </w:r>
      <w:r>
        <w:t xml:space="preserve">: </w:t>
      </w:r>
      <w:r>
        <w:rPr>
          <w:b/>
        </w:rPr>
        <w:t>7 vs 5, Δ +2</w:t>
      </w:r>
      <w:r>
        <w:t xml:space="preserve"> — the only indicator expanding. Examples: SUNTV, TECHM, KOTAKBANK, PVRINOX, KARURVYSYA.</w:t>
      </w:r>
    </w:p>
    <w:p>
      <w:pPr>
        <w:pStyle w:val="ListBullet"/>
      </w:pPr>
      <w:r>
        <w:rPr>
          <w:b/>
        </w:rPr>
        <w:t>Golden Cross Buy (20-day EMA crossing above 50-day EMA — medium-term bullish trend signal)</w:t>
      </w:r>
      <w:r>
        <w:t>: 6 vs 10 (Δ -4). Examples: KARURVYSYA, TCS, MPHASIS, INFY — notice the IT cluster.</w:t>
      </w:r>
    </w:p>
    <w:p>
      <w:pPr>
        <w:pStyle w:val="ListBullet"/>
      </w:pPr>
      <w:r>
        <w:rPr>
          <w:b/>
        </w:rPr>
        <w:t>VCP Buy (Volatility Contraction Pattern — tightening price range before a breakout)</w:t>
      </w:r>
      <w:r>
        <w:t>: 3 vs 7 (Δ -4). Examples: CYIENT, HATSUN, SOLARINDS.</w:t>
      </w:r>
    </w:p>
    <w:p>
      <w:pPr>
        <w:pStyle w:val="ListBullet"/>
      </w:pPr>
      <w:r>
        <w:rPr>
          <w:b/>
        </w:rPr>
        <w:t>Golden Cross Strong</w:t>
      </w:r>
      <w:r>
        <w:t>: 3 vs 0 (Δ +3) — tiny but notable: LTTS, MASTEK, TANLA (all IT/tech).</w:t>
      </w:r>
    </w:p>
    <w:p>
      <w:pPr>
        <w:pStyle w:val="ListBullet"/>
      </w:pPr>
      <w:r>
        <w:rPr>
          <w:b/>
        </w:rPr>
        <w:t>Bull Flag Buy (sharp rally, orderly consolidation, breakout above the range)</w:t>
      </w:r>
      <w:r>
        <w:t>: 2, unchanged — SUNTV, DELTACORP.</w:t>
      </w:r>
    </w:p>
    <w:p>
      <w:pPr>
        <w:pStyle w:val="ListBullet"/>
      </w:pPr>
      <w:r>
        <w:rPr>
          <w:b/>
        </w:rPr>
        <w:t>MACD Strong</w:t>
      </w:r>
      <w:r>
        <w:t>: 1 — CYIENT.</w:t>
      </w:r>
    </w:p>
    <w:p>
      <w:pPr>
        <w:pStyle w:val="ListBullet"/>
      </w:pPr>
      <w:r>
        <w:rPr>
          <w:b/>
        </w:rPr>
        <w:t>Pullback Bounce</w:t>
      </w:r>
      <w:r>
        <w:t>: 0 (down from 2) — meaningful; there are no "strong-trend stocks bouncing off their EMA20" because there are barely any strong trends left to bounce from.</w:t>
      </w:r>
    </w:p>
    <w:p>
      <w:r>
        <w:rPr>
          <w:b/>
        </w:rPr>
        <w:t>Multi-signal cluster callouts (higher-conviction setups when a stock fires across indicator types):</w:t>
      </w:r>
    </w:p>
    <w:p>
      <w:pPr>
        <w:pStyle w:val="ListBullet"/>
      </w:pPr>
      <w:r>
        <w:rPr>
          <w:b/>
        </w:rPr>
        <w:t>CYIENT</w:t>
      </w:r>
      <w:r>
        <w:t>: 3 signals (macd_buy, macd_strong, vcp_buy) + a 25.3x volume breakout + RS rank #12. By a wide margin the most information-rich name on the dashboard this week.</w:t>
      </w:r>
    </w:p>
    <w:p>
      <w:pPr>
        <w:pStyle w:val="ListBullet"/>
      </w:pPr>
      <w:r>
        <w:rPr>
          <w:b/>
        </w:rPr>
        <w:t>TECHM</w:t>
      </w:r>
      <w:r>
        <w:t>: 3 signals (blue_zone_buy, golden_cross_buy, macd_buy) + +8.5% 5-day return — IT cluster is quietly setting up.</w:t>
      </w:r>
    </w:p>
    <w:p>
      <w:pPr>
        <w:pStyle w:val="ListBullet"/>
      </w:pPr>
      <w:r>
        <w:rPr>
          <w:b/>
        </w:rPr>
        <w:t>DRREDDY</w:t>
      </w:r>
      <w:r>
        <w:t>: 2 signals (macd_buy, narrow_cpr_breakaway) — healthcare bright spot.</w:t>
      </w:r>
    </w:p>
    <w:p>
      <w:pPr>
        <w:pStyle w:val="ListBullet"/>
      </w:pPr>
      <w:r>
        <w:rPr>
          <w:b/>
        </w:rPr>
        <w:t>KARURVYSYA</w:t>
      </w:r>
      <w:r>
        <w:t>: 2 signals (blue_zone_buy, golden_cross_buy) — rare bank in the leaders list.</w:t>
      </w:r>
    </w:p>
    <w:p>
      <w:pPr>
        <w:pStyle w:val="ListBullet"/>
      </w:pPr>
      <w:r>
        <w:rPr>
          <w:b/>
        </w:rPr>
        <w:t>SUNTV</w:t>
      </w:r>
      <w:r>
        <w:t>: 2 signals (blue_zone_buy, bull_flag_buy).</w:t>
      </w:r>
    </w:p>
    <w:p>
      <w:r>
        <w:rPr>
          <w:b/>
        </w:rPr>
        <w:t>The mix is clearly contracting</w:t>
      </w:r>
      <w:r>
        <w:t xml:space="preserve"> — MACD and VCP halved, pullback bounces vanished — with one narrow pocket of IT/tech strength (TCS, INFY, HCLTECH, TECHM, LTTS, MASTEK, CYIENT) persisting through the sell-off, likely helped by rupee weakness.</w:t>
      </w:r>
    </w:p>
    <w:p>
      <w:pPr>
        <w:pStyle w:val="Heading2"/>
      </w:pPr>
      <w:r>
        <w:t>6. Notable Stock-Level Action</w:t>
      </w:r>
    </w:p>
    <w:p>
      <w:pPr>
        <w:pStyle w:val="ListBullet"/>
      </w:pPr>
      <w:r>
        <w:rPr>
          <w:b/>
        </w:rPr>
        <w:t>WESTLIFE</w:t>
      </w:r>
      <w:r>
        <w:t xml:space="preserve"> printed a </w:t>
      </w:r>
      <w:r>
        <w:rPr>
          <w:b/>
        </w:rPr>
        <w:t>53.6x volume breakout</w:t>
      </w:r>
      <w:r>
        <w:t xml:space="preserve"> on the same week it reported a </w:t>
      </w:r>
      <w:r>
        <w:rPr>
          <w:b/>
        </w:rPr>
        <w:t>-107% EPS miss</w:t>
      </w:r>
      <w:r>
        <w:t xml:space="preserve"> — a capitulation volume signature, worth watching for a base.</w:t>
      </w:r>
    </w:p>
    <w:p>
      <w:pPr>
        <w:pStyle w:val="ListBullet"/>
      </w:pPr>
      <w:r>
        <w:rPr>
          <w:b/>
        </w:rPr>
        <w:t>CYIENT</w:t>
      </w:r>
      <w:r>
        <w:t xml:space="preserve"> combined a </w:t>
      </w:r>
      <w:r>
        <w:rPr>
          <w:b/>
        </w:rPr>
        <w:t>25.3x volume breakout, RS rank #12, and three technical signals</w:t>
      </w:r>
      <w:r>
        <w:t xml:space="preserve"> — the standout bullish setup of the week in an otherwise ugly tape.</w:t>
      </w:r>
    </w:p>
    <w:p>
      <w:pPr>
        <w:pStyle w:val="ListBullet"/>
      </w:pPr>
      <w:r>
        <w:rPr>
          <w:b/>
        </w:rPr>
        <w:t>TTML (Tata Teleservices Maharashtra)</w:t>
      </w:r>
      <w:r>
        <w:t xml:space="preserve"> saw a </w:t>
      </w:r>
      <w:r>
        <w:rPr>
          <w:b/>
        </w:rPr>
        <w:t>10x volume breakout</w:t>
      </w:r>
      <w:r>
        <w:t xml:space="preserve"> alongside a sharp rank move, part of a telecom-sector cluster where the Sep quarter aggregate EPS is +86%.</w:t>
      </w:r>
    </w:p>
    <w:p>
      <w:pPr>
        <w:pStyle w:val="ListBullet"/>
      </w:pPr>
      <w:r>
        <w:rPr>
          <w:b/>
        </w:rPr>
        <w:t>Cement cluster rank-crash</w:t>
      </w:r>
      <w:r>
        <w:t>: INDIACEM, ACC, AMBUJACEM all appeared in the top rank-decliner list simultaneously — the sector's recent earnings strength (median +79% EPS) is being ignored against -28.7% YTD performance.</w:t>
      </w:r>
    </w:p>
    <w:p>
      <w:pPr>
        <w:pStyle w:val="ListBullet"/>
      </w:pPr>
      <w:r>
        <w:rPr>
          <w:b/>
        </w:rPr>
        <w:t>CREDITACC</w:t>
      </w:r>
      <w:r>
        <w:t xml:space="preserve"> did a </w:t>
      </w:r>
      <w:r>
        <w:rPr>
          <w:b/>
        </w:rPr>
        <w:t>13.7x volume breakout</w:t>
      </w:r>
      <w:r>
        <w:t xml:space="preserve"> but sits at RS rank #498 — classic distribution volume on a weak name, not accumulation.</w:t>
      </w:r>
    </w:p>
    <w:p>
      <w:pPr>
        <w:pStyle w:val="Heading2"/>
      </w:pPr>
      <w:r>
        <w:t>7. Macro &amp; Global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Metric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Level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Weekly change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India VIX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15.76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+1.73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Brent (USD)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114.37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+8.7%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DXY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101.69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-0.24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Gold (USD)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4,036.40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-3.7%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Silver (USD)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54.35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-6.0%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Market Cap / GDP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120.70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-3.00</w:t>
            </w:r>
          </w:p>
        </w:tc>
      </w:tr>
    </w:tbl>
    <w:p/>
    <w:p>
      <w:r>
        <w:t xml:space="preserve">Crude is the week's story: </w:t>
      </w:r>
      <w:r>
        <w:rPr>
          <w:b/>
        </w:rPr>
        <w:t>+8.7% to $114</w:t>
      </w:r>
      <w:r>
        <w:t xml:space="preserve"> directly hit refiner margins (BPCL profit drop flagged in headlines), widened India's import bill, and pressured the rupee. The DXY was flat, so this was commodity-specific, not dollar-driven.</w:t>
      </w:r>
    </w:p>
    <w:p>
      <w:r>
        <w:rPr>
          <w:b/>
        </w:rPr>
        <w:t>Domestic policy/monetary events — all material:</w:t>
      </w:r>
    </w:p>
    <w:p>
      <w:pPr>
        <w:pStyle w:val="ListNumber"/>
      </w:pPr>
      <w:r>
        <w:rPr>
          <w:b/>
        </w:rPr>
        <w:t>RBI Governor signalled openness to rate hikes as a financial-stability tool</w:t>
      </w:r>
      <w:r>
        <w:t xml:space="preserve"> (new this week). This single comment broke rate-sensitive sectors — Banking flipped Leading → Lagging, FMCG and Realty got hammered despite strong individual earnings.</w:t>
      </w:r>
    </w:p>
    <w:p>
      <w:pPr>
        <w:pStyle w:val="ListNumber"/>
      </w:pPr>
      <w:r>
        <w:rPr>
          <w:b/>
        </w:rPr>
        <w:t>RBI Bulletin flagged broad-based food price increases</w:t>
      </w:r>
      <w:r>
        <w:t xml:space="preserve"> — directly bearish for FMCG (Nestle -7.9% in 5 days despite +36% EPS) and raises hike probability.</w:t>
      </w:r>
    </w:p>
    <w:p>
      <w:pPr>
        <w:pStyle w:val="ListNumber"/>
      </w:pPr>
      <w:r>
        <w:rPr>
          <w:b/>
        </w:rPr>
        <w:t>India-New Zealand FTA entered force Oct 20</w:t>
      </w:r>
      <w:r>
        <w:t xml:space="preserve"> with zero-duty access for textiles, pharma, leather. Bullish catalyst but drowned out by crude/rate noise — textiles still flipped Leading → Lagging.</w:t>
      </w:r>
    </w:p>
    <w:p>
      <w:pPr>
        <w:pStyle w:val="ListNumber"/>
      </w:pPr>
      <w:r>
        <w:rPr>
          <w:b/>
        </w:rPr>
        <w:t>Diageo/Pernod Ricard tariff investigation</w:t>
      </w:r>
      <w:r>
        <w:t xml:space="preserve"> — specific negative for alcoholic beverages importers.</w:t>
      </w:r>
    </w:p>
    <w:p>
      <w:pPr>
        <w:pStyle w:val="ListNumber"/>
      </w:pPr>
      <w:r>
        <w:rPr>
          <w:b/>
        </w:rPr>
        <w:t>Jio IPO inflows</w:t>
      </w:r>
      <w:r>
        <w:t xml:space="preserve"> pushed the rupee to a six-week high near 97/USD — a rare bullish undercurrent, though insufficient to offset the broader selling.</w:t>
      </w:r>
    </w:p>
    <w:p>
      <w:pPr>
        <w:pStyle w:val="Heading2"/>
      </w:pPr>
      <w:r>
        <w:t>8. What to Watch Next Week</w:t>
      </w:r>
    </w:p>
    <w:p>
      <w:pPr>
        <w:pStyle w:val="ListBullet"/>
      </w:pPr>
      <w:r>
        <w:rPr>
          <w:b/>
        </w:rPr>
        <w:t>Nifty levels</w:t>
      </w:r>
      <w:r>
        <w:t xml:space="preserve">: Friday's close of </w:t>
      </w:r>
      <w:r>
        <w:rPr>
          <w:b/>
        </w:rPr>
        <w:t>22,600</w:t>
      </w:r>
      <w:r>
        <w:t xml:space="preserve"> is the first line in the sand. A clean break opens the door toward psychological 22,500 and then the broader downside risk zone. On the upside, reclaiming EMA 20 at </w:t>
      </w:r>
      <w:r>
        <w:rPr>
          <w:b/>
        </w:rPr>
        <w:t>22,844</w:t>
      </w:r>
      <w:r>
        <w:t xml:space="preserve"> would be the first repair signal — Nifty needs to prove it can get back above its own short-term trend.</w:t>
      </w:r>
    </w:p>
    <w:p>
      <w:pPr>
        <w:pStyle w:val="ListBullet"/>
      </w:pPr>
      <w:r>
        <w:rPr>
          <w:b/>
        </w:rPr>
        <w:t>Breadth repair</w:t>
      </w:r>
      <w:r>
        <w:t xml:space="preserve">: watch whether the % above 200-EMA stabilises off this week's </w:t>
      </w:r>
      <w:r>
        <w:rPr>
          <w:b/>
        </w:rPr>
        <w:t>18%</w:t>
      </w:r>
      <w:r>
        <w:t xml:space="preserve"> low. A move back above 25% would mark a genuine turn.</w:t>
      </w:r>
    </w:p>
    <w:p>
      <w:pPr>
        <w:pStyle w:val="ListBullet"/>
      </w:pPr>
      <w:r>
        <w:rPr>
          <w:b/>
        </w:rPr>
        <w:t>IT cluster</w:t>
      </w:r>
      <w:r>
        <w:t>: TCS, INFY, HCLTECH, TECHM, LTTS and CYIENT all show relative strength or active signals. Whether this holds depends on rupee direction — if the Jio-inflow-driven rupee strength extends, the export-earnings tailwind narrows.</w:t>
      </w:r>
    </w:p>
    <w:p>
      <w:pPr>
        <w:pStyle w:val="ListBullet"/>
      </w:pPr>
      <w:r>
        <w:rPr>
          <w:b/>
        </w:rPr>
        <w:t>Crude</w:t>
      </w:r>
      <w:r>
        <w:t>: anything that takes Brent back below $110 would be a direct Nifty catalyst given this week's dynamic.</w:t>
      </w:r>
    </w:p>
    <w:p>
      <w:pPr>
        <w:pStyle w:val="ListBullet"/>
      </w:pPr>
      <w:r>
        <w:rPr>
          <w:b/>
        </w:rPr>
        <w:t>Rate-sensitive sectors</w:t>
      </w:r>
      <w:r>
        <w:t>: FMCG, Realty, Banking are now pricing a hike. Any RBI commentary dialling that back would prompt a sharp mean-reversion in these groups.</w:t>
      </w:r>
    </w:p>
    <w:p>
      <w:r>
        <w:t>(No specific earnings dates are flagged in this week's headlines, so no earnings calendar call-outs.)</w:t>
      </w:r>
    </w:p>
    <w:p>
      <w:pPr>
        <w:pStyle w:val="Heading2"/>
      </w:pPr>
      <w:r>
        <w:t>9. The Bottom Line</w:t>
      </w:r>
    </w:p>
    <w:p>
      <w:pPr>
        <w:pStyle w:val="ListNumber"/>
      </w:pPr>
      <w:r>
        <w:rPr>
          <w:b/>
        </w:rPr>
        <w:t>The sell-off is macro-driven, not earnings-driven.</w:t>
      </w:r>
      <w:r>
        <w:t xml:space="preserve"> Bellwether EPS prints across Banking (HDFCB +5%, Axis +39%), FMCG (Nestle +36%), and Industrials (BHEL +118%) were strong — and the market ignored every one of them because crude +8.7% and an RBI rate-hike signal reset the discount rate for the whole market. Honest caveat: the "Recent Earnings Declared" window was empty, so these prints are OLD; the real test comes when Dec-quarter names start reporting.</w:t>
      </w:r>
    </w:p>
    <w:p>
      <w:pPr>
        <w:pStyle w:val="ListNumber"/>
      </w:pPr>
      <w:r>
        <w:rPr>
          <w:b/>
        </w:rPr>
        <w:t>IT is the one shelter worth watching.</w:t>
      </w:r>
      <w:r>
        <w:t xml:space="preserve"> TCS +7.7%, HCLTECH +4.6%, INFY +4.0%, TECHM +8.5% over 5 days, plus a cluster of golden-cross and MACD signals in the sector — a rupee-weakness tailwind play. Confirmation needed via a continued move above sector EMAs; this breaks if the rupee strengthens meaningfully from Jio inflows.</w:t>
      </w:r>
    </w:p>
    <w:p>
      <w:pPr>
        <w:pStyle w:val="ListNumber"/>
      </w:pPr>
      <w:r>
        <w:rPr>
          <w:b/>
        </w:rPr>
        <w:t>The breadth deterioration demands caution before calling a bottom.</w:t>
      </w:r>
      <w:r>
        <w:t xml:space="preserve"> 147 fresh 52-week lows on Friday vs 13 the prior Friday, pullback-bounce signals at zero, and four leadership sectors flipping Leading → Lagging in one week is not a one-day capitulation pattern — it's an ongoing distribution. Watch for an advance/decline split that actually prints &gt;1.0 before trusting any bounce.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