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Weekly Market Brief — 2026-10-24</w:t>
      </w:r>
    </w:p>
    <w:p>
      <w:pPr>
        <w:pStyle w:val="Heading2"/>
      </w:pPr>
      <w:r>
        <w:t>The Week in One Line</w:t>
      </w:r>
    </w:p>
    <w:p>
      <w:r>
        <w:t xml:space="preserve">Nifty slipped </w:t>
      </w:r>
      <w:r>
        <w:rPr>
          <w:b/>
        </w:rPr>
        <w:t>2.4%</w:t>
      </w:r>
      <w:r>
        <w:t xml:space="preserve"> to 22,600 as surging crude and a shaky rupee kept sellers in charge all week.</w:t>
      </w:r>
    </w:p>
    <w:p>
      <w:pPr>
        <w:pStyle w:val="Heading2"/>
      </w:pPr>
      <w:r>
        <w:t>What's Working</w:t>
      </w:r>
    </w:p>
    <w:p>
      <w:r>
        <w:t>Nothing really "worked" — every sector fell. The least-bad were:</w:t>
      </w:r>
    </w:p>
    <w:p>
      <w:pPr>
        <w:pStyle w:val="ListBullet"/>
      </w:pPr>
      <w:r>
        <w:rPr>
          <w:b/>
        </w:rPr>
        <w:t>Cement (-0.4%)</w:t>
      </w:r>
      <w:r>
        <w:t>: Barely moved. Big players like UltraTech posted strong Sep-quarter profits (+21% EPS), cushioning the sector.</w:t>
      </w:r>
    </w:p>
    <w:p>
      <w:pPr>
        <w:pStyle w:val="ListBullet"/>
      </w:pPr>
      <w:r>
        <w:rPr>
          <w:b/>
        </w:rPr>
        <w:t>IT (-2.0%)</w:t>
      </w:r>
      <w:r>
        <w:t>: Held up on hopes a weaker rupee boosts export earnings. TCS, Infosys and HCL Tech all posted solid results and saw buying.</w:t>
      </w:r>
    </w:p>
    <w:p>
      <w:pPr>
        <w:pStyle w:val="ListBullet"/>
      </w:pPr>
      <w:r>
        <w:rPr>
          <w:b/>
        </w:rPr>
        <w:t>Automobile (-3.0%)</w:t>
      </w:r>
      <w:r>
        <w:t>: Fell less than most, and actually flipped into "Improving" on relative-strength tracking — meaning it's starting to do better versus the rest of the market, even if still down.</w:t>
      </w:r>
    </w:p>
    <w:p>
      <w:pPr>
        <w:pStyle w:val="Heading2"/>
      </w:pPr>
      <w:r>
        <w:t>What's Not</w:t>
      </w:r>
    </w:p>
    <w:p>
      <w:pPr>
        <w:pStyle w:val="ListBullet"/>
      </w:pPr>
      <w:r>
        <w:rPr>
          <w:b/>
        </w:rPr>
        <w:t>Trading (-10.6%)</w:t>
      </w:r>
      <w:r>
        <w:t>: Capital-market intermediaries got hammered as volumes dried up and risk appetite collapsed.</w:t>
      </w:r>
    </w:p>
    <w:p>
      <w:pPr>
        <w:pStyle w:val="ListBullet"/>
      </w:pPr>
      <w:r>
        <w:rPr>
          <w:b/>
        </w:rPr>
        <w:t>Industrials (-9.2%)</w:t>
      </w:r>
      <w:r>
        <w:t>: Big disappointments like BHEL (-10.8% in 5 days) despite strong profit growth — investors clearly expected more.</w:t>
      </w:r>
    </w:p>
    <w:p>
      <w:pPr>
        <w:pStyle w:val="ListBullet"/>
      </w:pPr>
      <w:r>
        <w:rPr>
          <w:b/>
        </w:rPr>
        <w:t>Logistics (-9.1%)</w:t>
      </w:r>
      <w:r>
        <w:t>: Hit by crude oil's spike (fuel is a huge cost) and weak demand signals.</w:t>
      </w:r>
    </w:p>
    <w:p>
      <w:pPr>
        <w:pStyle w:val="Heading2"/>
      </w:pPr>
      <w:r>
        <w:t>Notable Events</w:t>
      </w:r>
    </w:p>
    <w:p>
      <w:r>
        <w:rPr>
          <w:b/>
        </w:rPr>
        <w:t>Crude oil surged to ~$114/bbl (+8.7% in a week).</w:t>
      </w:r>
      <w:r>
        <w:t xml:space="preserve"> This is the week's biggest story. Oil is India's largest import, so a spike weakens the rupee, worsens the trade deficit, and squeezes profit margins for anyone who uses fuel (airlines, logistics, paint-makers, FMCG). Refiners like BPCL also reported falling profits because of the volatility.</w:t>
      </w:r>
    </w:p>
    <w:p>
      <w:r>
        <w:rPr>
          <w:b/>
        </w:rPr>
        <w:t>RBI signals possible rate hikes.</w:t>
      </w:r>
      <w:r>
        <w:t xml:space="preserve"> The Reserve Bank of India's governor said he's open to raising interest rates to defend the rupee and tackle sticky food inflation. </w:t>
      </w:r>
      <w:r>
        <w:rPr>
          <w:b/>
        </w:rPr>
        <w:t>Higher rates are generally bad for stocks</w:t>
      </w:r>
      <w:r>
        <w:t xml:space="preserve"> — they make borrowing costlier for companies and make safer investments (like bonds) more attractive versus equities. The RBI also tightened checks on large overseas investments by Indian firms to slow dollar outflows.</w:t>
      </w:r>
    </w:p>
    <w:p>
      <w:r>
        <w:rPr>
          <w:b/>
        </w:rPr>
        <w:t>India–New Zealand Free Trade Agreement kicked in (Oct 20).</w:t>
      </w:r>
      <w:r>
        <w:t xml:space="preserve"> Zero import duty on Indian textiles, pharma and leather exports to NZ. Small market, but a positive signal — and one of the few bullish items in an otherwise grim week.</w:t>
      </w:r>
    </w:p>
    <w:p>
      <w:pPr>
        <w:pStyle w:val="Heading2"/>
      </w:pPr>
      <w:r>
        <w:t>Charts to Know</w:t>
      </w:r>
    </w:p>
    <w:p>
      <w:r>
        <w:rPr>
          <w:b/>
        </w:rPr>
        <w:t>Breadth is deteriorating fast.</w:t>
      </w:r>
      <w:r>
        <w:t xml:space="preserve"> On Oct 23, only </w:t>
      </w:r>
      <w:r>
        <w:rPr>
          <w:b/>
        </w:rPr>
        <w:t>50 stocks advanced vs 531 that declined</w:t>
      </w:r>
      <w:r>
        <w:t xml:space="preserve"> — a nearly 1-to-10 ratio. "Breadth" simply means how many stocks are rising vs falling. When the index drops </w:t>
      </w:r>
      <w:r>
        <w:rPr>
          <w:i/>
        </w:rPr>
        <w:t>and</w:t>
      </w:r>
      <w:r>
        <w:t xml:space="preserve"> breadth is this one-sided, it tells you the selling is broad, not just a few names. Also, </w:t>
      </w:r>
      <w:r>
        <w:rPr>
          <w:b/>
        </w:rPr>
        <w:t>new 52-week lows jumped from 13 to 147</w:t>
      </w:r>
      <w:r>
        <w:t xml:space="preserve"> across the week — more and more stocks are hitting fresh year-lows.</w:t>
      </w:r>
    </w:p>
    <w:p>
      <w:r>
        <w:rPr>
          <w:b/>
        </w:rPr>
        <w:t>Only 18% of stocks are above their 200-day moving average</w:t>
      </w:r>
      <w:r>
        <w:t>, down from 32% a week ago. The 200-day average is a widely watched long-term trend line; being above it = healthy, below = weak. A reading of 18% means the broader market is firmly in a downtrend, not just the headline index.</w:t>
      </w:r>
    </w:p>
    <w:p>
      <w:pPr>
        <w:pStyle w:val="Heading2"/>
      </w:pPr>
      <w:r>
        <w:t>What to Watch Next Week</w:t>
      </w:r>
    </w:p>
    <w:p>
      <w:pPr>
        <w:pStyle w:val="ListBullet"/>
      </w:pPr>
      <w:r>
        <w:rPr>
          <w:b/>
        </w:rPr>
        <w:t>Earnings</w:t>
      </w:r>
      <w:r>
        <w:t>: Mid-cap and small-cap results will trickle in. Watch chemicals and auto-component names — both sectors have been punished and any positive surprise could trigger sharp bounces.</w:t>
      </w:r>
    </w:p>
    <w:p>
      <w:pPr>
        <w:pStyle w:val="ListBullet"/>
      </w:pPr>
      <w:r>
        <w:rPr>
          <w:b/>
        </w:rPr>
        <w:t>Macro</w:t>
      </w:r>
      <w:r>
        <w:t>: Crude oil direction is the single biggest variable. Any pullback below $110 would relieve pressure on the rupee and equities. Also watch for RBI commentary and USD/INR levels.</w:t>
      </w:r>
    </w:p>
    <w:p>
      <w:pPr>
        <w:pStyle w:val="ListBullet"/>
      </w:pPr>
      <w:r>
        <w:rPr>
          <w:b/>
        </w:rPr>
        <w:t>Nifty levels</w:t>
      </w:r>
      <w:r>
        <w:t xml:space="preserve">: Immediate support sits around </w:t>
      </w:r>
      <w:r>
        <w:rPr>
          <w:b/>
        </w:rPr>
        <w:t>22,500</w:t>
      </w:r>
      <w:r>
        <w:t xml:space="preserve">; a break below opens the door to </w:t>
      </w:r>
      <w:r>
        <w:rPr>
          <w:b/>
        </w:rPr>
        <w:t>22,200</w:t>
      </w:r>
      <w:r>
        <w:t xml:space="preserve">. On the upside, the 20-day moving average at </w:t>
      </w:r>
      <w:r>
        <w:rPr>
          <w:b/>
        </w:rPr>
        <w:t>22,844</w:t>
      </w:r>
      <w:r>
        <w:t xml:space="preserve"> is now the first hurdle to clear before any recovery can be taken seriously. All three key averages (20, 50, 200-day) are above the current price — a classic downtrend setup.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