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Intelligence — 2026-05-17</w:t>
      </w:r>
    </w:p>
    <w:p>
      <w:pPr>
        <w:pStyle w:val="Heading2"/>
      </w:pPr>
      <w:r>
        <w:t>1. What Happened This Week</w:t>
      </w:r>
    </w:p>
    <w:p>
      <w:r>
        <w:t xml:space="preserve">Indian equities had a rough five sessions. Nifty 50 closed at </w:t>
      </w:r>
      <w:r>
        <w:rPr>
          <w:b/>
        </w:rPr>
        <w:t>23,659.35</w:t>
      </w:r>
      <w:r>
        <w:t xml:space="preserve"> on Friday, down </w:t>
      </w:r>
      <w:r>
        <w:rPr>
          <w:b/>
        </w:rPr>
        <w:t>2.1%</w:t>
      </w:r>
      <w:r>
        <w:t xml:space="preserve"> from the previous Sunday's 24,173.95, with the bulk of the damage on Monday and Tuesday (24,173 → 23,427). The cause wasn't one single shock — it was a stack of domestic catalysts: the government </w:t>
      </w:r>
      <w:r>
        <w:rPr>
          <w:b/>
        </w:rPr>
        <w:t>doubled the import duty on gold and silver from 6% to 15%</w:t>
      </w:r>
      <w:r>
        <w:t xml:space="preserve"> (effective May 13) to defend a rupee that hit a </w:t>
      </w:r>
      <w:r>
        <w:rPr>
          <w:b/>
        </w:rPr>
        <w:t>record low</w:t>
      </w:r>
      <w:r>
        <w:t xml:space="preserve">, RBI Governor flagged a likely </w:t>
      </w:r>
      <w:r>
        <w:rPr>
          <w:b/>
        </w:rPr>
        <w:t>fuel price hike</w:t>
      </w:r>
      <w:r>
        <w:t xml:space="preserve"> if West Asia tensions persist, and </w:t>
      </w:r>
      <w:r>
        <w:rPr>
          <w:b/>
        </w:rPr>
        <w:t>PM Modi appealed for citizen austerity</w:t>
      </w:r>
      <w:r>
        <w:t xml:space="preserve"> on fuel and gold purchases. Add Brent ticking up to </w:t>
      </w:r>
      <w:r>
        <w:rPr>
          <w:b/>
        </w:rPr>
        <w:t>$106.98</w:t>
      </w:r>
      <w:r>
        <w:t xml:space="preserve"> and rolling FII outflows, and you have textbook risk-off conditions. The midweek bounce (Wednesday/Thursday) was real but couldn't reclaim Monday's losses.</w:t>
      </w:r>
    </w:p>
    <w:p>
      <w:pPr>
        <w:pStyle w:val="Heading2"/>
      </w:pPr>
      <w:r>
        <w:t>2. The Trend Picture</w:t>
      </w:r>
    </w:p>
    <w:p>
      <w:r>
        <w:t xml:space="preserve">The trend has clearly weakened. Nifty is now </w:t>
      </w:r>
      <w:r>
        <w:rPr>
          <w:b/>
        </w:rPr>
        <w:t>below all three key EMAs (Exponential Moving Averages — smoothed price averages traders use as trend reference points)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EMA</w:t>
            </w:r>
          </w:p>
        </w:tc>
        <w:tc>
          <w:tcPr>
            <w:tcW w:type="dxa" w:w="2880"/>
          </w:tcPr>
          <w:p>
            <w:r/>
            <w:r>
              <w:rPr>
                <w:b/>
                <w:sz w:val="20"/>
              </w:rPr>
              <w:t>Level</w:t>
            </w:r>
          </w:p>
        </w:tc>
        <w:tc>
          <w:tcPr>
            <w:tcW w:type="dxa" w:w="2880"/>
          </w:tcPr>
          <w:p>
            <w:r/>
            <w:r>
              <w:rPr>
                <w:b/>
                <w:sz w:val="20"/>
              </w:rPr>
              <w:t>Nifty position</w:t>
            </w:r>
          </w:p>
        </w:tc>
      </w:tr>
      <w:tr>
        <w:tc>
          <w:tcPr>
            <w:tcW w:type="dxa" w:w="2880"/>
          </w:tcPr>
          <w:p>
            <w:r>
              <w:rPr>
                <w:sz w:val="20"/>
              </w:rPr>
            </w:r>
            <w:r>
              <w:rPr>
                <w:sz w:val="20"/>
              </w:rPr>
              <w:t>EMA 20</w:t>
            </w:r>
          </w:p>
        </w:tc>
        <w:tc>
          <w:tcPr>
            <w:tcW w:type="dxa" w:w="2880"/>
          </w:tcPr>
          <w:p>
            <w:r>
              <w:rPr>
                <w:sz w:val="20"/>
              </w:rPr>
            </w:r>
            <w:r>
              <w:rPr>
                <w:sz w:val="20"/>
              </w:rPr>
              <w:t>23,889.24</w:t>
            </w:r>
          </w:p>
        </w:tc>
        <w:tc>
          <w:tcPr>
            <w:tcW w:type="dxa" w:w="2880"/>
          </w:tcPr>
          <w:p>
            <w:r>
              <w:rPr>
                <w:sz w:val="20"/>
              </w:rPr>
            </w:r>
            <w:r>
              <w:rPr>
                <w:b/>
                <w:sz w:val="20"/>
              </w:rPr>
              <w:t>Below</w:t>
            </w:r>
            <w:r>
              <w:rPr>
                <w:sz w:val="20"/>
              </w:rPr>
              <w:t xml:space="preserve"> (-1.0%)</w:t>
            </w:r>
          </w:p>
        </w:tc>
      </w:tr>
      <w:tr>
        <w:tc>
          <w:tcPr>
            <w:tcW w:type="dxa" w:w="2880"/>
          </w:tcPr>
          <w:p>
            <w:r>
              <w:rPr>
                <w:sz w:val="20"/>
              </w:rPr>
            </w:r>
            <w:r>
              <w:rPr>
                <w:sz w:val="20"/>
              </w:rPr>
              <w:t>EMA 50</w:t>
            </w:r>
          </w:p>
        </w:tc>
        <w:tc>
          <w:tcPr>
            <w:tcW w:type="dxa" w:w="2880"/>
          </w:tcPr>
          <w:p>
            <w:r>
              <w:rPr>
                <w:sz w:val="20"/>
              </w:rPr>
            </w:r>
            <w:r>
              <w:rPr>
                <w:sz w:val="20"/>
              </w:rPr>
              <w:t>24,017.26</w:t>
            </w:r>
          </w:p>
        </w:tc>
        <w:tc>
          <w:tcPr>
            <w:tcW w:type="dxa" w:w="2880"/>
          </w:tcPr>
          <w:p>
            <w:r>
              <w:rPr>
                <w:sz w:val="20"/>
              </w:rPr>
            </w:r>
            <w:r>
              <w:rPr>
                <w:b/>
                <w:sz w:val="20"/>
              </w:rPr>
              <w:t>Below</w:t>
            </w:r>
            <w:r>
              <w:rPr>
                <w:sz w:val="20"/>
              </w:rPr>
              <w:t xml:space="preserve"> (-1.5%)</w:t>
            </w:r>
          </w:p>
        </w:tc>
      </w:tr>
      <w:tr>
        <w:tc>
          <w:tcPr>
            <w:tcW w:type="dxa" w:w="2880"/>
          </w:tcPr>
          <w:p>
            <w:r>
              <w:rPr>
                <w:sz w:val="20"/>
              </w:rPr>
            </w:r>
            <w:r>
              <w:rPr>
                <w:sz w:val="20"/>
              </w:rPr>
              <w:t>EMA 200</w:t>
            </w:r>
          </w:p>
        </w:tc>
        <w:tc>
          <w:tcPr>
            <w:tcW w:type="dxa" w:w="2880"/>
          </w:tcPr>
          <w:p>
            <w:r>
              <w:rPr>
                <w:sz w:val="20"/>
              </w:rPr>
            </w:r>
            <w:r>
              <w:rPr>
                <w:sz w:val="20"/>
              </w:rPr>
              <w:t>24,614.61</w:t>
            </w:r>
          </w:p>
        </w:tc>
        <w:tc>
          <w:tcPr>
            <w:tcW w:type="dxa" w:w="2880"/>
          </w:tcPr>
          <w:p>
            <w:r>
              <w:rPr>
                <w:sz w:val="20"/>
              </w:rPr>
            </w:r>
            <w:r>
              <w:rPr>
                <w:b/>
                <w:sz w:val="20"/>
              </w:rPr>
              <w:t>Below</w:t>
            </w:r>
            <w:r>
              <w:rPr>
                <w:sz w:val="20"/>
              </w:rPr>
              <w:t xml:space="preserve"> (-3.9%)</w:t>
            </w:r>
          </w:p>
        </w:tc>
      </w:tr>
    </w:tbl>
    <w:p/>
    <w:p>
      <w:r>
        <w:t xml:space="preserve">This is the first time in this cycle Nifty has slipped below all three together — a meaningful change from the broad-uptrend backdrop. Breadth confirms the deterioration: </w:t>
      </w:r>
      <w:r>
        <w:rPr>
          <w:b/>
        </w:rPr>
        <w:t>% of stocks above their 200-day EMA fell from 57% (May 7) to 43% (May 15)</w:t>
      </w:r>
      <w:r>
        <w:t xml:space="preserve">. Tuesday was the panic day — </w:t>
      </w:r>
      <w:r>
        <w:rPr>
          <w:b/>
        </w:rPr>
        <w:t>548 declines vs 36 advances</w:t>
      </w:r>
      <w:r>
        <w:t xml:space="preserve"> with 13 fresh 52-week lows. Wednesday and Thursday brought textbook reflex bounces (338/244 and 348/235), but Friday flipped negative again (198 adv / 385 dec). The trend is </w:t>
      </w:r>
      <w:r>
        <w:rPr>
          <w:i/>
        </w:rPr>
        <w:t>narrowing</w:t>
      </w:r>
      <w:r>
        <w:t xml:space="preserve">, not broadening — fresh 52W highs were </w:t>
      </w:r>
      <w:r>
        <w:rPr>
          <w:b/>
        </w:rPr>
        <w:t>zero on four of the last five sessions</w:t>
      </w:r>
      <w:r>
        <w:t xml:space="preserve"> while 52W lows ticked up daily.</w:t>
      </w:r>
    </w:p>
    <w:p>
      <w:pPr>
        <w:pStyle w:val="Heading2"/>
      </w:pPr>
      <w:r>
        <w:t>3. Sector Rotation — Where Money Is Flowing</w:t>
      </w:r>
    </w:p>
    <w:p>
      <w:r>
        <w:t>Almost the entire sector board went red this week. Only two corners worked:</w:t>
      </w:r>
    </w:p>
    <w:p>
      <w:r>
        <w:rPr>
          <w:b/>
        </w:rPr>
        <w:t>TOP 3 (5-day median):</w:t>
      </w:r>
    </w:p>
    <w:p>
      <w:pPr>
        <w:pStyle w:val="ListBullet"/>
      </w:pPr>
      <w:r>
        <w:rPr>
          <w:b/>
        </w:rPr>
        <w:t>ETF: +4.1%</w:t>
      </w:r>
      <w:r>
        <w:t xml:space="preserve"> — driven by GOLDBEES and SILVERBEES (more below)</w:t>
      </w:r>
    </w:p>
    <w:p>
      <w:pPr>
        <w:pStyle w:val="ListBullet"/>
      </w:pPr>
      <w:r>
        <w:rPr>
          <w:b/>
        </w:rPr>
        <w:t>TELECOM: +3.9%</w:t>
      </w:r>
      <w:r>
        <w:t xml:space="preserve"> — Bharti Airtel rallied 3.9% in five days despite a -38% EPS print, and Tata Communications surged into the rank-surge leaderboard</w:t>
      </w:r>
    </w:p>
    <w:p>
      <w:pPr>
        <w:pStyle w:val="ListBullet"/>
      </w:pPr>
      <w:r>
        <w:rPr>
          <w:b/>
        </w:rPr>
        <w:t>HEALTHCARE: -0.2%</w:t>
      </w:r>
      <w:r>
        <w:t xml:space="preserve"> — best of the defensive lot</w:t>
      </w:r>
    </w:p>
    <w:p>
      <w:r>
        <w:rPr>
          <w:b/>
        </w:rPr>
        <w:t>BOTTOM 3:</w:t>
      </w:r>
    </w:p>
    <w:p>
      <w:pPr>
        <w:pStyle w:val="ListBullet"/>
      </w:pPr>
      <w:r>
        <w:rPr>
          <w:b/>
        </w:rPr>
        <w:t>REALTY: -8.9%</w:t>
      </w:r>
      <w:r>
        <w:t xml:space="preserve"> — rate-sensitive, rupee-hit</w:t>
      </w:r>
    </w:p>
    <w:p>
      <w:pPr>
        <w:pStyle w:val="ListBullet"/>
      </w:pPr>
      <w:r>
        <w:rPr>
          <w:b/>
        </w:rPr>
        <w:t>TRADING: -7.1%</w:t>
      </w:r>
    </w:p>
    <w:p>
      <w:pPr>
        <w:pStyle w:val="ListBullet"/>
      </w:pPr>
      <w:r>
        <w:rPr>
          <w:b/>
        </w:rPr>
        <w:t>DEFENCE: -6.6%</w:t>
      </w:r>
      <w:r>
        <w:t xml:space="preserve"> — HAL fell -4.8% on weak earnings (more in Section 4)</w:t>
      </w:r>
    </w:p>
    <w:p>
      <w:r>
        <w:t xml:space="preserve">The standout story is the </w:t>
      </w:r>
      <w:r>
        <w:rPr>
          <w:b/>
        </w:rPr>
        <w:t>ETF sector flipping from Improving → Leading</w:t>
      </w:r>
      <w:r>
        <w:t xml:space="preserve"> with an RS Rank delta of </w:t>
      </w:r>
      <w:r>
        <w:rPr>
          <w:b/>
        </w:rPr>
        <w:t>+11.3</w:t>
      </w:r>
      <w:r>
        <w:t xml:space="preserve"> (Relative Strength rank — where each sector ranks vs all others on momentum; lower number = stronger). And here's the </w:t>
      </w:r>
      <w:r>
        <w:rPr>
          <w:b/>
        </w:rPr>
        <w:t>divergence tell</w:t>
      </w:r>
      <w:r>
        <w:t xml:space="preserve">: global gold </w:t>
      </w:r>
      <w:r>
        <w:rPr>
          <w:i/>
        </w:rPr>
        <w:t>fell</w:t>
      </w:r>
      <w:r>
        <w:t xml:space="preserve"> 1.5% in USD this week, yet </w:t>
      </w:r>
      <w:r>
        <w:rPr>
          <w:b/>
        </w:rPr>
        <w:t>GOLDBEES rallied hard enough to be the #1 rank surger on Friday</w:t>
      </w:r>
      <w:r>
        <w:t xml:space="preserve">. That's not a safe-haven flow story — it's the </w:t>
      </w:r>
      <w:r>
        <w:rPr>
          <w:b/>
        </w:rPr>
        <w:t>gold/silver import duty hike</w:t>
      </w:r>
      <w:r>
        <w:t xml:space="preserve"> mechanically lifting the rupee landed price. Same logic for SILVERBEES (#8 rank surger). Name it directly: this is a policy-driven repricing, not investor enthusiasm.</w:t>
      </w:r>
    </w:p>
    <w:p>
      <w:r>
        <w:t xml:space="preserve">Meanwhile, </w:t>
      </w:r>
      <w:r>
        <w:rPr>
          <w:b/>
        </w:rPr>
        <w:t>15 sectors flipped out of Leading this week</w:t>
      </w:r>
      <w:r>
        <w:t xml:space="preserve"> — Banking, Financial Services, Energy, Infrastructure, Industrial, FMCG, Realty, Telecom and more all rotated to Weakening or Lagging. The one positive flip: </w:t>
      </w:r>
      <w:r>
        <w:rPr>
          <w:b/>
        </w:rPr>
        <w:t>IT moved Lagging → Improving</w:t>
      </w:r>
      <w:r>
        <w:t xml:space="preserve"> (RS delta -1.4 but momentum delta +0.14) — interesting given IT was still down 6.3% on the week. Worth watching whether that's a real turn or just oversold mean reversion.</w:t>
      </w:r>
    </w:p>
    <w:p>
      <w:pPr>
        <w:pStyle w:val="Heading2"/>
      </w:pPr>
      <w:r>
        <w:t>4. Earnings Pulse — Mar 2026 Season</w:t>
      </w:r>
    </w:p>
    <w:p>
      <w:r>
        <w:t xml:space="preserve">This is a </w:t>
      </w:r>
      <w:r>
        <w:rPr>
          <w:b/>
        </w:rPr>
        <w:t>Mar 2026 quarter</w:t>
      </w:r>
      <w:r>
        <w:t xml:space="preserve"> read. </w:t>
      </w:r>
      <w:r>
        <w:rPr>
          <w:b/>
        </w:rPr>
        <w:t>330 stocks reported</w:t>
      </w:r>
      <w:r>
        <w:t>; 212 still pending — keep that incompleteness in mind.</w:t>
      </w:r>
    </w:p>
    <w:p>
      <w:r>
        <w:rPr>
          <w:b/>
        </w:rPr>
        <w:t>(a) Sector aggregate.</w:t>
      </w:r>
      <w:r>
        <w:t xml:space="preserve"> Logistics is the clear winner at </w:t>
      </w:r>
      <w:r>
        <w:rPr>
          <w:b/>
        </w:rPr>
        <w:t>+118.9% median EPS YoY</w:t>
      </w:r>
      <w:r>
        <w:t xml:space="preserve"> (small sample of 5). Metals (+46.5%, 16 stocks) and Consumer Durables (+27.6%, 14 stocks) are broadly strong. The weak end: </w:t>
      </w:r>
      <w:r>
        <w:rPr>
          <w:b/>
        </w:rPr>
        <w:t>Telecom +0.9%, Defence +5.5%, Banking +9.9%</w:t>
      </w:r>
      <w:r>
        <w:t xml:space="preserve"> — Banking median underperformance lines up with the sector's Leading → Lagging flip.</w:t>
      </w:r>
    </w:p>
    <w:p>
      <w:r>
        <w:rPr>
          <w:b/>
        </w:rPr>
        <w:t>(b) Top-of-the-list extremes.</w:t>
      </w:r>
      <w:r>
        <w:t xml:space="preserve"> JSWSTEEL printed </w:t>
      </w:r>
      <w:r>
        <w:rPr>
          <w:b/>
        </w:rPr>
        <w:t>+988% EPS YoY</w:t>
      </w:r>
      <w:r>
        <w:t xml:space="preserve"> (low-base distortion — the stock barely moved, +0.1% over 5 days, so the market knew). Biggest miss: SHOPERSTOP at </w:t>
      </w:r>
      <w:r>
        <w:rPr>
          <w:b/>
        </w:rPr>
        <w:t>-922%</w:t>
      </w:r>
      <w:r>
        <w:t xml:space="preserve"> — colour, not signal.</w:t>
      </w:r>
    </w:p>
    <w:p>
      <w:r>
        <w:rPr>
          <w:b/>
        </w:rPr>
        <w:t>(c) Bellwether large-caps — where the real signal lives.</w:t>
      </w:r>
    </w:p>
    <w:p>
      <w:pPr>
        <w:pStyle w:val="ListBullet"/>
      </w:pPr>
      <w:r>
        <w:rPr>
          <w:b/>
        </w:rPr>
        <w:t>Reliance: -13% EPS, +12.5% Rev, -6.9% over 5 days.</w:t>
      </w:r>
      <w:r>
        <w:t xml:space="preserve"> The headline-cap stock fell hard on a soft earnings print, confirming the conglomerate is dragging the index. With Reliance at ₹18.1 lakh crore market cap, a -6.9% week mechanically explains a chunk of the Nifty's 2.1% drop.</w:t>
      </w:r>
    </w:p>
    <w:p>
      <w:pPr>
        <w:pStyle w:val="ListBullet"/>
      </w:pPr>
      <w:r>
        <w:rPr>
          <w:b/>
        </w:rPr>
        <w:t>SBIN: -3% EPS, -5.5% over 5 days.</w:t>
      </w:r>
      <w:r>
        <w:t xml:space="preserve"> PSU bank weakness telegraphed by the country's largest. Combined with RBI cancelling 150 NBFC registrations this week, the </w:t>
      </w:r>
      <w:r>
        <w:rPr>
          <w:b/>
        </w:rPr>
        <w:t>read-through to financial-services breadth is negative</w:t>
      </w:r>
      <w:r>
        <w:t xml:space="preserve"> — likely why Banking flipped Leading → Lagging.</w:t>
      </w:r>
    </w:p>
    <w:p>
      <w:pPr>
        <w:pStyle w:val="ListBullet"/>
      </w:pPr>
      <w:r>
        <w:rPr>
          <w:b/>
        </w:rPr>
        <w:t>Titan: +35% EPS, +80.5% Rev, but -7.5% over 5 days.</w:t>
      </w:r>
      <w:r>
        <w:t xml:space="preserve"> This is the most interesting tape of the week — a textbook </w:t>
      </w:r>
      <w:r>
        <w:rPr>
          <w:b/>
        </w:rPr>
        <w:t>gold duty hike collateral hit</w:t>
      </w:r>
      <w:r>
        <w:t>. Strong print, but the market priced in the demand destruction from the 6% → 15% duty hike on jewellery inputs. The move suggests forward earnings will compress; we'd want the management commentary to confirm.</w:t>
      </w:r>
    </w:p>
    <w:p>
      <w:pPr>
        <w:pStyle w:val="ListBullet"/>
      </w:pPr>
      <w:r>
        <w:rPr>
          <w:b/>
        </w:rPr>
        <w:t>HAL: +6% EPS, +1.8% Rev, -8.4% over 5 days.</w:t>
      </w:r>
      <w:r>
        <w:t xml:space="preserve"> Tiny growth on a richly-priced defence name. Sector read-through: Defence flipped Leading → Weakening, down 6.6% on the week. This is what an air-coming-out-of-the-balloon week looks like.</w:t>
      </w:r>
    </w:p>
    <w:p>
      <w:pPr>
        <w:pStyle w:val="ListBullet"/>
      </w:pPr>
      <w:r>
        <w:rPr>
          <w:b/>
        </w:rPr>
        <w:t>Bharti Airtel: -38% EPS but +3.9% over 5 days.</w:t>
      </w:r>
      <w:r>
        <w:t xml:space="preserve"> The market shrugged off a weak print because Telecom became the second-best sector. Tata Communications also surged. </w:t>
      </w:r>
      <w:r>
        <w:rPr>
          <w:b/>
        </w:rPr>
        <w:t>The disconnect between Airtel's EPS and price is worth a flag</w:t>
      </w:r>
      <w:r>
        <w:t xml:space="preserve"> — possibly tariff-hike expectations or rotation flows into defensives.</w:t>
      </w:r>
    </w:p>
    <w:p>
      <w:pPr>
        <w:pStyle w:val="ListBullet"/>
      </w:pPr>
      <w:r>
        <w:rPr>
          <w:b/>
        </w:rPr>
        <w:t>Bajaj-Auto: +103% EPS, +41% Rev, -3.1% over 5 days.</w:t>
      </w:r>
      <w:r>
        <w:t xml:space="preserve"> Stellar print, but the stock sold off with the broader auto complex (M&amp;M -6.2% on +42% EPS too). The pattern: </w:t>
      </w:r>
      <w:r>
        <w:rPr>
          <w:b/>
        </w:rPr>
        <w:t>the market is pricing forward — austerity messaging hurts discretionary, regardless of trailing quarter strength.</w:t>
      </w:r>
    </w:p>
    <w:p>
      <w:pPr>
        <w:pStyle w:val="Heading2"/>
      </w:pPr>
      <w:r>
        <w:t>5. Technical Signals This Week</w:t>
      </w:r>
    </w:p>
    <w:p>
      <w:r>
        <w:t xml:space="preserve">Total unique stocks across all indicators: </w:t>
      </w:r>
      <w:r>
        <w:rPr>
          <w:b/>
        </w:rPr>
        <w:t>112</w:t>
      </w:r>
      <w:r>
        <w:t xml:space="preserve">. The mix is </w:t>
      </w:r>
      <w:r>
        <w:rPr>
          <w:i/>
        </w:rPr>
        <w:t>rotating</w:t>
      </w:r>
      <w:r>
        <w:t>, not expanding.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Indicator</w:t>
            </w:r>
          </w:p>
        </w:tc>
        <w:tc>
          <w:tcPr>
            <w:tcW w:type="dxa" w:w="1728"/>
          </w:tcPr>
          <w:p>
            <w:r/>
            <w:r>
              <w:rPr>
                <w:b/>
                <w:sz w:val="20"/>
              </w:rPr>
              <w:t>This Wk</w:t>
            </w:r>
          </w:p>
        </w:tc>
        <w:tc>
          <w:tcPr>
            <w:tcW w:type="dxa" w:w="1728"/>
          </w:tcPr>
          <w:p>
            <w:r/>
            <w:r>
              <w:rPr>
                <w:b/>
                <w:sz w:val="20"/>
              </w:rPr>
              <w:t>Prior</w:t>
            </w:r>
          </w:p>
        </w:tc>
        <w:tc>
          <w:tcPr>
            <w:tcW w:type="dxa" w:w="1728"/>
          </w:tcPr>
          <w:p>
            <w:r/>
            <w:r>
              <w:rPr>
                <w:b/>
                <w:sz w:val="20"/>
              </w:rPr>
              <w:t>Δ</w:t>
            </w:r>
          </w:p>
        </w:tc>
        <w:tc>
          <w:tcPr>
            <w:tcW w:type="dxa" w:w="1728"/>
          </w:tcPr>
          <w:p>
            <w:r/>
            <w:r>
              <w:rPr>
                <w:b/>
                <w:sz w:val="20"/>
              </w:rPr>
              <w:t>Plain English</w:t>
            </w:r>
          </w:p>
        </w:tc>
      </w:tr>
      <w:tr>
        <w:tc>
          <w:tcPr>
            <w:tcW w:type="dxa" w:w="1728"/>
          </w:tcPr>
          <w:p>
            <w:r>
              <w:rPr>
                <w:sz w:val="20"/>
              </w:rPr>
            </w:r>
            <w:r>
              <w:rPr>
                <w:b/>
                <w:sz w:val="20"/>
              </w:rPr>
              <w:t>Blue Zone Buy</w:t>
            </w:r>
          </w:p>
        </w:tc>
        <w:tc>
          <w:tcPr>
            <w:tcW w:type="dxa" w:w="1728"/>
          </w:tcPr>
          <w:p>
            <w:r>
              <w:rPr>
                <w:sz w:val="20"/>
              </w:rPr>
            </w:r>
            <w:r>
              <w:rPr>
                <w:sz w:val="20"/>
              </w:rPr>
              <w:t>64</w:t>
            </w:r>
          </w:p>
        </w:tc>
        <w:tc>
          <w:tcPr>
            <w:tcW w:type="dxa" w:w="1728"/>
          </w:tcPr>
          <w:p>
            <w:r>
              <w:rPr>
                <w:sz w:val="20"/>
              </w:rPr>
            </w:r>
            <w:r>
              <w:rPr>
                <w:sz w:val="20"/>
              </w:rPr>
              <w:t>61</w:t>
            </w:r>
          </w:p>
        </w:tc>
        <w:tc>
          <w:tcPr>
            <w:tcW w:type="dxa" w:w="1728"/>
          </w:tcPr>
          <w:p>
            <w:r>
              <w:rPr>
                <w:sz w:val="20"/>
              </w:rPr>
            </w:r>
            <w:r>
              <w:rPr>
                <w:sz w:val="20"/>
              </w:rPr>
              <w:t>+3</w:t>
            </w:r>
          </w:p>
        </w:tc>
        <w:tc>
          <w:tcPr>
            <w:tcW w:type="dxa" w:w="1728"/>
          </w:tcPr>
          <w:p>
            <w:r>
              <w:rPr>
                <w:sz w:val="20"/>
              </w:rPr>
            </w:r>
            <w:r>
              <w:rPr>
                <w:sz w:val="20"/>
              </w:rPr>
              <w:t>The dashboard's institutional-accumulation watchlist (RSI EMA above thresholds + close above EMA20 + within 10% of 52W high)</w:t>
            </w:r>
          </w:p>
        </w:tc>
      </w:tr>
      <w:tr>
        <w:tc>
          <w:tcPr>
            <w:tcW w:type="dxa" w:w="1728"/>
          </w:tcPr>
          <w:p>
            <w:r>
              <w:rPr>
                <w:sz w:val="20"/>
              </w:rPr>
            </w:r>
            <w:r>
              <w:rPr>
                <w:b/>
                <w:sz w:val="20"/>
              </w:rPr>
              <w:t>MACD Buy</w:t>
            </w:r>
          </w:p>
        </w:tc>
        <w:tc>
          <w:tcPr>
            <w:tcW w:type="dxa" w:w="1728"/>
          </w:tcPr>
          <w:p>
            <w:r>
              <w:rPr>
                <w:sz w:val="20"/>
              </w:rPr>
            </w:r>
            <w:r>
              <w:rPr>
                <w:sz w:val="20"/>
              </w:rPr>
              <w:t>21</w:t>
            </w:r>
          </w:p>
        </w:tc>
        <w:tc>
          <w:tcPr>
            <w:tcW w:type="dxa" w:w="1728"/>
          </w:tcPr>
          <w:p>
            <w:r>
              <w:rPr>
                <w:sz w:val="20"/>
              </w:rPr>
            </w:r>
            <w:r>
              <w:rPr>
                <w:sz w:val="20"/>
              </w:rPr>
              <w:t>5</w:t>
            </w:r>
          </w:p>
        </w:tc>
        <w:tc>
          <w:tcPr>
            <w:tcW w:type="dxa" w:w="1728"/>
          </w:tcPr>
          <w:p>
            <w:r>
              <w:rPr>
                <w:sz w:val="20"/>
              </w:rPr>
            </w:r>
            <w:r>
              <w:rPr>
                <w:b/>
                <w:sz w:val="20"/>
              </w:rPr>
              <w:t>+16</w:t>
            </w:r>
          </w:p>
        </w:tc>
        <w:tc>
          <w:tcPr>
            <w:tcW w:type="dxa" w:w="1728"/>
          </w:tcPr>
          <w:p>
            <w:r>
              <w:rPr>
                <w:sz w:val="20"/>
              </w:rPr>
            </w:r>
            <w:r>
              <w:rPr>
                <w:sz w:val="20"/>
              </w:rPr>
              <w:t>Momentum oscillator turning positive — trend-change signal</w:t>
            </w:r>
          </w:p>
        </w:tc>
      </w:tr>
      <w:tr>
        <w:tc>
          <w:tcPr>
            <w:tcW w:type="dxa" w:w="1728"/>
          </w:tcPr>
          <w:p>
            <w:r>
              <w:rPr>
                <w:sz w:val="20"/>
              </w:rPr>
            </w:r>
            <w:r>
              <w:rPr>
                <w:b/>
                <w:sz w:val="20"/>
              </w:rPr>
              <w:t>Narrow CPR</w:t>
            </w:r>
          </w:p>
        </w:tc>
        <w:tc>
          <w:tcPr>
            <w:tcW w:type="dxa" w:w="1728"/>
          </w:tcPr>
          <w:p>
            <w:r>
              <w:rPr>
                <w:sz w:val="20"/>
              </w:rPr>
            </w:r>
            <w:r>
              <w:rPr>
                <w:sz w:val="20"/>
              </w:rPr>
              <w:t>23</w:t>
            </w:r>
          </w:p>
        </w:tc>
        <w:tc>
          <w:tcPr>
            <w:tcW w:type="dxa" w:w="1728"/>
          </w:tcPr>
          <w:p>
            <w:r>
              <w:rPr>
                <w:sz w:val="20"/>
              </w:rPr>
            </w:r>
            <w:r>
              <w:rPr>
                <w:sz w:val="20"/>
              </w:rPr>
              <w:t>25</w:t>
            </w:r>
          </w:p>
        </w:tc>
        <w:tc>
          <w:tcPr>
            <w:tcW w:type="dxa" w:w="1728"/>
          </w:tcPr>
          <w:p>
            <w:r>
              <w:rPr>
                <w:sz w:val="20"/>
              </w:rPr>
            </w:r>
            <w:r>
              <w:rPr>
                <w:sz w:val="20"/>
              </w:rPr>
              <w:t>-2</w:t>
            </w:r>
          </w:p>
        </w:tc>
        <w:tc>
          <w:tcPr>
            <w:tcW w:type="dxa" w:w="1728"/>
          </w:tcPr>
          <w:p>
            <w:r>
              <w:rPr>
                <w:sz w:val="20"/>
              </w:rPr>
            </w:r>
            <w:r>
              <w:rPr>
                <w:sz w:val="20"/>
              </w:rPr>
              <w:t>Central Pivot Range setup — tight range, often a breakout precursor</w:t>
            </w:r>
          </w:p>
        </w:tc>
      </w:tr>
      <w:tr>
        <w:tc>
          <w:tcPr>
            <w:tcW w:type="dxa" w:w="1728"/>
          </w:tcPr>
          <w:p>
            <w:r>
              <w:rPr>
                <w:sz w:val="20"/>
              </w:rPr>
            </w:r>
            <w:r>
              <w:rPr>
                <w:b/>
                <w:sz w:val="20"/>
              </w:rPr>
              <w:t>MACD Strong</w:t>
            </w:r>
          </w:p>
        </w:tc>
        <w:tc>
          <w:tcPr>
            <w:tcW w:type="dxa" w:w="1728"/>
          </w:tcPr>
          <w:p>
            <w:r>
              <w:rPr>
                <w:sz w:val="20"/>
              </w:rPr>
            </w:r>
            <w:r>
              <w:rPr>
                <w:sz w:val="20"/>
              </w:rPr>
              <w:t>14</w:t>
            </w:r>
          </w:p>
        </w:tc>
        <w:tc>
          <w:tcPr>
            <w:tcW w:type="dxa" w:w="1728"/>
          </w:tcPr>
          <w:p>
            <w:r>
              <w:rPr>
                <w:sz w:val="20"/>
              </w:rPr>
            </w:r>
            <w:r>
              <w:rPr>
                <w:sz w:val="20"/>
              </w:rPr>
              <w:t>8</w:t>
            </w:r>
          </w:p>
        </w:tc>
        <w:tc>
          <w:tcPr>
            <w:tcW w:type="dxa" w:w="1728"/>
          </w:tcPr>
          <w:p>
            <w:r>
              <w:rPr>
                <w:sz w:val="20"/>
              </w:rPr>
            </w:r>
            <w:r>
              <w:rPr>
                <w:sz w:val="20"/>
              </w:rPr>
              <w:t>+6</w:t>
            </w:r>
          </w:p>
        </w:tc>
        <w:tc>
          <w:tcPr>
            <w:tcW w:type="dxa" w:w="1728"/>
          </w:tcPr>
          <w:p>
            <w:r>
              <w:rPr>
                <w:sz w:val="20"/>
              </w:rPr>
            </w:r>
            <w:r>
              <w:rPr>
                <w:sz w:val="20"/>
              </w:rPr>
              <w:t>Stronger MACD confirmation</w:t>
            </w:r>
          </w:p>
        </w:tc>
      </w:tr>
      <w:tr>
        <w:tc>
          <w:tcPr>
            <w:tcW w:type="dxa" w:w="1728"/>
          </w:tcPr>
          <w:p>
            <w:r>
              <w:rPr>
                <w:sz w:val="20"/>
              </w:rPr>
            </w:r>
            <w:r>
              <w:rPr>
                <w:b/>
                <w:sz w:val="20"/>
              </w:rPr>
              <w:t>VCP Buy</w:t>
            </w:r>
          </w:p>
        </w:tc>
        <w:tc>
          <w:tcPr>
            <w:tcW w:type="dxa" w:w="1728"/>
          </w:tcPr>
          <w:p>
            <w:r>
              <w:rPr>
                <w:sz w:val="20"/>
              </w:rPr>
            </w:r>
            <w:r>
              <w:rPr>
                <w:sz w:val="20"/>
              </w:rPr>
              <w:t>10</w:t>
            </w:r>
          </w:p>
        </w:tc>
        <w:tc>
          <w:tcPr>
            <w:tcW w:type="dxa" w:w="1728"/>
          </w:tcPr>
          <w:p>
            <w:r>
              <w:rPr>
                <w:sz w:val="20"/>
              </w:rPr>
            </w:r>
            <w:r>
              <w:rPr>
                <w:sz w:val="20"/>
              </w:rPr>
              <w:t>7</w:t>
            </w:r>
          </w:p>
        </w:tc>
        <w:tc>
          <w:tcPr>
            <w:tcW w:type="dxa" w:w="1728"/>
          </w:tcPr>
          <w:p>
            <w:r>
              <w:rPr>
                <w:sz w:val="20"/>
              </w:rPr>
            </w:r>
            <w:r>
              <w:rPr>
                <w:sz w:val="20"/>
              </w:rPr>
              <w:t>+3</w:t>
            </w:r>
          </w:p>
        </w:tc>
        <w:tc>
          <w:tcPr>
            <w:tcW w:type="dxa" w:w="1728"/>
          </w:tcPr>
          <w:p>
            <w:r>
              <w:rPr>
                <w:sz w:val="20"/>
              </w:rPr>
            </w:r>
            <w:r>
              <w:rPr>
                <w:sz w:val="20"/>
              </w:rPr>
              <w:t>Volatility Contraction Pattern — tightening price range before a breakout</w:t>
            </w:r>
          </w:p>
        </w:tc>
      </w:tr>
      <w:tr>
        <w:tc>
          <w:tcPr>
            <w:tcW w:type="dxa" w:w="1728"/>
          </w:tcPr>
          <w:p>
            <w:r>
              <w:rPr>
                <w:sz w:val="20"/>
              </w:rPr>
            </w:r>
            <w:r>
              <w:rPr>
                <w:b/>
                <w:sz w:val="20"/>
              </w:rPr>
              <w:t>Golden Cross Buy</w:t>
            </w:r>
          </w:p>
        </w:tc>
        <w:tc>
          <w:tcPr>
            <w:tcW w:type="dxa" w:w="1728"/>
          </w:tcPr>
          <w:p>
            <w:r>
              <w:rPr>
                <w:sz w:val="20"/>
              </w:rPr>
            </w:r>
            <w:r>
              <w:rPr>
                <w:sz w:val="20"/>
              </w:rPr>
              <w:t>10</w:t>
            </w:r>
          </w:p>
        </w:tc>
        <w:tc>
          <w:tcPr>
            <w:tcW w:type="dxa" w:w="1728"/>
          </w:tcPr>
          <w:p>
            <w:r>
              <w:rPr>
                <w:sz w:val="20"/>
              </w:rPr>
            </w:r>
            <w:r>
              <w:rPr>
                <w:sz w:val="20"/>
              </w:rPr>
              <w:t>14</w:t>
            </w:r>
          </w:p>
        </w:tc>
        <w:tc>
          <w:tcPr>
            <w:tcW w:type="dxa" w:w="1728"/>
          </w:tcPr>
          <w:p>
            <w:r>
              <w:rPr>
                <w:sz w:val="20"/>
              </w:rPr>
            </w:r>
            <w:r>
              <w:rPr>
                <w:sz w:val="20"/>
              </w:rPr>
              <w:t>-4</w:t>
            </w:r>
          </w:p>
        </w:tc>
        <w:tc>
          <w:tcPr>
            <w:tcW w:type="dxa" w:w="1728"/>
          </w:tcPr>
          <w:p>
            <w:r>
              <w:rPr>
                <w:sz w:val="20"/>
              </w:rPr>
            </w:r>
            <w:r>
              <w:rPr>
                <w:sz w:val="20"/>
              </w:rPr>
              <w:t>20-day EMA crossing above 50-day EMA</w:t>
            </w:r>
          </w:p>
        </w:tc>
      </w:tr>
      <w:tr>
        <w:tc>
          <w:tcPr>
            <w:tcW w:type="dxa" w:w="1728"/>
          </w:tcPr>
          <w:p>
            <w:r>
              <w:rPr>
                <w:sz w:val="20"/>
              </w:rPr>
            </w:r>
            <w:r>
              <w:rPr>
                <w:b/>
                <w:sz w:val="20"/>
              </w:rPr>
              <w:t>Blue Zone Strong</w:t>
            </w:r>
          </w:p>
        </w:tc>
        <w:tc>
          <w:tcPr>
            <w:tcW w:type="dxa" w:w="1728"/>
          </w:tcPr>
          <w:p>
            <w:r>
              <w:rPr>
                <w:sz w:val="20"/>
              </w:rPr>
            </w:r>
            <w:r>
              <w:rPr>
                <w:sz w:val="20"/>
              </w:rPr>
              <w:t>5</w:t>
            </w:r>
          </w:p>
        </w:tc>
        <w:tc>
          <w:tcPr>
            <w:tcW w:type="dxa" w:w="1728"/>
          </w:tcPr>
          <w:p>
            <w:r>
              <w:rPr>
                <w:sz w:val="20"/>
              </w:rPr>
            </w:r>
            <w:r>
              <w:rPr>
                <w:sz w:val="20"/>
              </w:rPr>
              <w:t>7</w:t>
            </w:r>
          </w:p>
        </w:tc>
        <w:tc>
          <w:tcPr>
            <w:tcW w:type="dxa" w:w="1728"/>
          </w:tcPr>
          <w:p>
            <w:r>
              <w:rPr>
                <w:sz w:val="20"/>
              </w:rPr>
            </w:r>
            <w:r>
              <w:rPr>
                <w:sz w:val="20"/>
              </w:rPr>
              <w:t>-2</w:t>
            </w:r>
          </w:p>
        </w:tc>
        <w:tc>
          <w:tcPr>
            <w:tcW w:type="dxa" w:w="1728"/>
          </w:tcPr>
          <w:p>
            <w:r>
              <w:rPr>
                <w:sz w:val="20"/>
              </w:rPr>
            </w:r>
            <w:r>
              <w:rPr>
                <w:sz w:val="20"/>
              </w:rPr>
              <w:t>Higher-conviction Blue Zone variant</w:t>
            </w:r>
          </w:p>
        </w:tc>
      </w:tr>
      <w:tr>
        <w:tc>
          <w:tcPr>
            <w:tcW w:type="dxa" w:w="1728"/>
          </w:tcPr>
          <w:p>
            <w:r>
              <w:rPr>
                <w:sz w:val="20"/>
              </w:rPr>
            </w:r>
            <w:r>
              <w:rPr>
                <w:b/>
                <w:sz w:val="20"/>
              </w:rPr>
              <w:t>Bull Flag Buy</w:t>
            </w:r>
          </w:p>
        </w:tc>
        <w:tc>
          <w:tcPr>
            <w:tcW w:type="dxa" w:w="1728"/>
          </w:tcPr>
          <w:p>
            <w:r>
              <w:rPr>
                <w:sz w:val="20"/>
              </w:rPr>
            </w:r>
            <w:r>
              <w:rPr>
                <w:sz w:val="20"/>
              </w:rPr>
              <w:t>3</w:t>
            </w:r>
          </w:p>
        </w:tc>
        <w:tc>
          <w:tcPr>
            <w:tcW w:type="dxa" w:w="1728"/>
          </w:tcPr>
          <w:p>
            <w:r>
              <w:rPr>
                <w:sz w:val="20"/>
              </w:rPr>
            </w:r>
            <w:r>
              <w:rPr>
                <w:sz w:val="20"/>
              </w:rPr>
              <w:t>2</w:t>
            </w:r>
          </w:p>
        </w:tc>
        <w:tc>
          <w:tcPr>
            <w:tcW w:type="dxa" w:w="1728"/>
          </w:tcPr>
          <w:p>
            <w:r>
              <w:rPr>
                <w:sz w:val="20"/>
              </w:rPr>
            </w:r>
            <w:r>
              <w:rPr>
                <w:sz w:val="20"/>
              </w:rPr>
              <w:t>+1</w:t>
            </w:r>
          </w:p>
        </w:tc>
        <w:tc>
          <w:tcPr>
            <w:tcW w:type="dxa" w:w="1728"/>
          </w:tcPr>
          <w:p>
            <w:r>
              <w:rPr>
                <w:sz w:val="20"/>
              </w:rPr>
            </w:r>
            <w:r>
              <w:rPr>
                <w:sz w:val="20"/>
              </w:rPr>
              <w:t>Sharp rally → orderly consolidation → breakout above range</w:t>
            </w:r>
          </w:p>
        </w:tc>
      </w:tr>
      <w:tr>
        <w:tc>
          <w:tcPr>
            <w:tcW w:type="dxa" w:w="1728"/>
          </w:tcPr>
          <w:p>
            <w:r>
              <w:rPr>
                <w:sz w:val="20"/>
              </w:rPr>
            </w:r>
            <w:r>
              <w:rPr>
                <w:b/>
                <w:sz w:val="20"/>
              </w:rPr>
              <w:t>Pullback Bounce</w:t>
            </w:r>
          </w:p>
        </w:tc>
        <w:tc>
          <w:tcPr>
            <w:tcW w:type="dxa" w:w="1728"/>
          </w:tcPr>
          <w:p>
            <w:r>
              <w:rPr>
                <w:sz w:val="20"/>
              </w:rPr>
            </w:r>
            <w:r>
              <w:rPr>
                <w:sz w:val="20"/>
              </w:rPr>
              <w:t>3</w:t>
            </w:r>
          </w:p>
        </w:tc>
        <w:tc>
          <w:tcPr>
            <w:tcW w:type="dxa" w:w="1728"/>
          </w:tcPr>
          <w:p>
            <w:r>
              <w:rPr>
                <w:sz w:val="20"/>
              </w:rPr>
            </w:r>
            <w:r>
              <w:rPr>
                <w:sz w:val="20"/>
              </w:rPr>
              <w:t>1</w:t>
            </w:r>
          </w:p>
        </w:tc>
        <w:tc>
          <w:tcPr>
            <w:tcW w:type="dxa" w:w="1728"/>
          </w:tcPr>
          <w:p>
            <w:r>
              <w:rPr>
                <w:sz w:val="20"/>
              </w:rPr>
            </w:r>
            <w:r>
              <w:rPr>
                <w:sz w:val="20"/>
              </w:rPr>
              <w:t>+2</w:t>
            </w:r>
          </w:p>
        </w:tc>
        <w:tc>
          <w:tcPr>
            <w:tcW w:type="dxa" w:w="1728"/>
          </w:tcPr>
          <w:p>
            <w:r>
              <w:rPr>
                <w:sz w:val="20"/>
              </w:rPr>
            </w:r>
            <w:r>
              <w:rPr>
                <w:sz w:val="20"/>
              </w:rPr>
              <w:t>Strong-trend stocks dipping to EMA20 and recovering</w:t>
            </w:r>
          </w:p>
        </w:tc>
      </w:tr>
      <w:tr>
        <w:tc>
          <w:tcPr>
            <w:tcW w:type="dxa" w:w="1728"/>
          </w:tcPr>
          <w:p>
            <w:r>
              <w:rPr>
                <w:sz w:val="20"/>
              </w:rPr>
            </w:r>
            <w:r>
              <w:rPr>
                <w:b/>
                <w:sz w:val="20"/>
              </w:rPr>
              <w:t>Darvas Box</w:t>
            </w:r>
          </w:p>
        </w:tc>
        <w:tc>
          <w:tcPr>
            <w:tcW w:type="dxa" w:w="1728"/>
          </w:tcPr>
          <w:p>
            <w:r>
              <w:rPr>
                <w:sz w:val="20"/>
              </w:rPr>
            </w:r>
            <w:r>
              <w:rPr>
                <w:sz w:val="20"/>
              </w:rPr>
              <w:t>1</w:t>
            </w:r>
          </w:p>
        </w:tc>
        <w:tc>
          <w:tcPr>
            <w:tcW w:type="dxa" w:w="1728"/>
          </w:tcPr>
          <w:p>
            <w:r>
              <w:rPr>
                <w:sz w:val="20"/>
              </w:rPr>
            </w:r>
            <w:r>
              <w:rPr>
                <w:sz w:val="20"/>
              </w:rPr>
              <w:t>0</w:t>
            </w:r>
          </w:p>
        </w:tc>
        <w:tc>
          <w:tcPr>
            <w:tcW w:type="dxa" w:w="1728"/>
          </w:tcPr>
          <w:p>
            <w:r>
              <w:rPr>
                <w:sz w:val="20"/>
              </w:rPr>
            </w:r>
            <w:r>
              <w:rPr>
                <w:sz w:val="20"/>
              </w:rPr>
              <w:t>+1</w:t>
            </w:r>
          </w:p>
        </w:tc>
        <w:tc>
          <w:tcPr>
            <w:tcW w:type="dxa" w:w="1728"/>
          </w:tcPr>
          <w:p>
            <w:r>
              <w:rPr>
                <w:sz w:val="20"/>
              </w:rPr>
            </w:r>
            <w:r>
              <w:rPr>
                <w:sz w:val="20"/>
              </w:rPr>
              <w:t>Boxed consolidation breakout</w:t>
            </w:r>
          </w:p>
        </w:tc>
      </w:tr>
    </w:tbl>
    <w:p/>
    <w:p>
      <w:r>
        <w:t xml:space="preserve">The most striking shift is </w:t>
      </w:r>
      <w:r>
        <w:rPr>
          <w:b/>
        </w:rPr>
        <w:t>MACD Buy jumping from 5 to 21 unique stocks (+16)</w:t>
      </w:r>
      <w:r>
        <w:t xml:space="preserve"> — that's a fresh momentum-turn signature in a down week, which usually means stocks setting up </w:t>
      </w:r>
      <w:r>
        <w:rPr>
          <w:i/>
        </w:rPr>
        <w:t>off the lows</w:t>
      </w:r>
      <w:r>
        <w:t xml:space="preserve">. Examples: THERMAX, NUVAMA, NEULANDLAB, CAMS. </w:t>
      </w:r>
      <w:r>
        <w:rPr>
          <w:b/>
        </w:rPr>
        <w:t>Golden Cross Buy contracted</w:t>
      </w:r>
      <w:r>
        <w:t xml:space="preserve"> (14 → 10), suggesting fewer fresh medium-term trend setups. Blue Zone is essentially flat (61 → 64) — the accumulation universe is holding but not expanding.</w:t>
      </w:r>
    </w:p>
    <w:p>
      <w:r>
        <w:rPr>
          <w:b/>
        </w:rPr>
        <w:t>Multi-signal callouts</w:t>
      </w:r>
      <w:r>
        <w:t xml:space="preserve"> (higher-conviction setups firing 2+ indicator types):</w:t>
      </w:r>
    </w:p>
    <w:p>
      <w:pPr>
        <w:pStyle w:val="ListBullet"/>
      </w:pPr>
      <w:r>
        <w:rPr>
          <w:b/>
        </w:rPr>
        <w:t>SAIL (Metals)</w:t>
      </w:r>
      <w:r>
        <w:t xml:space="preserve"> — 6 signals including Blue Zone Buy/Strong, MACD Buy/Strong, Pullback Bounce, VCP Buy. Cleanest cross-indicator confirmation on the board.</w:t>
      </w:r>
    </w:p>
    <w:p>
      <w:pPr>
        <w:pStyle w:val="ListBullet"/>
      </w:pPr>
      <w:r>
        <w:rPr>
          <w:b/>
        </w:rPr>
        <w:t>NAVA (Energy)</w:t>
      </w:r>
      <w:r>
        <w:t xml:space="preserve"> — 4 signals across Blue Zone, Bull Flag, MACD Buy/Strong.</w:t>
      </w:r>
    </w:p>
    <w:p>
      <w:pPr>
        <w:pStyle w:val="ListBullet"/>
      </w:pPr>
      <w:r>
        <w:rPr>
          <w:b/>
        </w:rPr>
        <w:t>NEULANDLAB (Healthcare)</w:t>
      </w:r>
      <w:r>
        <w:t xml:space="preserve"> — MACD Buy + Narrow CPR + Pullback Bounce, and a +665% EPS print to match.</w:t>
      </w:r>
    </w:p>
    <w:p>
      <w:pPr>
        <w:pStyle w:val="ListBullet"/>
      </w:pPr>
      <w:r>
        <w:rPr>
          <w:b/>
        </w:rPr>
        <w:t>PNBHOUSING (Financials)</w:t>
      </w:r>
      <w:r>
        <w:t xml:space="preserve"> — Blue Zone Buy + Bull Flag + VCP. Notable given the broader financial-services weakness.</w:t>
      </w:r>
    </w:p>
    <w:p>
      <w:pPr>
        <w:pStyle w:val="ListBullet"/>
      </w:pPr>
      <w:r>
        <w:rPr>
          <w:b/>
        </w:rPr>
        <w:t>BIOCON (Healthcare)</w:t>
      </w:r>
      <w:r>
        <w:t xml:space="preserve"> — Golden Cross Buy/Strong + Narrow CPR. Sector-aligned.</w:t>
      </w:r>
    </w:p>
    <w:p>
      <w:r>
        <w:t xml:space="preserve">The signal mix is </w:t>
      </w:r>
      <w:r>
        <w:rPr>
          <w:b/>
        </w:rPr>
        <w:t>rotating</w:t>
      </w:r>
      <w:r>
        <w:t xml:space="preserve">: MACD momentum signatures expanded sharply while trend-confirmation signals (Golden Cross, Blue Zone Strong) faded. That's consistent with a </w:t>
      </w:r>
      <w:r>
        <w:rPr>
          <w:b/>
        </w:rPr>
        <w:t>down-week setup phase</w:t>
      </w:r>
      <w:r>
        <w:t xml:space="preserve"> — fresh setups forming after the panic Tuesday, but not yet broad enough to call a turn.</w:t>
      </w:r>
    </w:p>
    <w:p>
      <w:pPr>
        <w:pStyle w:val="Heading2"/>
      </w:pPr>
      <w:r>
        <w:t>6. Notable Stock-Level Action</w:t>
      </w:r>
    </w:p>
    <w:p>
      <w:pPr>
        <w:pStyle w:val="ListBullet"/>
      </w:pPr>
      <w:r>
        <w:rPr>
          <w:b/>
        </w:rPr>
        <w:t>SAREGAMA</w:t>
      </w:r>
      <w:r>
        <w:t xml:space="preserve"> — 42.2x volume ratio AND #3 rank surger. Either a block deal or a content-monetisation catalyst; Media as a sector was -6.5%, so this is idiosyncratic.</w:t>
      </w:r>
    </w:p>
    <w:p>
      <w:pPr>
        <w:pStyle w:val="ListBullet"/>
      </w:pPr>
      <w:r>
        <w:rPr>
          <w:b/>
        </w:rPr>
        <w:t>SFL (Sheela Foam)</w:t>
      </w:r>
      <w:r>
        <w:t xml:space="preserve"> — 41.5x volume on a +597% EPS print. Consumer Durables median was +27.6%; SFL is the outlier the table is built on.</w:t>
      </w:r>
    </w:p>
    <w:p>
      <w:pPr>
        <w:pStyle w:val="ListBullet"/>
      </w:pPr>
      <w:r>
        <w:rPr>
          <w:b/>
        </w:rPr>
        <w:t>GOLDBEES + SILVERBEES</w:t>
      </w:r>
      <w:r>
        <w:t xml:space="preserve"> — both in the top 10 rank surgers. The duty-hike repricing is happening live; flag this as policy-driven, not flow-driven.</w:t>
      </w:r>
    </w:p>
    <w:p>
      <w:pPr>
        <w:pStyle w:val="ListBullet"/>
      </w:pPr>
      <w:r>
        <w:rPr>
          <w:b/>
        </w:rPr>
        <w:t>TATACOMM, MAXHEALTH, ZYDUSLIFE, ABBOTINDIA, IPCALAB</w:t>
      </w:r>
      <w:r>
        <w:t xml:space="preserve"> — five rank surgers from Telecom and Healthcare on the same week. Two sector-cluster events, both classic defensives. Rotation into rate-insensitive, rupee-neutral cash flows.</w:t>
      </w:r>
    </w:p>
    <w:p>
      <w:pPr>
        <w:pStyle w:val="ListBullet"/>
      </w:pPr>
      <w:r>
        <w:rPr>
          <w:b/>
        </w:rPr>
        <w:t>TORNTPOWER, KAYNES, ABREL</w:t>
      </w:r>
      <w:r>
        <w:t xml:space="preserve"> — biggest rank decliners. Energy/Industrial/Realty triple-hit — exactly the sectors the macro is punishing.</w:t>
      </w:r>
    </w:p>
    <w:p>
      <w:pPr>
        <w:pStyle w:val="Heading2"/>
      </w:pPr>
      <w:r>
        <w:t>7. Macro &amp; Global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Metric</w:t>
            </w:r>
          </w:p>
        </w:tc>
        <w:tc>
          <w:tcPr>
            <w:tcW w:type="dxa" w:w="2880"/>
          </w:tcPr>
          <w:p>
            <w:r/>
            <w:r>
              <w:rPr>
                <w:b/>
                <w:sz w:val="20"/>
              </w:rPr>
              <w:t>Level</w:t>
            </w:r>
          </w:p>
        </w:tc>
        <w:tc>
          <w:tcPr>
            <w:tcW w:type="dxa" w:w="2880"/>
          </w:tcPr>
          <w:p>
            <w:r/>
            <w:r>
              <w:rPr>
                <w:b/>
                <w:sz w:val="20"/>
              </w:rPr>
              <w:t>Wk Change</w:t>
            </w:r>
          </w:p>
        </w:tc>
      </w:tr>
      <w:tr>
        <w:tc>
          <w:tcPr>
            <w:tcW w:type="dxa" w:w="2880"/>
          </w:tcPr>
          <w:p>
            <w:r>
              <w:rPr>
                <w:sz w:val="20"/>
              </w:rPr>
            </w:r>
            <w:r>
              <w:rPr>
                <w:sz w:val="20"/>
              </w:rPr>
              <w:t>India VIX</w:t>
            </w:r>
          </w:p>
        </w:tc>
        <w:tc>
          <w:tcPr>
            <w:tcW w:type="dxa" w:w="2880"/>
          </w:tcPr>
          <w:p>
            <w:r>
              <w:rPr>
                <w:sz w:val="20"/>
              </w:rPr>
            </w:r>
            <w:r>
              <w:rPr>
                <w:sz w:val="20"/>
              </w:rPr>
              <w:t>18.61</w:t>
            </w:r>
          </w:p>
        </w:tc>
        <w:tc>
          <w:tcPr>
            <w:tcW w:type="dxa" w:w="2880"/>
          </w:tcPr>
          <w:p>
            <w:r>
              <w:rPr>
                <w:sz w:val="20"/>
              </w:rPr>
            </w:r>
            <w:r>
              <w:rPr>
                <w:b/>
                <w:sz w:val="20"/>
              </w:rPr>
              <w:t>+1.77</w:t>
            </w:r>
          </w:p>
        </w:tc>
      </w:tr>
      <w:tr>
        <w:tc>
          <w:tcPr>
            <w:tcW w:type="dxa" w:w="2880"/>
          </w:tcPr>
          <w:p>
            <w:r>
              <w:rPr>
                <w:sz w:val="20"/>
              </w:rPr>
            </w:r>
            <w:r>
              <w:rPr>
                <w:sz w:val="20"/>
              </w:rPr>
              <w:t>Brent (USD)</w:t>
            </w:r>
          </w:p>
        </w:tc>
        <w:tc>
          <w:tcPr>
            <w:tcW w:type="dxa" w:w="2880"/>
          </w:tcPr>
          <w:p>
            <w:r>
              <w:rPr>
                <w:sz w:val="20"/>
              </w:rPr>
            </w:r>
            <w:r>
              <w:rPr>
                <w:sz w:val="20"/>
              </w:rPr>
              <w:t>106.98</w:t>
            </w:r>
          </w:p>
        </w:tc>
        <w:tc>
          <w:tcPr>
            <w:tcW w:type="dxa" w:w="2880"/>
          </w:tcPr>
          <w:p>
            <w:r>
              <w:rPr>
                <w:sz w:val="20"/>
              </w:rPr>
            </w:r>
            <w:r>
              <w:rPr>
                <w:sz w:val="20"/>
              </w:rPr>
              <w:t>+1.0%</w:t>
            </w:r>
          </w:p>
        </w:tc>
      </w:tr>
      <w:tr>
        <w:tc>
          <w:tcPr>
            <w:tcW w:type="dxa" w:w="2880"/>
          </w:tcPr>
          <w:p>
            <w:r>
              <w:rPr>
                <w:sz w:val="20"/>
              </w:rPr>
            </w:r>
            <w:r>
              <w:rPr>
                <w:sz w:val="20"/>
              </w:rPr>
              <w:t>DXY</w:t>
            </w:r>
          </w:p>
        </w:tc>
        <w:tc>
          <w:tcPr>
            <w:tcW w:type="dxa" w:w="2880"/>
          </w:tcPr>
          <w:p>
            <w:r>
              <w:rPr>
                <w:sz w:val="20"/>
              </w:rPr>
            </w:r>
            <w:r>
              <w:rPr>
                <w:sz w:val="20"/>
              </w:rPr>
              <w:t>99.09</w:t>
            </w:r>
          </w:p>
        </w:tc>
        <w:tc>
          <w:tcPr>
            <w:tcW w:type="dxa" w:w="2880"/>
          </w:tcPr>
          <w:p>
            <w:r>
              <w:rPr>
                <w:sz w:val="20"/>
              </w:rPr>
            </w:r>
            <w:r>
              <w:rPr>
                <w:sz w:val="20"/>
              </w:rPr>
              <w:t>+0.95</w:t>
            </w:r>
          </w:p>
        </w:tc>
      </w:tr>
      <w:tr>
        <w:tc>
          <w:tcPr>
            <w:tcW w:type="dxa" w:w="2880"/>
          </w:tcPr>
          <w:p>
            <w:r>
              <w:rPr>
                <w:sz w:val="20"/>
              </w:rPr>
            </w:r>
            <w:r>
              <w:rPr>
                <w:sz w:val="20"/>
              </w:rPr>
              <w:t>Gold (USD/oz)</w:t>
            </w:r>
          </w:p>
        </w:tc>
        <w:tc>
          <w:tcPr>
            <w:tcW w:type="dxa" w:w="2880"/>
          </w:tcPr>
          <w:p>
            <w:r>
              <w:rPr>
                <w:sz w:val="20"/>
              </w:rPr>
            </w:r>
            <w:r>
              <w:rPr>
                <w:sz w:val="20"/>
              </w:rPr>
              <w:t>4,611</w:t>
            </w:r>
          </w:p>
        </w:tc>
        <w:tc>
          <w:tcPr>
            <w:tcW w:type="dxa" w:w="2880"/>
          </w:tcPr>
          <w:p>
            <w:r>
              <w:rPr>
                <w:sz w:val="20"/>
              </w:rPr>
            </w:r>
            <w:r>
              <w:rPr>
                <w:sz w:val="20"/>
              </w:rPr>
              <w:t>-1.5%</w:t>
            </w:r>
          </w:p>
        </w:tc>
      </w:tr>
      <w:tr>
        <w:tc>
          <w:tcPr>
            <w:tcW w:type="dxa" w:w="2880"/>
          </w:tcPr>
          <w:p>
            <w:r>
              <w:rPr>
                <w:sz w:val="20"/>
              </w:rPr>
            </w:r>
            <w:r>
              <w:rPr>
                <w:sz w:val="20"/>
              </w:rPr>
              <w:t>Silver (USD/oz)</w:t>
            </w:r>
          </w:p>
        </w:tc>
        <w:tc>
          <w:tcPr>
            <w:tcW w:type="dxa" w:w="2880"/>
          </w:tcPr>
          <w:p>
            <w:r>
              <w:rPr>
                <w:sz w:val="20"/>
              </w:rPr>
            </w:r>
            <w:r>
              <w:rPr>
                <w:sz w:val="20"/>
              </w:rPr>
              <w:t>81.51</w:t>
            </w:r>
          </w:p>
        </w:tc>
        <w:tc>
          <w:tcPr>
            <w:tcW w:type="dxa" w:w="2880"/>
          </w:tcPr>
          <w:p>
            <w:r>
              <w:rPr>
                <w:sz w:val="20"/>
              </w:rPr>
            </w:r>
            <w:r>
              <w:rPr>
                <w:sz w:val="20"/>
              </w:rPr>
              <w:t>+0.7%</w:t>
            </w:r>
          </w:p>
        </w:tc>
      </w:tr>
    </w:tbl>
    <w:p/>
    <w:p>
      <w:r>
        <w:t xml:space="preserve">Brent at $107 with West Asia tensions is the running backdrop. Globally, gold actually </w:t>
      </w:r>
      <w:r>
        <w:rPr>
          <w:i/>
        </w:rPr>
        <w:t>fell</w:t>
      </w:r>
      <w:r>
        <w:t xml:space="preserve"> 1.5% in USD — making the Indian gold ETF rally a pure-domestic policy story. DXY firmed; rupee hit record lows.</w:t>
      </w:r>
    </w:p>
    <w:p>
      <w:r>
        <w:rPr>
          <w:b/>
        </w:rPr>
        <w:t>Domestic policy was the main event this week.</w:t>
      </w:r>
      <w:r>
        <w:t xml:space="preserve"> Five distinct catalysts:</w:t>
      </w:r>
    </w:p>
    <w:p>
      <w:pPr>
        <w:pStyle w:val="ListNumber"/>
      </w:pPr>
      <w:r>
        <w:rPr>
          <w:b/>
        </w:rPr>
        <w:t>Gold/silver import duty doubled (6% → 15%, effective May 13)</w:t>
      </w:r>
      <w:r>
        <w:t xml:space="preserve"> — defensive measure to slow imports and ease rupee pressure. Hit Titan; lifted local-priced bullion ETFs.</w:t>
      </w:r>
    </w:p>
    <w:p>
      <w:pPr>
        <w:pStyle w:val="ListNumber"/>
      </w:pPr>
      <w:r>
        <w:rPr>
          <w:b/>
        </w:rPr>
        <w:t>RBI Governor flagged likely fuel price hike</w:t>
      </w:r>
      <w:r>
        <w:t xml:space="preserve"> if Brent stays elevated — bearish for transportation, FMCG margins, discretionary.</w:t>
      </w:r>
    </w:p>
    <w:p>
      <w:pPr>
        <w:pStyle w:val="ListNumber"/>
      </w:pPr>
      <w:r>
        <w:rPr>
          <w:b/>
        </w:rPr>
        <w:t>RBI cancelled 150 NBFC registrations</w:t>
      </w:r>
      <w:r>
        <w:t xml:space="preserve"> (67 Delhi, 75 West Bengal) — adds to the financial-services drag.</w:t>
      </w:r>
    </w:p>
    <w:p>
      <w:pPr>
        <w:pStyle w:val="ListNumber"/>
      </w:pPr>
      <w:r>
        <w:rPr>
          <w:b/>
        </w:rPr>
        <w:t>RBI eased outward remittance norms</w:t>
      </w:r>
      <w:r>
        <w:t xml:space="preserve"> — quietly bullish for fintech/IT remittance corridors.</w:t>
      </w:r>
    </w:p>
    <w:p>
      <w:pPr>
        <w:pStyle w:val="ListNumber"/>
      </w:pPr>
      <w:r>
        <w:rPr>
          <w:b/>
        </w:rPr>
        <w:t>PM's austerity appeal</w:t>
      </w:r>
      <w:r>
        <w:t xml:space="preserve"> — symbolic but real for discretionary sectors; the market took it seriously, given how Autos and Realty traded.</w:t>
      </w:r>
    </w:p>
    <w:p>
      <w:pPr>
        <w:pStyle w:val="ListNumber"/>
      </w:pPr>
      <w:r>
        <w:rPr>
          <w:b/>
        </w:rPr>
        <w:t>April CPI rose for the sixth straight month</w:t>
      </w:r>
      <w:r>
        <w:t xml:space="preserve"> but </w:t>
      </w:r>
      <w:r>
        <w:rPr>
          <w:b/>
        </w:rPr>
        <w:t>undershot estimates</w:t>
      </w:r>
      <w:r>
        <w:t xml:space="preserve"> — mildly relieving, hence Wednesday's bounce.</w:t>
      </w:r>
    </w:p>
    <w:p>
      <w:pPr>
        <w:pStyle w:val="Heading2"/>
      </w:pPr>
      <w:r>
        <w:t>8. What to Watch Next Week</w:t>
      </w:r>
    </w:p>
    <w:p>
      <w:pPr>
        <w:pStyle w:val="ListBullet"/>
      </w:pPr>
      <w:r>
        <w:rPr>
          <w:b/>
        </w:rPr>
        <w:t>Nifty levels:</w:t>
      </w:r>
      <w:r>
        <w:t xml:space="preserve"> Friday closed at </w:t>
      </w:r>
      <w:r>
        <w:rPr>
          <w:b/>
        </w:rPr>
        <w:t>23,659.35</w:t>
      </w:r>
      <w:r>
        <w:t xml:space="preserve">, holding just above Tuesday's intraday low region (23,427). Reclaiming </w:t>
      </w:r>
      <w:r>
        <w:rPr>
          <w:b/>
        </w:rPr>
        <w:t>EMA 20 at 23,889</w:t>
      </w:r>
      <w:r>
        <w:t xml:space="preserve"> would be the first sign of repair. A break below 23,427 opens room toward 23,000-handle.</w:t>
      </w:r>
    </w:p>
    <w:p>
      <w:pPr>
        <w:pStyle w:val="ListBullet"/>
      </w:pPr>
      <w:r>
        <w:rPr>
          <w:b/>
        </w:rPr>
        <w:t>RBI June meeting</w:t>
      </w:r>
      <w:r>
        <w:t xml:space="preserve"> (digest flagged as upcoming): rate-hold consensus, but H2 hike bets are building — Banking and Realty will be sensitive to any hawkish hint.</w:t>
      </w:r>
    </w:p>
    <w:p>
      <w:pPr>
        <w:pStyle w:val="ListBullet"/>
      </w:pPr>
      <w:r>
        <w:rPr>
          <w:b/>
        </w:rPr>
        <w:t>IT rotation watch:</w:t>
      </w:r>
      <w:r>
        <w:t xml:space="preserve"> the Lagging → Improving flip on negative absolute return is unusual. Either oversold mean reversion or a genuine turn — second-tier IT volumes will tell.</w:t>
      </w:r>
    </w:p>
    <w:p>
      <w:pPr>
        <w:pStyle w:val="ListBullet"/>
      </w:pPr>
      <w:r>
        <w:rPr>
          <w:b/>
        </w:rPr>
        <w:t>Defensive continuation:</w:t>
      </w:r>
      <w:r>
        <w:t xml:space="preserve"> Healthcare and Telecom dominated rank surges. Worth watching whether second-tier pharma names (NATCOPHARM, IPCALAB) extend.</w:t>
      </w:r>
    </w:p>
    <w:p>
      <w:pPr>
        <w:pStyle w:val="ListBullet"/>
      </w:pPr>
      <w:r>
        <w:rPr>
          <w:b/>
        </w:rPr>
        <w:t>Multi-signal stocks</w:t>
      </w:r>
      <w:r>
        <w:t xml:space="preserve"> (SAIL, NAVA, NEULANDLAB, PNBHOUSING, BIOCON) for follow-through. These are setups, not confirmations yet.</w:t>
      </w:r>
    </w:p>
    <w:p>
      <w:pPr>
        <w:pStyle w:val="Heading2"/>
      </w:pPr>
      <w:r>
        <w:t>9. The Bottom Line</w:t>
      </w:r>
    </w:p>
    <w:p>
      <w:pPr>
        <w:pStyle w:val="ListNumber"/>
      </w:pPr>
      <w:r>
        <w:rPr>
          <w:b/>
        </w:rPr>
        <w:t>The trend has changed posture.</w:t>
      </w:r>
      <w:r>
        <w:t xml:space="preserve"> Nifty below all three EMAs, breadth at 43% (from 57% a week ago), 15 sectors rotated out of Leading. This is the first genuinely weak tape of the cycle — not a crash, but a regime that no longer rewards aggressive long exposure. Caveat: 2.1% in one week is repairable if Monday opens green.</w:t>
      </w:r>
    </w:p>
    <w:p>
      <w:pPr>
        <w:pStyle w:val="ListNumber"/>
      </w:pPr>
      <w:r>
        <w:rPr>
          <w:b/>
        </w:rPr>
        <w:t>Policy was the driver, not earnings.</w:t>
      </w:r>
      <w:r>
        <w:t xml:space="preserve"> Mar 2026 prints were broadly fine (median EPS YoY positive in 18 of 18 sectors), but Titan fell 7.5% on a +35% EPS print and Bajaj-Auto fell 3.1% on +103%. The market is pricing forward demand destruction from the gold-duty hike and the austerity message. The bellwether disconnect is the real story of the week.</w:t>
      </w:r>
    </w:p>
    <w:p>
      <w:pPr>
        <w:pStyle w:val="ListNumber"/>
      </w:pPr>
      <w:r>
        <w:rPr>
          <w:b/>
        </w:rPr>
        <w:t>The rotation worth tracking is defensive.</w:t>
      </w:r>
      <w:r>
        <w:t xml:space="preserve"> Telecom, Healthcare and the duty-driven ETF basket led; Banking, Realty, Defence, Industrial broke down together. The MACD Buy expansion (5 → 21 unique stocks) hints at fresh momentum setups forming off the lows, but with Golden Cross Buy contracting and Blue Zone Strong slipping, we'd want one more week of broadening before calling the bottom. Honest caveat: down-week setups frequently fail in continued downtrends — confirmation, not anticipation.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