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Intelligence — 2026-08-01</w:t>
      </w:r>
    </w:p>
    <w:p>
      <w:pPr>
        <w:pStyle w:val="Heading2"/>
      </w:pPr>
      <w:r>
        <w:t>1. What Happened This Week</w:t>
      </w:r>
    </w:p>
    <w:p>
      <w:r>
        <w:t xml:space="preserve">Nifty 50 climbed from </w:t>
      </w:r>
      <w:r>
        <w:rPr>
          <w:b/>
        </w:rPr>
        <w:t>23,787.55 to 24,363.35 — a solid +2.4% week</w:t>
      </w:r>
      <w:r>
        <w:t xml:space="preserve">, with the heaviest lifting done on Wednesday (+259 points) and momentum sustained through Friday. The dominant theme was </w:t>
      </w:r>
      <w:r>
        <w:rPr>
          <w:b/>
        </w:rPr>
        <w:t>rotation into cyclicals and IT</w:t>
      </w:r>
      <w:r>
        <w:t xml:space="preserve"> — driven by a specific, identifiable macro cocktail: </w:t>
      </w:r>
      <w:r>
        <w:rPr>
          <w:b/>
        </w:rPr>
        <w:t>Brent crude collapsed 12.5%</w:t>
      </w:r>
      <w:r>
        <w:t xml:space="preserve"> to $87.80, the </w:t>
      </w:r>
      <w:r>
        <w:rPr>
          <w:b/>
        </w:rPr>
        <w:t>US placed India in the lower 10% tariff tier</w:t>
      </w:r>
      <w:r>
        <w:t xml:space="preserve"> with $87 billion of exports exempted from additional duties, and </w:t>
      </w:r>
      <w:r>
        <w:rPr>
          <w:b/>
        </w:rPr>
        <w:t>strong June industrial data</w:t>
      </w:r>
      <w:r>
        <w:t xml:space="preserve"> built the case for Q1 FY27 GDP growth above 7%. The offsetting bearish catalysts — a </w:t>
      </w:r>
      <w:r>
        <w:rPr>
          <w:b/>
        </w:rPr>
        <w:t>₹3/litre petrol-diesel price hike</w:t>
      </w:r>
      <w:r>
        <w:t xml:space="preserve">, the US Senate advancing a Russia Sanctions Bill with a </w:t>
      </w:r>
      <w:r>
        <w:rPr>
          <w:b/>
        </w:rPr>
        <w:t>100% tariff threat</w:t>
      </w:r>
      <w:r>
        <w:t xml:space="preserve"> on India for Russian oil imports, and inflation pressure visible in Hindustan Unilever's results — kept FMCG and consumer staples on the back foot. This is a market climbing on external tailwinds while quietly worrying about domestic consumption.</w:t>
      </w:r>
    </w:p>
    <w:p>
      <w:pPr>
        <w:pStyle w:val="Heading2"/>
      </w:pPr>
      <w:r>
        <w:t>2. The Trend Picture</w:t>
      </w:r>
    </w:p>
    <w:p>
      <w:r>
        <w:t xml:space="preserve">Nifty sits in a </w:t>
      </w:r>
      <w:r>
        <w:rPr>
          <w:b/>
        </w:rPr>
        <w:t>mixed but improving posture</w:t>
      </w:r>
      <w:r>
        <w:t>:</w:t>
      </w:r>
    </w:p>
    <w:p>
      <w:pPr>
        <w:pStyle w:val="ListBullet"/>
      </w:pPr>
      <w:r>
        <w:rPr>
          <w:b/>
        </w:rPr>
        <w:t>Above EMA 20</w:t>
      </w:r>
      <w:r>
        <w:t xml:space="preserve"> (Exponential Moving Average — a smoothed average of recent closes traders use as trend reference) at 24,080 — by +1.2%.</w:t>
      </w:r>
    </w:p>
    <w:p>
      <w:pPr>
        <w:pStyle w:val="ListBullet"/>
      </w:pPr>
      <w:r>
        <w:rPr>
          <w:b/>
        </w:rPr>
        <w:t>Above EMA 50</w:t>
      </w:r>
      <w:r>
        <w:t xml:space="preserve"> at 23,997 — by +1.5%.</w:t>
      </w:r>
    </w:p>
    <w:p>
      <w:pPr>
        <w:pStyle w:val="ListBullet"/>
      </w:pPr>
      <w:r>
        <w:rPr>
          <w:b/>
        </w:rPr>
        <w:t>Below EMA 200</w:t>
      </w:r>
      <w:r>
        <w:t xml:space="preserve"> at 24,426 — by -0.3%.</w:t>
      </w:r>
    </w:p>
    <w:p>
      <w:r>
        <w:t xml:space="preserve">So the short and medium-term trend is up, but the long-term line remains the ceiling — Nifty is still working to reclaim it. Breadth confirms the improvement: </w:t>
      </w:r>
      <w:r>
        <w:rPr>
          <w:b/>
        </w:rPr>
        <w:t>% of stocks above the 200-day EMA rose from 50% to 55%</w:t>
      </w:r>
      <w:r>
        <w:t xml:space="preserve"> over the week. The strongest single-day advance-decline (A/D — stocks up vs down) split came </w:t>
      </w:r>
      <w:r>
        <w:rPr>
          <w:b/>
        </w:rPr>
        <w:t>Wednesday, 441 advancing vs 141 declining</w:t>
      </w:r>
      <w:r>
        <w:t xml:space="preserve"> — a textbook broad-participation up day that lined up with the +259-point Nifty jump. Fresh 52-week highs remained scarce (just 1 on Friday), and new lows collapsed from 10 to 2 — a classic "washout ending" pattern where selling exhausts itself. Trend is broadening, not narrowing.</w:t>
      </w:r>
    </w:p>
    <w:p>
      <w:pPr>
        <w:pStyle w:val="Heading2"/>
      </w:pPr>
      <w:r>
        <w:t>3. Sector Rotation — Where Money Is Flowing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Winners (5D)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Losers (5D)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Automobile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+5.9%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Agriculture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-4.7%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+5.1%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Cement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-1.4%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+4.4%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ETF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-1.3%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Logistics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+4.1%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Textiles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-1.3%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Aviation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+3.9%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Industrial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-0.3%</w:t>
            </w:r>
          </w:p>
        </w:tc>
      </w:tr>
    </w:tbl>
    <w:p/>
    <w:p>
      <w:r>
        <w:t xml:space="preserve">The rotation reads directly off the news feed. </w:t>
      </w:r>
      <w:r>
        <w:rPr>
          <w:b/>
        </w:rPr>
        <w:t>Auto and Aviation ripping on Brent -12.5%</w:t>
      </w:r>
      <w:r>
        <w:t xml:space="preserve"> is textbook — cheaper fuel is a direct margin tailwind for aviation and auto demand, and the ₹3/litre pump-price hike ironically dents consumer wallets more than industrial input costs. </w:t>
      </w:r>
      <w:r>
        <w:rPr>
          <w:b/>
        </w:rPr>
        <w:t>IT's +5.1%</w:t>
      </w:r>
      <w:r>
        <w:t xml:space="preserve"> ties to two things: the tariff-tier reprieve (Indian IT exports specifically exempted) and a softer DXY (Dollar Index — 100.23, -1.20 for the week), which pressures dollar earnings less than a strong-dollar regime.</w:t>
      </w:r>
    </w:p>
    <w:p>
      <w:r>
        <w:t xml:space="preserve">The </w:t>
      </w:r>
      <w:r>
        <w:rPr>
          <w:b/>
        </w:rPr>
        <w:t>RRG quadrant flips</w:t>
      </w:r>
      <w:r>
        <w:t xml:space="preserve"> (Relative Rotation Graph — a four-quadrant map: Leading, Weakening, Lagging, Improving — tracking a sector's relative strength and momentum) tell an interesting story. </w:t>
      </w:r>
      <w:r>
        <w:rPr>
          <w:b/>
        </w:rPr>
        <w:t>CONSUMER SERVICES flipped Lagging → Leading</w:t>
      </w:r>
      <w:r>
        <w:t xml:space="preserve"> (RS Δ +2.5, momentum Δ +0.54) — the ONLY promotion this week, and it lines up with volume breakouts in Quess and Thomas Cook. Meanwhile, </w:t>
      </w:r>
      <w:r>
        <w:rPr>
          <w:b/>
        </w:rPr>
        <w:t>BANKING dropped Weakening → Lagging</w:t>
      </w:r>
      <w:r>
        <w:t xml:space="preserve"> — with the RBI now allowing differential rates on bulk deposits, margin compression fears are creeping back in. </w:t>
      </w:r>
      <w:r>
        <w:rPr>
          <w:b/>
        </w:rPr>
        <w:t>FMCG (Improving → Lagging)</w:t>
      </w:r>
      <w:r>
        <w:t xml:space="preserve"> is the HUL/inflation story made visible. </w:t>
      </w:r>
      <w:r>
        <w:rPr>
          <w:b/>
        </w:rPr>
        <w:t>CEMENT (Leading → Lagging)</w:t>
      </w:r>
      <w:r>
        <w:t xml:space="preserve"> is the harshest flip, backed by the -1.4% return.</w:t>
      </w:r>
    </w:p>
    <w:p>
      <w:pPr>
        <w:pStyle w:val="Heading2"/>
      </w:pPr>
      <w:r>
        <w:t>4. Earnings Pulse — Jun 2026 Quarter</w:t>
      </w:r>
    </w:p>
    <w:p>
      <w:r>
        <w:rPr>
          <w:b/>
        </w:rPr>
        <w:t>246 stocks have reported; 297 haven't yet</w:t>
      </w:r>
      <w:r>
        <w:t xml:space="preserve"> — so we're roughly two-thirds through the season and can read patterns with some confidence.</w:t>
      </w:r>
    </w:p>
    <w:p>
      <w:r>
        <w:rPr>
          <w:b/>
        </w:rPr>
        <w:t>(a) Sector aggregate.</w:t>
      </w:r>
      <w:r>
        <w:t xml:space="preserve"> The quarter is broadly strong across cyclicals. </w:t>
      </w:r>
      <w:r>
        <w:rPr>
          <w:b/>
        </w:rPr>
        <w:t>Logistics leads at +81% median EPS YoY</w:t>
      </w:r>
      <w:r>
        <w:t xml:space="preserve"> (small sample of 3), followed by </w:t>
      </w:r>
      <w:r>
        <w:rPr>
          <w:b/>
        </w:rPr>
        <w:t>Metals +72%</w:t>
      </w:r>
      <w:r>
        <w:t xml:space="preserve">, </w:t>
      </w:r>
      <w:r>
        <w:rPr>
          <w:b/>
        </w:rPr>
        <w:t>Realty +67%</w:t>
      </w:r>
      <w:r>
        <w:t xml:space="preserve">, and </w:t>
      </w:r>
      <w:r>
        <w:rPr>
          <w:b/>
        </w:rPr>
        <w:t>Consumer Durables +56%</w:t>
      </w:r>
      <w:r>
        <w:t>. Every one of the 18 tracked sectors has a positive median — no sector is in aggregate contraction. FMCG's headline +27.5% median is deceptive given the HUL and ITC softness discussed below.</w:t>
      </w:r>
    </w:p>
    <w:p>
      <w:r>
        <w:rPr>
          <w:b/>
        </w:rPr>
        <w:t>(b) The extremes</w:t>
      </w:r>
      <w:r>
        <w:t xml:space="preserve"> — colour only. Glenmark (+931%), Sapphire (+833%), HFCL (+777%) top the beats list, but these are low-base effects on smaller names — don't read them as sector signals. On the miss side, </w:t>
      </w:r>
      <w:r>
        <w:rPr>
          <w:b/>
        </w:rPr>
        <w:t>HINDPETRO (-398%) and BPCL (-127%)</w:t>
      </w:r>
      <w:r>
        <w:t xml:space="preserve"> are the more meaningful data points because they cluster in energy refining — a signal that oil-marketing companies took a beating on inventory losses as crude fell.</w:t>
      </w:r>
    </w:p>
    <w:p>
      <w:r>
        <w:rPr>
          <w:b/>
        </w:rPr>
        <w:t>(c) Bellwether reads</w:t>
      </w:r>
      <w:r>
        <w:t xml:space="preserve"> — where the story really is:</w:t>
      </w:r>
    </w:p>
    <w:p>
      <w:pPr>
        <w:pStyle w:val="ListBullet"/>
      </w:pPr>
      <w:r>
        <w:rPr>
          <w:b/>
        </w:rPr>
        <w:t>Reliance: -22% EPS on +27% revenue, +2.3% for the week.</w:t>
      </w:r>
      <w:r>
        <w:t xml:space="preserve"> The market shrugged off the earnings miss because revenue growth is strong and the crude collapse actually helps Reliance's downstream. Not a sector-mover this week.</w:t>
      </w:r>
    </w:p>
    <w:p>
      <w:pPr>
        <w:pStyle w:val="ListBullet"/>
      </w:pPr>
      <w:r>
        <w:rPr>
          <w:b/>
        </w:rPr>
        <w:t>HDFC Bank: +18% EPS, -0.8% on print day, +0.7% for the week.</w:t>
      </w:r>
      <w:r>
        <w:t xml:space="preserve"> A muted response to a solid number — this is the RBI-differential-rates concern showing up in price. Read-through: PSU and private banks all likely under mild NIM pressure.</w:t>
      </w:r>
    </w:p>
    <w:p>
      <w:pPr>
        <w:pStyle w:val="ListBullet"/>
      </w:pPr>
      <w:r>
        <w:rPr>
          <w:b/>
        </w:rPr>
        <w:t>Bajaj Finance: +27% EPS, +12.7% for the week.</w:t>
      </w:r>
      <w:r>
        <w:t xml:space="preserve"> The week's cleanest bellwether signal. Big print, big reaction, and Bajaj Finserv (+8.1%) confirming. NBFC demand is genuinely accelerating.</w:t>
      </w:r>
    </w:p>
    <w:p>
      <w:pPr>
        <w:pStyle w:val="ListBullet"/>
      </w:pPr>
      <w:r>
        <w:rPr>
          <w:b/>
        </w:rPr>
        <w:t>Nestle: +48% EPS, +4.6% for the week</w:t>
      </w:r>
      <w:r>
        <w:t xml:space="preserve"> vs </w:t>
      </w:r>
      <w:r>
        <w:rPr>
          <w:b/>
        </w:rPr>
        <w:t>HUL: -3% EPS, -2.0% for the week.</w:t>
      </w:r>
      <w:r>
        <w:t xml:space="preserve"> The FMCG split is stark. Premium/discretionary FMCG (Nestle) is holding up while mass-market staples (HUL) are getting squeezed by inflation. The HUL result is what the Financial Times called out and it's the read-through worth taking home.</w:t>
      </w:r>
    </w:p>
    <w:p>
      <w:pPr>
        <w:pStyle w:val="ListBullet"/>
      </w:pPr>
      <w:r>
        <w:rPr>
          <w:b/>
        </w:rPr>
        <w:t>Bajaj Auto: +46% EPS, +65% revenue, +3.5% for the week; M&amp;M: +34% EPS, +7.5%.</w:t>
      </w:r>
      <w:r>
        <w:t xml:space="preserve"> The auto sector's +5.9% sector return is legit — the bellwethers are printing and the tape is confirming.</w:t>
      </w:r>
    </w:p>
    <w:p>
      <w:r>
        <w:rPr>
          <w:b/>
        </w:rPr>
        <w:t>Staleness caveat:</w:t>
      </w:r>
      <w:r>
        <w:t xml:space="preserve"> The "Recent Earnings Declared (last 10 days)" list is empty, meaning most of these bellwether prints landed earlier in the reporting window. The </w:t>
      </w:r>
      <w:r>
        <w:rPr>
          <w:b/>
        </w:rPr>
        <w:t>current-week price action is rotation, not fresh earnings reaction</w:t>
      </w:r>
      <w:r>
        <w:t xml:space="preserve"> — with the possible exceptions of Bajaj Finance and BajajFinserv, where the 1-day price moves (+8.3% and +6.3%) suggest recent prints.</w:t>
      </w:r>
    </w:p>
    <w:p>
      <w:pPr>
        <w:pStyle w:val="Heading2"/>
      </w:pPr>
      <w:r>
        <w:t>5. Technical Signals This Week</w:t>
      </w:r>
    </w:p>
    <w:p>
      <w:r>
        <w:t xml:space="preserve">Total universe: </w:t>
      </w:r>
      <w:r>
        <w:rPr>
          <w:b/>
        </w:rPr>
        <w:t>108 unique stocks</w:t>
      </w:r>
      <w:r>
        <w:t xml:space="preserve"> firing at least one signal. The mix is telling — </w:t>
      </w:r>
      <w:r>
        <w:rPr>
          <w:b/>
        </w:rPr>
        <w:t>momentum indicators (MACD) expanded, breakout indicators (VCP, Blue Zone Strong, Bull Flag) contracted.</w:t>
      </w:r>
    </w:p>
    <w:p>
      <w:pPr>
        <w:pStyle w:val="ListBullet"/>
      </w:pPr>
      <w:r>
        <w:rPr>
          <w:b/>
        </w:rPr>
        <w:t>Blue Zone Buy</w:t>
      </w:r>
      <w:r>
        <w:t xml:space="preserve"> (dashboard's institutional-accumulation watchlist: RSI strength + close above EMA20 + within 10% of 52W high): </w:t>
      </w:r>
      <w:r>
        <w:rPr>
          <w:b/>
        </w:rPr>
        <w:t>45 stocks vs 58 prior week, -13.</w:t>
      </w:r>
      <w:r>
        <w:t xml:space="preserve"> The core accumulation universe is contracting — the rally is real but narrowing. Top examples: SONACOMS, KALYANKJIL, LAURUSLABS, QUESS, FEDERALBNK.</w:t>
      </w:r>
    </w:p>
    <w:p>
      <w:pPr>
        <w:pStyle w:val="ListBullet"/>
      </w:pPr>
      <w:r>
        <w:rPr>
          <w:b/>
        </w:rPr>
        <w:t>MACD Buy</w:t>
      </w:r>
      <w:r>
        <w:t xml:space="preserve"> (momentum oscillator turning positive — a trend-change signal): </w:t>
      </w:r>
      <w:r>
        <w:rPr>
          <w:b/>
        </w:rPr>
        <w:t>31 vs 22, +9.</w:t>
      </w:r>
      <w:r>
        <w:t xml:space="preserve"> Trend changes are accelerating. LAURUSLABS, FEDERALBNK, LODHA topping the list.</w:t>
      </w:r>
    </w:p>
    <w:p>
      <w:pPr>
        <w:pStyle w:val="ListBullet"/>
      </w:pPr>
      <w:r>
        <w:rPr>
          <w:b/>
        </w:rPr>
        <w:t>MACD Strong</w:t>
      </w:r>
      <w:r>
        <w:t xml:space="preserve">: </w:t>
      </w:r>
      <w:r>
        <w:rPr>
          <w:b/>
        </w:rPr>
        <w:t>25 vs 16, +9.</w:t>
      </w:r>
      <w:r>
        <w:t xml:space="preserve"> Confirmation that MACD-based momentum is broadening. LODHA, QUESS, LAURUSLABS.</w:t>
      </w:r>
    </w:p>
    <w:p>
      <w:pPr>
        <w:pStyle w:val="ListBullet"/>
      </w:pPr>
      <w:r>
        <w:rPr>
          <w:b/>
        </w:rPr>
        <w:t>Narrow CPR Breakaway</w:t>
      </w:r>
      <w:r>
        <w:t xml:space="preserve"> (Central Pivot Range — a tight pivot setup often preceding directional breakouts): </w:t>
      </w:r>
      <w:r>
        <w:rPr>
          <w:b/>
        </w:rPr>
        <w:t>29 vs 23, +6.</w:t>
      </w:r>
      <w:r>
        <w:t xml:space="preserve"> Coiling followed by expansion — bullish. TECHM, SUNPHARMA, ULTRACEMCO.</w:t>
      </w:r>
    </w:p>
    <w:p>
      <w:pPr>
        <w:pStyle w:val="ListBullet"/>
      </w:pPr>
      <w:r>
        <w:rPr>
          <w:b/>
        </w:rPr>
        <w:t>Golden Cross Buy</w:t>
      </w:r>
      <w:r>
        <w:t xml:space="preserve"> (20-day EMA crossing above 50-day EMA — medium-term bullish trigger): </w:t>
      </w:r>
      <w:r>
        <w:rPr>
          <w:b/>
        </w:rPr>
        <w:t>7 vs 7, unchanged.</w:t>
      </w:r>
      <w:r>
        <w:t xml:space="preserve"> HEG, DALBHARAT, HEROMOTOCO.</w:t>
      </w:r>
    </w:p>
    <w:p>
      <w:pPr>
        <w:pStyle w:val="ListBullet"/>
      </w:pPr>
      <w:r>
        <w:rPr>
          <w:b/>
        </w:rPr>
        <w:t>VCP Buy</w:t>
      </w:r>
      <w:r>
        <w:t xml:space="preserve"> (Volatility Contraction Pattern — tightening range before a breakout): </w:t>
      </w:r>
      <w:r>
        <w:rPr>
          <w:b/>
        </w:rPr>
        <w:t>4 vs 11, -7.</w:t>
      </w:r>
      <w:r>
        <w:t xml:space="preserve"> Breakout setups thinning meaningfully. TITAN, TECHM.</w:t>
      </w:r>
    </w:p>
    <w:p>
      <w:pPr>
        <w:pStyle w:val="ListBullet"/>
      </w:pPr>
      <w:r>
        <w:rPr>
          <w:b/>
        </w:rPr>
        <w:t>Blue Zone Strong</w:t>
      </w:r>
      <w:r>
        <w:t xml:space="preserve">: </w:t>
      </w:r>
      <w:r>
        <w:rPr>
          <w:b/>
        </w:rPr>
        <w:t>3 vs 7, -4.</w:t>
      </w:r>
      <w:r>
        <w:t xml:space="preserve"> SONACOMS, DIVISLAB.</w:t>
      </w:r>
    </w:p>
    <w:p>
      <w:pPr>
        <w:pStyle w:val="ListBullet"/>
      </w:pPr>
      <w:r>
        <w:rPr>
          <w:b/>
        </w:rPr>
        <w:t>Bull Flag Buy</w:t>
      </w:r>
      <w:r>
        <w:t xml:space="preserve"> (chart pattern: sharp rally, orderly consolidation, then breakout above the range): </w:t>
      </w:r>
      <w:r>
        <w:rPr>
          <w:b/>
        </w:rPr>
        <w:t>2 vs 3, -1.</w:t>
      </w:r>
      <w:r>
        <w:t xml:space="preserve"> KALYANKJIL, QUESS.</w:t>
      </w:r>
    </w:p>
    <w:p>
      <w:pPr>
        <w:pStyle w:val="ListBullet"/>
      </w:pPr>
      <w:r>
        <w:rPr>
          <w:b/>
        </w:rPr>
        <w:t>Darvas Box</w:t>
      </w:r>
      <w:r>
        <w:t xml:space="preserve">: </w:t>
      </w:r>
      <w:r>
        <w:rPr>
          <w:b/>
        </w:rPr>
        <w:t>1 vs 1.</w:t>
      </w:r>
      <w:r>
        <w:t xml:space="preserve"> SUNPHARMA.</w:t>
      </w:r>
    </w:p>
    <w:p>
      <w:r>
        <w:rPr>
          <w:b/>
        </w:rPr>
        <w:t>Multi-signal clusters — the higher-conviction cross-confirmations.</w:t>
      </w:r>
      <w:r>
        <w:t xml:space="preserve"> </w:t>
      </w:r>
      <w:r>
        <w:rPr>
          <w:b/>
        </w:rPr>
        <w:t>SUNPHARMA fired 5 different signals</w:t>
      </w:r>
      <w:r>
        <w:t xml:space="preserve"> (Blue Zone Buy, Darvas, MACD Buy, MACD Strong, Narrow CPR) — the week's cleanest technical setup, doubly interesting given its bellwether print of +27% EPS. </w:t>
      </w:r>
      <w:r>
        <w:rPr>
          <w:b/>
        </w:rPr>
        <w:t>LAURUSLABS, LODHA, MEDANTA, VAIBHAVGBL, SOTL</w:t>
      </w:r>
      <w:r>
        <w:t xml:space="preserve"> all triggered 3 signals across Blue Zone + MACD combinations. </w:t>
      </w:r>
      <w:r>
        <w:rPr>
          <w:b/>
        </w:rPr>
        <w:t>QUESS</w:t>
      </w:r>
      <w:r>
        <w:t xml:space="preserve"> (Blue Zone Buy + Bull Flag + MACD Strong) triggered alongside a </w:t>
      </w:r>
      <w:r>
        <w:rPr>
          <w:b/>
        </w:rPr>
        <w:t>37.3x volume spike</w:t>
      </w:r>
      <w:r>
        <w:t xml:space="preserve"> — the strongest confluence of the week. </w:t>
      </w:r>
      <w:r>
        <w:rPr>
          <w:b/>
        </w:rPr>
        <w:t>TECHM</w:t>
      </w:r>
      <w:r>
        <w:t xml:space="preserve"> paired Blue Zone Buy with Narrow CPR and VCP Buy — clean setup.</w:t>
      </w:r>
    </w:p>
    <w:p>
      <w:r>
        <w:rPr>
          <w:b/>
        </w:rPr>
        <w:t>Read of the mix:</w:t>
      </w:r>
      <w:r>
        <w:t xml:space="preserve"> MACD expanding while VCP/Blue Zone Strong contract suggests a </w:t>
      </w:r>
      <w:r>
        <w:rPr>
          <w:b/>
        </w:rPr>
        <w:t>rotation phase</w:t>
      </w:r>
      <w:r>
        <w:t xml:space="preserve"> — new leaders emerging (via MACD triggers) while the prior rally leaders are consolidating rather than extending. Not a broad breakout; a hand-off.</w:t>
      </w:r>
    </w:p>
    <w:p>
      <w:pPr>
        <w:pStyle w:val="Heading2"/>
      </w:pPr>
      <w:r>
        <w:t>6. Notable Stock-Level Action</w:t>
      </w:r>
    </w:p>
    <w:p>
      <w:pPr>
        <w:pStyle w:val="ListBullet"/>
      </w:pPr>
      <w:r>
        <w:rPr>
          <w:b/>
        </w:rPr>
        <w:t>QUESS: 37.3x volume ratio, RS Rank #4, three technical signals.</w:t>
      </w:r>
      <w:r>
        <w:t xml:space="preserve"> The single most explosive setup of the week. Consumer Services flipping to Leading is largely this stock.</w:t>
      </w:r>
    </w:p>
    <w:p>
      <w:pPr>
        <w:pStyle w:val="ListBullet"/>
      </w:pPr>
      <w:r>
        <w:rPr>
          <w:b/>
        </w:rPr>
        <w:t>AstraZeneca Pharma: 24.1x volume.</w:t>
      </w:r>
      <w:r>
        <w:t xml:space="preserve"> A single-day healthcare surge — worth watching whether Concord Biotech's rank surge (#174, slope -32.2) is part of the same theme.</w:t>
      </w:r>
    </w:p>
    <w:p>
      <w:pPr>
        <w:pStyle w:val="ListBullet"/>
      </w:pPr>
      <w:r>
        <w:rPr>
          <w:b/>
        </w:rPr>
        <w:t>Kaynes Technology: rank surge to #127</w:t>
      </w:r>
      <w:r>
        <w:t xml:space="preserve"> (slope -43.4) plus </w:t>
      </w:r>
      <w:r>
        <w:rPr>
          <w:b/>
        </w:rPr>
        <w:t>Thermax: 19.0x volume</w:t>
      </w:r>
      <w:r>
        <w:t>. Two industrial-tech names moving hard the same week is not coincidence — likely a defence/electronics manufacturing bid.</w:t>
      </w:r>
    </w:p>
    <w:p>
      <w:pPr>
        <w:pStyle w:val="ListBullet"/>
      </w:pPr>
      <w:r>
        <w:rPr>
          <w:b/>
        </w:rPr>
        <w:t>Balkrishna Industries: rank surge to #280 + 9.1x volume.</w:t>
      </w:r>
      <w:r>
        <w:t xml:space="preserve"> Auto components confirming the Automobile sector's +5.9% week.</w:t>
      </w:r>
    </w:p>
    <w:p>
      <w:pPr>
        <w:pStyle w:val="ListBullet"/>
      </w:pPr>
      <w:r>
        <w:rPr>
          <w:b/>
        </w:rPr>
        <w:t>Infosys: rank surge (slope -29.6, now #179), 5-day return +8.6%.</w:t>
      </w:r>
      <w:r>
        <w:t xml:space="preserve"> IT rotation is broadening beyond the megacaps — the tariff exemption is doing real work.</w:t>
      </w:r>
    </w:p>
    <w:p>
      <w:pPr>
        <w:pStyle w:val="ListBullet"/>
      </w:pPr>
      <w:r>
        <w:rPr>
          <w:b/>
        </w:rPr>
        <w:t>PhoenixLtd, ADANIPORTS, J&amp;K Bank</w:t>
      </w:r>
      <w:r>
        <w:t xml:space="preserve"> all worst rank slopes — realty, infrastructure and a PSU bank simultaneously slipping is worth tracking.</w:t>
      </w:r>
    </w:p>
    <w:p>
      <w:pPr>
        <w:pStyle w:val="Heading2"/>
      </w:pPr>
      <w:r>
        <w:t>7. Macro &amp; Global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India VIX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12.16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-1.32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Brent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$87.80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-12.5%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DXY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100.23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-1.20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$4,138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+2.6%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Silver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$58.81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+2.0%</w:t>
            </w:r>
          </w:p>
        </w:tc>
      </w:tr>
    </w:tbl>
    <w:p/>
    <w:p>
      <w:r>
        <w:t xml:space="preserve">The macro backdrop is the story: </w:t>
      </w:r>
      <w:r>
        <w:rPr>
          <w:b/>
        </w:rPr>
        <w:t>Brent -12.5% is enormous</w:t>
      </w:r>
      <w:r>
        <w:t xml:space="preserve"> and directly explains auto/aviation/logistics leadership. VIX collapsing to 12.16 signals complacency, which is a two-edged sword. The </w:t>
      </w:r>
      <w:r>
        <w:rPr>
          <w:b/>
        </w:rPr>
        <w:t>US Fed held rates unchanged</w:t>
      </w:r>
      <w:r>
        <w:t xml:space="preserve"> — a status-quo outcome that let USD/DXY drift lower, helping EM equities.</w:t>
      </w:r>
    </w:p>
    <w:p>
      <w:r>
        <w:rPr>
          <w:b/>
        </w:rPr>
        <w:t>Domestic policy — where the real action was:</w:t>
      </w:r>
    </w:p>
    <w:p>
      <w:pPr>
        <w:pStyle w:val="ListNumber"/>
      </w:pPr>
      <w:r>
        <w:rPr>
          <w:b/>
        </w:rPr>
        <w:t>India placed in lower 10% US tariff tier; $87bn exports exempted</w:t>
      </w:r>
      <w:r>
        <w:t xml:space="preserve"> — a major bullish catalyst, especially for IT, pharma, textiles.</w:t>
      </w:r>
    </w:p>
    <w:p>
      <w:pPr>
        <w:pStyle w:val="ListNumber"/>
      </w:pPr>
      <w:r>
        <w:rPr>
          <w:b/>
        </w:rPr>
        <w:t>US Senate's 100% tariff threat over Russian oil</w:t>
      </w:r>
      <w:r>
        <w:t xml:space="preserve"> — the offsetting risk; energy/refiners took the brunt.</w:t>
      </w:r>
    </w:p>
    <w:p>
      <w:pPr>
        <w:pStyle w:val="ListNumber"/>
      </w:pPr>
      <w:r>
        <w:rPr>
          <w:b/>
        </w:rPr>
        <w:t>Petrol/diesel +₹3/litre; Delhi CNG +₹2</w:t>
      </w:r>
      <w:r>
        <w:t xml:space="preserve"> — a stealth negative for aviation, logistics and the consumer that ironically didn't stop those sectors rallying (Brent's fall dominated).</w:t>
      </w:r>
    </w:p>
    <w:p>
      <w:pPr>
        <w:pStyle w:val="ListNumber"/>
      </w:pPr>
      <w:r>
        <w:rPr>
          <w:b/>
        </w:rPr>
        <w:t>RBI differential rates on bulk deposits</w:t>
      </w:r>
      <w:r>
        <w:t xml:space="preserve"> — bearish for banking margins, backing the sector's quadrant demotion.</w:t>
      </w:r>
    </w:p>
    <w:p>
      <w:pPr>
        <w:pStyle w:val="ListNumber"/>
      </w:pPr>
      <w:r>
        <w:rPr>
          <w:b/>
        </w:rPr>
        <w:t>RBI mobilised $40.82bn under forex swap; &gt;$40bn overseas capital since June</w:t>
      </w:r>
      <w:r>
        <w:t xml:space="preserve"> — the underlying "why FIIs are here" story.</w:t>
      </w:r>
    </w:p>
    <w:p>
      <w:pPr>
        <w:pStyle w:val="ListNumber"/>
      </w:pPr>
      <w:r>
        <w:rPr>
          <w:b/>
        </w:rPr>
        <w:t>Paytm Payments Bank wind-up ordered</w:t>
      </w:r>
      <w:r>
        <w:t xml:space="preserve"> — fintech-specific but a reminder of regulatory tail risk.</w:t>
      </w:r>
    </w:p>
    <w:p>
      <w:pPr>
        <w:pStyle w:val="ListNumber"/>
      </w:pPr>
      <w:r>
        <w:rPr>
          <w:b/>
        </w:rPr>
        <w:t>Strong June industrial data → Q1 FY27 GDP expectations &gt;7%</w:t>
      </w:r>
      <w:r>
        <w:t xml:space="preserve"> — this is the growth-narrative fuel.</w:t>
      </w:r>
    </w:p>
    <w:p>
      <w:pPr>
        <w:pStyle w:val="Heading2"/>
      </w:pPr>
      <w:r>
        <w:t>8. What to Watch Next Week</w:t>
      </w:r>
    </w:p>
    <w:p>
      <w:pPr>
        <w:pStyle w:val="ListBullet"/>
      </w:pPr>
      <w:r>
        <w:rPr>
          <w:b/>
        </w:rPr>
        <w:t>Nifty vs the 200-day EMA at 24,426</w:t>
      </w:r>
      <w:r>
        <w:t xml:space="preserve"> — just 63 points above Friday's close. Reclaiming and holding this line would be the technical event of the month. Failure here and the ceiling narrative persists.</w:t>
      </w:r>
    </w:p>
    <w:p>
      <w:pPr>
        <w:pStyle w:val="ListBullet"/>
      </w:pPr>
      <w:r>
        <w:rPr>
          <w:b/>
        </w:rPr>
        <w:t>The India–US trade negotiations remain live</w:t>
      </w:r>
      <w:r>
        <w:t xml:space="preserve"> (per the events digest) — any concrete announcement will move IT, pharma, textiles hard in either direction.</w:t>
      </w:r>
    </w:p>
    <w:p>
      <w:pPr>
        <w:pStyle w:val="ListBullet"/>
      </w:pPr>
      <w:r>
        <w:rPr>
          <w:b/>
        </w:rPr>
        <w:t>The Russia Sanctions Bill's progression</w:t>
      </w:r>
      <w:r>
        <w:t xml:space="preserve"> — if the 100% tariff clause survives, energy refiners face a second leg down.</w:t>
      </w:r>
    </w:p>
    <w:p>
      <w:pPr>
        <w:pStyle w:val="ListBullet"/>
      </w:pPr>
      <w:r>
        <w:rPr>
          <w:b/>
        </w:rPr>
        <w:t>Continuation themes:</w:t>
      </w:r>
      <w:r>
        <w:t xml:space="preserve"> Does Auto rotation extend from Maruti/M&amp;M/Bajaj Auto into second-tier names (Balkrishna already firing)? Does IT's rally broaden past Infosys into mid-cap IT? Does the FMCG bifurcation (Nestle strong, HUL weak) resolve?</w:t>
      </w:r>
    </w:p>
    <w:p>
      <w:pPr>
        <w:pStyle w:val="ListBullet"/>
      </w:pPr>
      <w:r>
        <w:rPr>
          <w:b/>
        </w:rPr>
        <w:t>Watch whether Consumer Services holds its Leading-quadrant flip</w:t>
      </w:r>
      <w:r>
        <w:t xml:space="preserve"> — Quess and Thomas Cook need follow-through, or the promotion reverses.</w:t>
      </w:r>
    </w:p>
    <w:p>
      <w:pPr>
        <w:pStyle w:val="Heading2"/>
      </w:pPr>
      <w:r>
        <w:t>9. The Bottom Line</w:t>
      </w:r>
    </w:p>
    <w:p>
      <w:pPr>
        <w:pStyle w:val="ListNumber"/>
      </w:pPr>
      <w:r>
        <w:rPr>
          <w:b/>
        </w:rPr>
        <w:t>The tape is climbing on external tailwinds (Brent, tariff reprieve, growth data) while masking a domestic consumption wobble (HUL, mass-market inflation).</w:t>
      </w:r>
      <w:r>
        <w:t xml:space="preserve"> The bellwether spread — Nestle +48% EPS vs HUL -3% — is the most important disagreement in the market right now. Watch which side wins on follow-through.</w:t>
      </w:r>
    </w:p>
    <w:p>
      <w:pPr>
        <w:pStyle w:val="ListNumber"/>
      </w:pPr>
      <w:r>
        <w:rPr>
          <w:b/>
        </w:rPr>
        <w:t>The technical signal mix is rotating, not breaking out.</w:t>
      </w:r>
      <w:r>
        <w:t xml:space="preserve"> MACD triggers are expanding but Blue Zone Strong and VCP setups are contracting — new leadership emerging while old leaders consolidate. Multi-signal names like </w:t>
      </w:r>
      <w:r>
        <w:rPr>
          <w:b/>
        </w:rPr>
        <w:t>Sun Pharma, Quess, Laurus Labs, Lodha and Tech Mahindra</w:t>
      </w:r>
      <w:r>
        <w:t xml:space="preserve"> are the higher-conviction cross-confirmations worth watching, though multi-signal doesn't guarantee follow-through.</w:t>
      </w:r>
    </w:p>
    <w:p>
      <w:pPr>
        <w:pStyle w:val="ListNumber"/>
      </w:pPr>
      <w:r>
        <w:rPr>
          <w:b/>
        </w:rPr>
        <w:t>Nifty needs to reclaim 24,426 (the 200-EMA) to convert this week's rotation into a durable trend.</w:t>
      </w:r>
      <w:r>
        <w:t xml:space="preserve"> Sitting 0.3% below with breadth improving and VIX at 12.16 is a setup that resolves quickly in either direction — the complacency reading is a caveat, not a green light.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