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2026-08-01</w:t>
      </w:r>
    </w:p>
    <w:p>
      <w:pPr>
        <w:pStyle w:val="Heading2"/>
      </w:pPr>
      <w:r>
        <w:t>The Week in One Line</w:t>
      </w:r>
    </w:p>
    <w:p>
      <w:r>
        <w:t xml:space="preserve">Nifty gained </w:t>
      </w:r>
      <w:r>
        <w:rPr>
          <w:b/>
        </w:rPr>
        <w:t>+2.4%</w:t>
      </w:r>
      <w:r>
        <w:t xml:space="preserve"> to close at 24,363, powered by a relief rally as India dodged the worst of US tariff threats and strong industrial data lifted growth hopes.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Automobile (+5.9%)</w:t>
      </w:r>
      <w:r>
        <w:t>: Strong Q1 earnings from M&amp;M (+34% EPS) and Bajaj Auto (+46%) plus a weaker rupee helping exporters.</w:t>
      </w:r>
    </w:p>
    <w:p>
      <w:pPr>
        <w:pStyle w:val="ListBullet"/>
      </w:pPr>
      <w:r>
        <w:rPr>
          <w:b/>
        </w:rPr>
        <w:t>IT (+5.1%)</w:t>
      </w:r>
      <w:r>
        <w:t>: India got placed in the lower 10% US tariff tier with $87 billion of exports exempted — a big relief for IT services that depend on US clients.</w:t>
      </w:r>
    </w:p>
    <w:p>
      <w:pPr>
        <w:pStyle w:val="ListBullet"/>
      </w:pPr>
      <w:r>
        <w:rPr>
          <w:b/>
        </w:rPr>
        <w:t>Media (+4.4%)</w:t>
      </w:r>
      <w:r>
        <w:t>: A quiet bounce-back sector; benefited from improving risk appetite as broader sentiment turned positive.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Agriculture (-4.7%)</w:t>
      </w:r>
      <w:r>
        <w:t>: Rotation out of defensive sectors as investors chased growth stories.</w:t>
      </w:r>
    </w:p>
    <w:p>
      <w:pPr>
        <w:pStyle w:val="ListBullet"/>
      </w:pPr>
      <w:r>
        <w:rPr>
          <w:b/>
        </w:rPr>
        <w:t>Cement (-1.4%)</w:t>
      </w:r>
      <w:r>
        <w:t>: Weak momentum despite decent earnings (UltraTech +17% EPS); the sector flipped from "Leading" to "Lagging" on relative strength.</w:t>
      </w:r>
    </w:p>
    <w:p>
      <w:pPr>
        <w:pStyle w:val="ListBullet"/>
      </w:pPr>
      <w:r>
        <w:rPr>
          <w:b/>
        </w:rPr>
        <w:t>ETF (-1.3%)</w:t>
      </w:r>
      <w:r>
        <w:t>: Domestic gold ETFs cooled off even as global gold rose 2.6% — likely a domestic tax/duty adjustment weighing on Indian gold instruments specifically.</w:t>
      </w:r>
    </w:p>
    <w:p>
      <w:pPr>
        <w:pStyle w:val="Heading2"/>
      </w:pPr>
      <w:r>
        <w:t>Notable Events</w:t>
      </w:r>
    </w:p>
    <w:p>
      <w:r>
        <w:rPr>
          <w:b/>
        </w:rPr>
        <w:t>India catches a tariff break.</w:t>
      </w:r>
      <w:r>
        <w:t xml:space="preserve"> The US placed India in its lower 10% tariff tier, exempting </w:t>
      </w:r>
      <w:r>
        <w:rPr>
          <w:b/>
        </w:rPr>
        <w:t>$87 billion of Indian exports</w:t>
      </w:r>
      <w:r>
        <w:t xml:space="preserve"> from additional duties. This was the week's biggest positive — it removed a major overhang for exporters, especially pharma, IT and textiles. But there's a catch: the US Senate advanced a separate Russia Sanctions Bill that could impose 100% tariffs on countries buying Russian oil (India being a big one). So relief now, uncertainty still ahead.</w:t>
      </w:r>
    </w:p>
    <w:p>
      <w:r>
        <w:rPr>
          <w:b/>
        </w:rPr>
        <w:t>Fuel prices hiked.</w:t>
      </w:r>
      <w:r>
        <w:t xml:space="preserve"> The government raised </w:t>
      </w:r>
      <w:r>
        <w:rPr>
          <w:b/>
        </w:rPr>
        <w:t>petrol and diesel by ₹3/litre</w:t>
      </w:r>
      <w:r>
        <w:t xml:space="preserve"> and CNG in Delhi by ₹2. This is a headwind for aviation, logistics, auto and anything transport-heavy — and adds to consumer inflation. Aviation still managed +3.9% for the week on other tailwinds, but this is a slow drag to watch.</w:t>
      </w:r>
    </w:p>
    <w:p>
      <w:r>
        <w:rPr>
          <w:b/>
        </w:rPr>
        <w:t>Growth data surprises up.</w:t>
      </w:r>
      <w:r>
        <w:t xml:space="preserve"> Strong June industrial production data raised expectations of </w:t>
      </w:r>
      <w:r>
        <w:rPr>
          <w:b/>
        </w:rPr>
        <w:t>Q1 FY27 GDP growth above 7%</w:t>
      </w:r>
      <w:r>
        <w:t>. That's the backdrop for the week's rally — a "growth is back" narrative combined with the tariff relief.</w:t>
      </w:r>
    </w:p>
    <w:p>
      <w:pPr>
        <w:pStyle w:val="Heading2"/>
      </w:pPr>
      <w:r>
        <w:t>Charts to Know</w:t>
      </w:r>
    </w:p>
    <w:p>
      <w:r>
        <w:rPr>
          <w:b/>
        </w:rPr>
        <w:t>Nifty vs its moving averages</w:t>
      </w:r>
      <w:r>
        <w:t xml:space="preserve"> — a moving average is just the average closing price over the last N days, used to smooth out noise and spot trends. Nifty closed </w:t>
      </w:r>
      <w:r>
        <w:rPr>
          <w:b/>
        </w:rPr>
        <w:t>above</w:t>
      </w:r>
      <w:r>
        <w:t xml:space="preserve"> its 20-day and 50-day averages (short/medium-term uptrend intact) but is still slightly </w:t>
      </w:r>
      <w:r>
        <w:rPr>
          <w:b/>
        </w:rPr>
        <w:t>below</w:t>
      </w:r>
      <w:r>
        <w:t xml:space="preserve"> the 200-day average (24,426) — the long-term trend line. Reclaiming the 200-day is next week's big psychological test.</w:t>
      </w:r>
    </w:p>
    <w:p>
      <w:r>
        <w:rPr>
          <w:b/>
        </w:rPr>
        <w:t>Breadth improved but stayed choppy.</w:t>
      </w:r>
      <w:r>
        <w:t xml:space="preserve"> Breadth just measures how many stocks went up vs down each day. This week alternated between strong up-days (450+ advances) and weak days (400+ declines) — meaning the rally was real but uneven. The share of stocks trading above their 200-day average nudged up from 50% to 55% — healthier participation, but still not broad-based conviction.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Q1 results season is winding down but mid-cap results still trickle in. Watch consumer services (Sapphire, Devyani printed +800%/+300% EPS) and healthcare (Glenmark +931%) for continued momentum.</w:t>
      </w:r>
    </w:p>
    <w:p>
      <w:pPr>
        <w:pStyle w:val="ListBullet"/>
      </w:pPr>
      <w:r>
        <w:rPr>
          <w:b/>
        </w:rPr>
        <w:t>Macro</w:t>
      </w:r>
      <w:r>
        <w:t xml:space="preserve">: Any progress on the </w:t>
      </w:r>
      <w:r>
        <w:rPr>
          <w:b/>
        </w:rPr>
        <w:t>India-US trade deal</w:t>
      </w:r>
      <w:r>
        <w:t>, movement on the Russia Sanctions Bill in the US Senate, and Brent crude (dropped 12.5% this week to $87.80 — a huge tailwind if it holds).</w:t>
      </w:r>
    </w:p>
    <w:p>
      <w:pPr>
        <w:pStyle w:val="ListBullet"/>
      </w:pPr>
      <w:r>
        <w:rPr>
          <w:b/>
        </w:rPr>
        <w:t>Nifty levels</w:t>
      </w:r>
      <w:r>
        <w:t xml:space="preserve">: Support around </w:t>
      </w:r>
      <w:r>
        <w:rPr>
          <w:b/>
        </w:rPr>
        <w:t>24,080</w:t>
      </w:r>
      <w:r>
        <w:t xml:space="preserve"> (the 20-day average). Resistance at </w:t>
      </w:r>
      <w:r>
        <w:rPr>
          <w:b/>
        </w:rPr>
        <w:t>24,426</w:t>
      </w:r>
      <w:r>
        <w:t xml:space="preserve"> (the 200-day average) — a clean break above this would confirm the medium-term trend has turned.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