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Weekly Market Intelligence — 2026-08-15</w:t>
      </w:r>
    </w:p>
    <w:p>
      <w:pPr>
        <w:pStyle w:val="Heading2"/>
      </w:pPr>
      <w:r>
        <w:t>1. What Happened This Week</w:t>
      </w:r>
    </w:p>
    <w:p>
      <w:r>
        <w:t xml:space="preserve">The Nifty 50 lost </w:t>
      </w:r>
      <w:r>
        <w:rPr>
          <w:b/>
        </w:rPr>
        <w:t>0.8% this week</w:t>
      </w:r>
      <w:r>
        <w:t xml:space="preserve">, closing at </w:t>
      </w:r>
      <w:r>
        <w:rPr>
          <w:b/>
        </w:rPr>
        <w:t>24,366.00</w:t>
      </w:r>
      <w:r>
        <w:t xml:space="preserve"> on Friday after starting Monday at 24,583.80 — a slow, five-day bleed rather than a single-day flush. Two catalysts did most of the damage: </w:t>
      </w:r>
      <w:r>
        <w:rPr>
          <w:b/>
        </w:rPr>
        <w:t>Brent crude jumped 4.4% to $87.09</w:t>
      </w:r>
      <w:r>
        <w:t xml:space="preserve"> on renewed US-Iran tensions and the US Senate's Russia sanctions bill (which threatens 100% tariffs on Indian buyers of Russian crude), and the </w:t>
      </w:r>
      <w:r>
        <w:rPr>
          <w:b/>
        </w:rPr>
        <w:t>Tata Group leadership transition</w:t>
      </w:r>
      <w:r>
        <w:t xml:space="preserve"> — with N. Chandrasekaran exiting his role — dragged conglomerate names lower. Domestically, the </w:t>
      </w:r>
      <w:r>
        <w:rPr>
          <w:b/>
        </w:rPr>
        <w:t>RBI's proposed new floating-rate loan framework</w:t>
      </w:r>
      <w:r>
        <w:t xml:space="preserve"> (standardising rate-setting across banks and NBFCs) added a bearish overhang to lenders, while a fresh </w:t>
      </w:r>
      <w:r>
        <w:rPr>
          <w:b/>
        </w:rPr>
        <w:t>₹3/litre petrol-diesel price hike</w:t>
      </w:r>
      <w:r>
        <w:t xml:space="preserve"> kept transportation-linked sectors under pressure. The offsetting bright spot was defence, which held its ground on continued rotation strength.</w:t>
      </w:r>
    </w:p>
    <w:p>
      <w:pPr>
        <w:pStyle w:val="Heading2"/>
      </w:pPr>
      <w:r>
        <w:t>2. The Trend Picture</w:t>
      </w:r>
    </w:p>
    <w:p>
      <w:r>
        <w:t>Nifty is sitting in a technically ambiguous spot. Against its key EMAs (Exponential Moving Averages — smoothed averages of recent closes traders use as trend reference):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EMA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Level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Nifty status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20-day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24,348.84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ABOVE</w:t>
            </w:r>
            <w:r>
              <w:rPr>
                <w:sz w:val="20"/>
              </w:rPr>
              <w:t xml:space="preserve"> (+0.1%)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50-day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24,165.63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ABOVE</w:t>
            </w:r>
            <w:r>
              <w:rPr>
                <w:sz w:val="20"/>
              </w:rPr>
              <w:t xml:space="preserve"> (+0.8%)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200-day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24,404.77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BELOW</w:t>
            </w:r>
            <w:r>
              <w:rPr>
                <w:sz w:val="20"/>
              </w:rPr>
              <w:t xml:space="preserve"> (-0.2%)</w:t>
            </w:r>
          </w:p>
        </w:tc>
      </w:tr>
    </w:tbl>
    <w:p/>
    <w:p>
      <w:r>
        <w:t xml:space="preserve">The 200-EMA is doing exactly what it usually does — acting as ceiling. Nifty flirted with it earlier in the week and got rejected, closing Friday just 38 points below it. Below the surface, breadth is soft: </w:t>
      </w:r>
      <w:r>
        <w:rPr>
          <w:b/>
        </w:rPr>
        <w:t>only 56% of stocks are above their 200-EMA</w:t>
      </w:r>
      <w:r>
        <w:t xml:space="preserve"> by Friday, down from 59% earlier in the week. Fresh 52-week lows outpaced highs every single day (Tuesday saw </w:t>
      </w:r>
      <w:r>
        <w:rPr>
          <w:b/>
        </w:rPr>
        <w:t>10 new lows vs 1 new high</w:t>
      </w:r>
      <w:r>
        <w:t xml:space="preserve">, Wednesday </w:t>
      </w:r>
      <w:r>
        <w:rPr>
          <w:b/>
        </w:rPr>
        <w:t>11 vs 3</w:t>
      </w:r>
      <w:r>
        <w:t xml:space="preserve">). The one bright breadth day was </w:t>
      </w:r>
      <w:r>
        <w:rPr>
          <w:b/>
        </w:rPr>
        <w:t>Thursday, with 296 advances vs 282 declines</w:t>
      </w:r>
      <w:r>
        <w:t xml:space="preserve"> — but Friday reversed hard to </w:t>
      </w:r>
      <w:r>
        <w:rPr>
          <w:b/>
        </w:rPr>
        <w:t>201 advances vs 379 declines</w:t>
      </w:r>
      <w:r>
        <w:t>. This is a narrowing tape, not a broadening one.</w:t>
      </w:r>
    </w:p>
    <w:p>
      <w:pPr>
        <w:pStyle w:val="Heading2"/>
      </w:pPr>
      <w:r>
        <w:t>3. Sector Rotation — Where Money Is Flowing</w:t>
      </w:r>
    </w:p>
    <w:p>
      <w:r>
        <w:rPr>
          <w:b/>
        </w:rPr>
        <w:t>Top gainers (5D median):</w:t>
      </w:r>
      <w:r>
        <w:t xml:space="preserve"> Defence +2.2%, Agriculture +1.7%, Telecom +1.6%, Logistics +1.3%, ETF +1.0%. </w:t>
      </w:r>
      <w:r>
        <w:rPr>
          <w:b/>
        </w:rPr>
        <w:t>Bottom performers:</w:t>
      </w:r>
      <w:r>
        <w:t xml:space="preserve"> Infrastructure -2.8%, Cement -2.7%, Textiles -2.7%, Conglomerate -2.0%, Energy -1.6%.</w:t>
      </w:r>
    </w:p>
    <w:p>
      <w:r>
        <w:t>The quadrant flips (movements across the Relative Rotation Graph — a framework that maps sectors by relative strength and momentum) tell the real story:</w:t>
      </w:r>
    </w:p>
    <w:p>
      <w:pPr>
        <w:pStyle w:val="ListBullet"/>
      </w:pPr>
      <w:r>
        <w:rPr>
          <w:b/>
        </w:rPr>
        <w:t>DEFENCE: Improving → Leading</w:t>
      </w:r>
      <w:r>
        <w:t xml:space="preserve"> (RS Δ +7.4). BEL, BDL and HAL are all showing up in surge and volume data — this rotation is broad, not one-name.</w:t>
      </w:r>
    </w:p>
    <w:p>
      <w:pPr>
        <w:pStyle w:val="ListBullet"/>
      </w:pPr>
      <w:r>
        <w:rPr>
          <w:b/>
        </w:rPr>
        <w:t>INDUSTRIAL: Lagging → Leading</w:t>
      </w:r>
      <w:r>
        <w:t xml:space="preserve"> — a genuine reset.</w:t>
      </w:r>
    </w:p>
    <w:p>
      <w:pPr>
        <w:pStyle w:val="ListBullet"/>
      </w:pPr>
      <w:r>
        <w:rPr>
          <w:b/>
        </w:rPr>
        <w:t>CONSUMER DURABLES: Lagging → Leading</w:t>
      </w:r>
      <w:r>
        <w:t xml:space="preserve"> — Titan's +2.3% five-day return supports this.</w:t>
      </w:r>
    </w:p>
    <w:p>
      <w:pPr>
        <w:pStyle w:val="ListBullet"/>
      </w:pPr>
      <w:r>
        <w:rPr>
          <w:b/>
        </w:rPr>
        <w:t>ETF: Improving → Leading</w:t>
      </w:r>
      <w:r>
        <w:t xml:space="preserve"> (RS Δ +10.0). This is the Divergence Tell in action: </w:t>
      </w:r>
      <w:r>
        <w:rPr>
          <w:b/>
        </w:rPr>
        <w:t>gold ETFs rallied while global gold was up 3.2% AND the DXY (US Dollar Index) barely moved</w:t>
      </w:r>
      <w:r>
        <w:t xml:space="preserve"> — meaning domestic ETF strength is being amplified by rupee-side factors and continued retail flows, not just the USD gold move.</w:t>
      </w:r>
    </w:p>
    <w:p>
      <w:pPr>
        <w:pStyle w:val="ListBullet"/>
      </w:pPr>
      <w:r>
        <w:rPr>
          <w:b/>
        </w:rPr>
        <w:t>IT: Leading → Weakening</w:t>
      </w:r>
      <w:r>
        <w:t xml:space="preserve"> (RS Δ -1.9). TCS -3.7% on the 5-day is the tell.</w:t>
      </w:r>
    </w:p>
    <w:p>
      <w:pPr>
        <w:pStyle w:val="ListBullet"/>
      </w:pPr>
      <w:r>
        <w:rPr>
          <w:b/>
        </w:rPr>
        <w:t>CONSUMER SERVICES: Leading → Lagging</w:t>
      </w:r>
      <w:r>
        <w:t xml:space="preserve"> — a sharp -2.2 RS drop.</w:t>
      </w:r>
    </w:p>
    <w:p>
      <w:pPr>
        <w:pStyle w:val="ListBullet"/>
      </w:pPr>
      <w:r>
        <w:rPr>
          <w:b/>
        </w:rPr>
        <w:t>BANKING and FINANCIAL SERVICES: Lagging → Improving</w:t>
      </w:r>
      <w:r>
        <w:t>, though the RBI's new floating-rate framework proposal is a headwind that will need watching.</w:t>
      </w:r>
    </w:p>
    <w:p>
      <w:r>
        <w:t xml:space="preserve">The </w:t>
      </w:r>
      <w:r>
        <w:rPr>
          <w:b/>
        </w:rPr>
        <w:t>Energy weakness (-1.6%)</w:t>
      </w:r>
      <w:r>
        <w:t xml:space="preserve"> is worth parsing carefully: Brent rose 4.4%, which normally lifts upstream refiners, but the </w:t>
      </w:r>
      <w:r>
        <w:rPr>
          <w:b/>
        </w:rPr>
        <w:t>US Senate sanctions bill on Russian crude buyers</w:t>
      </w:r>
      <w:r>
        <w:t xml:space="preserve"> is a specific overhang for Indian refiners (HINDPETRO, BPCL, Reliance). The windfall-tax reduction on fuel exports is a partial offset — but the market is discounting the geopolitical tail risk more heavily.</w:t>
      </w:r>
    </w:p>
    <w:p>
      <w:pPr>
        <w:pStyle w:val="Heading2"/>
      </w:pPr>
      <w:r>
        <w:t>4. Earnings Pulse</w:t>
      </w:r>
    </w:p>
    <w:p>
      <w:r>
        <w:rPr>
          <w:b/>
        </w:rPr>
        <w:t>Season: Jun 2026 (Q1 FY27).</w:t>
      </w:r>
      <w:r>
        <w:t xml:space="preserve"> 506 stocks have reported; 34 excluded as stale.</w:t>
      </w:r>
    </w:p>
    <w:p>
      <w:r>
        <w:rPr>
          <w:b/>
        </w:rPr>
        <w:t>(a) Sector aggregate.</w:t>
      </w:r>
      <w:r>
        <w:t xml:space="preserve"> The quarter is broadly healthy. </w:t>
      </w:r>
      <w:r>
        <w:rPr>
          <w:b/>
        </w:rPr>
        <w:t>Logistics leads with a median +81.2% EPS YoY</w:t>
      </w:r>
      <w:r>
        <w:t>, followed by Textiles +49.4% and Chemicals +34.3%. Consumer Durables +28.5% and Banking +27.4% are strong. The weakest bases are Consumer Services +11.3%, Realty +13.4% and Auto Components +13.4% — still positive, but the tail of the distribution.</w:t>
      </w:r>
    </w:p>
    <w:p>
      <w:r>
        <w:rPr>
          <w:b/>
        </w:rPr>
        <w:t>(b) Extremes (colour only).</w:t>
      </w:r>
      <w:r>
        <w:t xml:space="preserve"> Top beats include </w:t>
      </w:r>
      <w:r>
        <w:rPr>
          <w:b/>
        </w:rPr>
        <w:t>NEULANDLAB +963%</w:t>
      </w:r>
      <w:r>
        <w:t xml:space="preserve">, </w:t>
      </w:r>
      <w:r>
        <w:rPr>
          <w:b/>
        </w:rPr>
        <w:t>GLENMARK +931%</w:t>
      </w:r>
      <w:r>
        <w:t xml:space="preserve">, </w:t>
      </w:r>
      <w:r>
        <w:rPr>
          <w:b/>
        </w:rPr>
        <w:t>HFCL +777%</w:t>
      </w:r>
      <w:r>
        <w:t xml:space="preserve"> and </w:t>
      </w:r>
      <w:r>
        <w:rPr>
          <w:b/>
        </w:rPr>
        <w:t>SAPPHIRE +833%</w:t>
      </w:r>
      <w:r>
        <w:t xml:space="preserve">. Worst misses: </w:t>
      </w:r>
      <w:r>
        <w:rPr>
          <w:b/>
        </w:rPr>
        <w:t>DELTACORP -822%</w:t>
      </w:r>
      <w:r>
        <w:t xml:space="preserve">, </w:t>
      </w:r>
      <w:r>
        <w:rPr>
          <w:b/>
        </w:rPr>
        <w:t>CENTRUM -476%</w:t>
      </w:r>
      <w:r>
        <w:t xml:space="preserve"> and </w:t>
      </w:r>
      <w:r>
        <w:rPr>
          <w:b/>
        </w:rPr>
        <w:t>HINDPETRO -398%</w:t>
      </w:r>
      <w:r>
        <w:t>. HINDPETRO's number sits inside the Russian-crude story — worth flagging.</w:t>
      </w:r>
    </w:p>
    <w:p>
      <w:r>
        <w:rPr>
          <w:b/>
        </w:rPr>
        <w:t>(c) Bellwether large-caps — critical caveat.</w:t>
      </w:r>
      <w:r>
        <w:t xml:space="preserve"> The "Recent Earnings Declared" list is </w:t>
      </w:r>
      <w:r>
        <w:rPr>
          <w:b/>
        </w:rPr>
        <w:t>empty for the last 10 days</w:t>
      </w:r>
      <w:r>
        <w:t xml:space="preserve">, which means every bellwether print below was filed weeks ago. </w:t>
      </w:r>
      <w:r>
        <w:rPr>
          <w:b/>
        </w:rPr>
        <w:t>This week's price action is sector-rotation flow, not fresh earnings reaction.</w:t>
      </w:r>
      <w:r>
        <w:t xml:space="preserve"> With that framing:</w:t>
      </w:r>
    </w:p>
    <w:p>
      <w:pPr>
        <w:pStyle w:val="ListBullet"/>
      </w:pPr>
      <w:r>
        <w:rPr>
          <w:b/>
        </w:rPr>
        <w:t>RELIANCE: EPS -22%, price -1.9% (5D).</w:t>
      </w:r>
      <w:r>
        <w:t xml:space="preserve"> The old print was already digested; this week's weakness is Tata/Russia-sanction overhang bleeding into the conglomerate complex.</w:t>
      </w:r>
    </w:p>
    <w:p>
      <w:pPr>
        <w:pStyle w:val="ListBullet"/>
      </w:pPr>
      <w:r>
        <w:rPr>
          <w:b/>
        </w:rPr>
        <w:t>TITAN: EPS +63%, price +2.3% (5D).</w:t>
      </w:r>
      <w:r>
        <w:t xml:space="preserve"> Consumer Durables flipped to Leading — this is the rotation move, but the strong old print gives the sector a fundamental floor. Premium discretionary is holding up.</w:t>
      </w:r>
    </w:p>
    <w:p>
      <w:pPr>
        <w:pStyle w:val="ListBullet"/>
      </w:pPr>
      <w:r>
        <w:rPr>
          <w:b/>
        </w:rPr>
        <w:t>SBIN: EPS +10%, price -2.7% (5D).</w:t>
      </w:r>
      <w:r>
        <w:t xml:space="preserve"> The 5-day drop despite a solid old print is entirely the RBI floating-rate framework news — read-through: watch other PSU banks (BOB, PNB) for similar pressure.</w:t>
      </w:r>
    </w:p>
    <w:p>
      <w:pPr>
        <w:pStyle w:val="ListBullet"/>
      </w:pPr>
      <w:r>
        <w:rPr>
          <w:b/>
        </w:rPr>
        <w:t>TCS: EPS +5%, price -3.7% (5D).</w:t>
      </w:r>
      <w:r>
        <w:t xml:space="preserve"> Weakest large-cap IT print of the season and the sharpest 5-day drop — the IT quadrant flip from Leading to Weakening is being led here.</w:t>
      </w:r>
    </w:p>
    <w:p>
      <w:pPr>
        <w:pStyle w:val="ListBullet"/>
      </w:pPr>
      <w:r>
        <w:rPr>
          <w:b/>
        </w:rPr>
        <w:t>HAL: EPS +15%, price +2.4% (5D).</w:t>
      </w:r>
      <w:r>
        <w:t xml:space="preserve"> Defence rotation confirmation from the sector's largest name.</w:t>
      </w:r>
    </w:p>
    <w:p>
      <w:pPr>
        <w:pStyle w:val="ListBullet"/>
      </w:pPr>
      <w:r>
        <w:rPr>
          <w:b/>
        </w:rPr>
        <w:t>LICI: EPS +24%, price +5.0% (5D).</w:t>
      </w:r>
      <w:r>
        <w:t xml:space="preserve"> The standout large-cap this week — Financial Services flipping to Improving found its expression here.</w:t>
      </w:r>
    </w:p>
    <w:p>
      <w:pPr>
        <w:pStyle w:val="Heading2"/>
      </w:pPr>
      <w:r>
        <w:t>5. Technical Signals This Week</w:t>
      </w:r>
    </w:p>
    <w:p>
      <w:r>
        <w:t xml:space="preserve">Total unique stocks firing at least one signal: </w:t>
      </w:r>
      <w:r>
        <w:rPr>
          <w:b/>
        </w:rPr>
        <w:t>145</w:t>
      </w:r>
      <w:r>
        <w:t>.</w:t>
      </w:r>
    </w:p>
    <w:p>
      <w:pPr>
        <w:pStyle w:val="ListBullet"/>
      </w:pPr>
      <w:r>
        <w:rPr>
          <w:b/>
        </w:rPr>
        <w:t>Blue Zone Buy</w:t>
      </w:r>
      <w:r>
        <w:t xml:space="preserve"> (dashboard's institutional-accumulation watchlist — RSI EMA above thresholds + close above EMA20 + within 10% of 52W high): </w:t>
      </w:r>
      <w:r>
        <w:rPr>
          <w:b/>
        </w:rPr>
        <w:t>77 unique stocks, up from 57 (+20)</w:t>
      </w:r>
      <w:r>
        <w:t>. Fresh names include SUNDRMFAST, VARROC, PAYTM, DIVISLAB, SHILPAMED. Expansion here is the most bullish under-the-surface signal of the week.</w:t>
      </w:r>
    </w:p>
    <w:p>
      <w:pPr>
        <w:pStyle w:val="ListBullet"/>
      </w:pPr>
      <w:r>
        <w:rPr>
          <w:b/>
        </w:rPr>
        <w:t>Blue Zone Strong</w:t>
      </w:r>
      <w:r>
        <w:t xml:space="preserve">: </w:t>
      </w:r>
      <w:r>
        <w:rPr>
          <w:b/>
        </w:rPr>
        <w:t>3 stocks, up from 2 (+1)</w:t>
      </w:r>
      <w:r>
        <w:t xml:space="preserve"> — SUNDRMFAST, APARINDS, ASIANENE.</w:t>
      </w:r>
    </w:p>
    <w:p>
      <w:pPr>
        <w:pStyle w:val="ListBullet"/>
      </w:pPr>
      <w:r>
        <w:rPr>
          <w:b/>
        </w:rPr>
        <w:t>MACD Buy</w:t>
      </w:r>
      <w:r>
        <w:t xml:space="preserve"> (momentum oscillator turning positive — trend-change signal): </w:t>
      </w:r>
      <w:r>
        <w:rPr>
          <w:b/>
        </w:rPr>
        <w:t>32 stocks, down from 51 (-19)</w:t>
      </w:r>
      <w:r>
        <w:t>. A meaningful contraction.</w:t>
      </w:r>
    </w:p>
    <w:p>
      <w:pPr>
        <w:pStyle w:val="ListBullet"/>
      </w:pPr>
      <w:r>
        <w:rPr>
          <w:b/>
        </w:rPr>
        <w:t>MACD Strong</w:t>
      </w:r>
      <w:r>
        <w:t xml:space="preserve">: </w:t>
      </w:r>
      <w:r>
        <w:rPr>
          <w:b/>
        </w:rPr>
        <w:t>11 stocks, down from 24 (-13)</w:t>
      </w:r>
      <w:r>
        <w:t>. Further confirmation momentum-strength is fading at the high end even as accumulation broadens.</w:t>
      </w:r>
    </w:p>
    <w:p>
      <w:pPr>
        <w:pStyle w:val="ListBullet"/>
      </w:pPr>
      <w:r>
        <w:rPr>
          <w:b/>
        </w:rPr>
        <w:t>Golden Cross Buy</w:t>
      </w:r>
      <w:r>
        <w:t xml:space="preserve"> (20-EMA crossing above 50-EMA, medium-term trend signal): </w:t>
      </w:r>
      <w:r>
        <w:rPr>
          <w:b/>
        </w:rPr>
        <w:t>13 stocks, up from 11 (+2)</w:t>
      </w:r>
      <w:r>
        <w:t>. GMMPFAUDLR, JUBLFOOD, KAYNES.</w:t>
      </w:r>
    </w:p>
    <w:p>
      <w:pPr>
        <w:pStyle w:val="ListBullet"/>
      </w:pPr>
      <w:r>
        <w:rPr>
          <w:b/>
        </w:rPr>
        <w:t>Golden Cross Strong</w:t>
      </w:r>
      <w:r>
        <w:t xml:space="preserve">: </w:t>
      </w:r>
      <w:r>
        <w:rPr>
          <w:b/>
        </w:rPr>
        <w:t>1 stock (-2)</w:t>
      </w:r>
      <w:r>
        <w:t xml:space="preserve"> — NATIONALUM.</w:t>
      </w:r>
    </w:p>
    <w:p>
      <w:pPr>
        <w:pStyle w:val="ListBullet"/>
      </w:pPr>
      <w:r>
        <w:rPr>
          <w:b/>
        </w:rPr>
        <w:t>Bull Flag Buy</w:t>
      </w:r>
      <w:r>
        <w:t xml:space="preserve"> (chart pattern: sharp rally followed by orderly consolidation, then breakout above the range): </w:t>
      </w:r>
      <w:r>
        <w:rPr>
          <w:b/>
        </w:rPr>
        <w:t>6 stocks, up from 3 (+3)</w:t>
      </w:r>
      <w:r>
        <w:t>. COFORGE, PVRINOX, KALYANKJIL.</w:t>
      </w:r>
    </w:p>
    <w:p>
      <w:pPr>
        <w:pStyle w:val="ListBullet"/>
      </w:pPr>
      <w:r>
        <w:rPr>
          <w:b/>
        </w:rPr>
        <w:t>VCP Buy</w:t>
      </w:r>
      <w:r>
        <w:t xml:space="preserve"> (Volatility Contraction Pattern — Minervini setup where price ranges tighten before a breakout): </w:t>
      </w:r>
      <w:r>
        <w:rPr>
          <w:b/>
        </w:rPr>
        <w:t>9 stocks, up from 5 (+4)</w:t>
      </w:r>
      <w:r>
        <w:t>. IIFL, LALPATHLAB, HEG, UNITDSPR.</w:t>
      </w:r>
    </w:p>
    <w:p>
      <w:pPr>
        <w:pStyle w:val="ListBullet"/>
      </w:pPr>
      <w:r>
        <w:rPr>
          <w:b/>
        </w:rPr>
        <w:t>VCP Strong</w:t>
      </w:r>
      <w:r>
        <w:t xml:space="preserve">: </w:t>
      </w:r>
      <w:r>
        <w:rPr>
          <w:b/>
        </w:rPr>
        <w:t>3 stocks, up from 1 (+2)</w:t>
      </w:r>
      <w:r>
        <w:t xml:space="preserve"> — RKFORGE, LALPATHLAB, UNITDSPR.</w:t>
      </w:r>
    </w:p>
    <w:p>
      <w:pPr>
        <w:pStyle w:val="ListBullet"/>
      </w:pPr>
      <w:r>
        <w:rPr>
          <w:b/>
        </w:rPr>
        <w:t>Narrow CPR</w:t>
      </w:r>
      <w:r>
        <w:t xml:space="preserve"> (Central Pivot Range setup — often a breakout precursor): </w:t>
      </w:r>
      <w:r>
        <w:rPr>
          <w:b/>
        </w:rPr>
        <w:t>36 stocks, up from 31 (+5)</w:t>
      </w:r>
      <w:r>
        <w:t>. PFIZER, SBICARD, DEEPAKNTR, ATUL, INDIANB.</w:t>
      </w:r>
    </w:p>
    <w:p>
      <w:r>
        <w:rPr>
          <w:b/>
        </w:rPr>
        <w:t>Multi-signal callouts</w:t>
      </w:r>
      <w:r>
        <w:t xml:space="preserve"> — higher-conviction cross-indicator confirmations: </w:t>
      </w:r>
      <w:r>
        <w:rPr>
          <w:b/>
        </w:rPr>
        <w:t>SUNDRMFAST</w:t>
      </w:r>
      <w:r>
        <w:t xml:space="preserve"> (Blue Zone Buy + Blue Zone Strong + MACD Buy), </w:t>
      </w:r>
      <w:r>
        <w:rPr>
          <w:b/>
        </w:rPr>
        <w:t>NEULANDLAB</w:t>
      </w:r>
      <w:r>
        <w:t xml:space="preserve"> (Blue Zone Buy + MACD Buy + MACD Strong — matches the +963% EPS print), </w:t>
      </w:r>
      <w:r>
        <w:rPr>
          <w:b/>
        </w:rPr>
        <w:t>SHILPAMED</w:t>
      </w:r>
      <w:r>
        <w:t xml:space="preserve"> (same triple), </w:t>
      </w:r>
      <w:r>
        <w:rPr>
          <w:b/>
        </w:rPr>
        <w:t>LALPATHLAB</w:t>
      </w:r>
      <w:r>
        <w:t xml:space="preserve"> (Blue Zone Buy + VCP Buy + VCP Strong), </w:t>
      </w:r>
      <w:r>
        <w:rPr>
          <w:b/>
        </w:rPr>
        <w:t>UNITDSPR</w:t>
      </w:r>
      <w:r>
        <w:t xml:space="preserve"> (Blue Zone Buy + VCP Buy + VCP Strong), and </w:t>
      </w:r>
      <w:r>
        <w:rPr>
          <w:b/>
        </w:rPr>
        <w:t>ANANDRATHI</w:t>
      </w:r>
      <w:r>
        <w:t xml:space="preserve"> (MACD Buy + MACD Strong + VCP Buy). LALPATHLAB and UNITDSPR — both hitting VCP Strong plus Blue Zone — are the tightest setups this week.</w:t>
      </w:r>
    </w:p>
    <w:p>
      <w:r>
        <w:rPr>
          <w:b/>
        </w:rPr>
        <w:t>Signal-mix read:</w:t>
      </w:r>
      <w:r>
        <w:t xml:space="preserve"> rotating, not expanding. Blue Zone is broadening (accumulation is spreading) but MACD is contracting (momentum at the leading edge is fading). Classic mid-cycle rotation.</w:t>
      </w:r>
    </w:p>
    <w:p>
      <w:pPr>
        <w:pStyle w:val="Heading2"/>
      </w:pPr>
      <w:r>
        <w:t>6. Notable Stock-Level Action</w:t>
      </w:r>
    </w:p>
    <w:p>
      <w:pPr>
        <w:pStyle w:val="ListBullet"/>
      </w:pPr>
      <w:r>
        <w:rPr>
          <w:b/>
        </w:rPr>
        <w:t>TVSSRICHAK, 75.6x volume</w:t>
      </w:r>
      <w:r>
        <w:t>, on no earnings catalyst — the biggest single-stock volume anomaly of the week. Auto components stir.</w:t>
      </w:r>
    </w:p>
    <w:p>
      <w:pPr>
        <w:pStyle w:val="ListBullet"/>
      </w:pPr>
      <w:r>
        <w:rPr>
          <w:b/>
        </w:rPr>
        <w:t>HONASA, 25.4x volume</w:t>
      </w:r>
      <w:r>
        <w:t xml:space="preserve"> with RS rank #93 — FMCG breakout signature; watch for follow-through.</w:t>
      </w:r>
    </w:p>
    <w:p>
      <w:pPr>
        <w:pStyle w:val="ListBullet"/>
      </w:pPr>
      <w:r>
        <w:rPr>
          <w:b/>
        </w:rPr>
        <w:t>BDL</w:t>
      </w:r>
      <w:r>
        <w:t xml:space="preserve"> shows up in BOTH the top rank surges AND top volume breakouts (9.2x) — the cleanest Defence rotation tell this week. </w:t>
      </w:r>
      <w:r>
        <w:rPr>
          <w:b/>
        </w:rPr>
        <w:t>BEL</w:t>
      </w:r>
      <w:r>
        <w:t xml:space="preserve"> is also in the surge list.</w:t>
      </w:r>
    </w:p>
    <w:p>
      <w:pPr>
        <w:pStyle w:val="ListBullet"/>
      </w:pPr>
      <w:r>
        <w:rPr>
          <w:b/>
        </w:rPr>
        <w:t>MINDACORP, 11.5x volume, RS #128</w:t>
      </w:r>
      <w:r>
        <w:t xml:space="preserve"> — second auto-components signal; two names in the same sector on the same tape is not coincidence.</w:t>
      </w:r>
    </w:p>
    <w:p>
      <w:pPr>
        <w:pStyle w:val="ListBullet"/>
      </w:pPr>
      <w:r>
        <w:rPr>
          <w:b/>
        </w:rPr>
        <w:t>PIIND ranked #477 after a +41.4 slope decline</w:t>
      </w:r>
      <w:r>
        <w:t xml:space="preserve"> — the sharpest chemicals rank collapse this week. Worth watching whether that spreads.</w:t>
      </w:r>
    </w:p>
    <w:p>
      <w:pPr>
        <w:pStyle w:val="Heading2"/>
      </w:pPr>
      <w:r>
        <w:t>7. Macro &amp; Global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Level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Δ WoW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India VIX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11.42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-0.74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Brent Crude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$87.09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+4.4%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Gold (USD/oz)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$4,379.70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+3.2%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Silver (USD/oz)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$64.19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+4.5%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DXY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99.88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-0.09</w:t>
            </w:r>
          </w:p>
        </w:tc>
      </w:tr>
    </w:tbl>
    <w:p/>
    <w:p>
      <w:r>
        <w:t>VIX below 12 with the market drifting lower is unusual — the tape is grinding, not panicking. Brent's 4.4% move is the biggest macro shock, driven by US-Iran tensions and the US Senate sanctions bill on Russian crude buyers (which explicitly names India).</w:t>
      </w:r>
    </w:p>
    <w:p>
      <w:r>
        <w:rPr>
          <w:b/>
        </w:rPr>
        <w:t>Domestic policy — the more actionable driver:</w:t>
      </w:r>
    </w:p>
    <w:p>
      <w:pPr>
        <w:pStyle w:val="ListBullet"/>
      </w:pPr>
      <w:r>
        <w:rPr>
          <w:b/>
        </w:rPr>
        <w:t>RBI's new floating-rate loan framework</w:t>
      </w:r>
      <w:r>
        <w:t xml:space="preserve"> (new this week) standardises rate-setting across banks and NBFCs, potentially closing the spread-tinkering that has protected NIMs. SBIN -2.7% (5D) is the market's early verdict.</w:t>
      </w:r>
    </w:p>
    <w:p>
      <w:pPr>
        <w:pStyle w:val="ListBullet"/>
      </w:pPr>
      <w:r>
        <w:rPr>
          <w:b/>
        </w:rPr>
        <w:t>RBI closed the FCNR(B) NRI deposit window early</w:t>
      </w:r>
      <w:r>
        <w:t xml:space="preserve"> after a $52.3 billion inflow rush — rupee-supportive, and banks are drawing on the RBI's concessional swap window.</w:t>
      </w:r>
    </w:p>
    <w:p>
      <w:pPr>
        <w:pStyle w:val="ListBullet"/>
      </w:pPr>
      <w:r>
        <w:rPr>
          <w:b/>
        </w:rPr>
        <w:t>Windfall tax on fuel exports reduced</w:t>
      </w:r>
      <w:r>
        <w:t xml:space="preserve"> (new this week) — bullish for refiners, but overwhelmed by the Russian-crude tariff overhang.</w:t>
      </w:r>
    </w:p>
    <w:p>
      <w:pPr>
        <w:pStyle w:val="ListBullet"/>
      </w:pPr>
      <w:r>
        <w:rPr>
          <w:b/>
        </w:rPr>
        <w:t>Petrol/diesel hiked ₹3/litre</w:t>
      </w:r>
      <w:r>
        <w:t xml:space="preserve"> — direct headwind for aviation, logistics, and auto components.</w:t>
      </w:r>
    </w:p>
    <w:p>
      <w:pPr>
        <w:pStyle w:val="ListBullet"/>
      </w:pPr>
      <w:r>
        <w:rPr>
          <w:b/>
        </w:rPr>
        <w:t>India CPI at 4.45%</w:t>
      </w:r>
      <w:r>
        <w:t xml:space="preserve"> — within RBI target band, keeping the pause in place. RBI held at 5.25% with FY27 GDP projected at 6.9%.</w:t>
      </w:r>
    </w:p>
    <w:p>
      <w:pPr>
        <w:pStyle w:val="ListBullet"/>
      </w:pPr>
      <w:r>
        <w:rPr>
          <w:b/>
        </w:rPr>
        <w:t>1 GW of round-the-clock renewables awarded</w:t>
      </w:r>
      <w:r>
        <w:t xml:space="preserve"> at competitive tariff — bullish for the power/renewables complex.</w:t>
      </w:r>
    </w:p>
    <w:p>
      <w:pPr>
        <w:pStyle w:val="Heading2"/>
      </w:pPr>
      <w:r>
        <w:t>8. What to Watch Next Week</w:t>
      </w:r>
    </w:p>
    <w:p>
      <w:pPr>
        <w:pStyle w:val="ListBullet"/>
      </w:pPr>
      <w:r>
        <w:rPr>
          <w:b/>
        </w:rPr>
        <w:t>Nifty vs the 200-EMA at 24,404.77</w:t>
      </w:r>
      <w:r>
        <w:t>: Friday's close at 24,366 is 38 points below. Reclaiming and closing above this level would flip the trend picture; failing at it again would confirm the 200-EMA as active resistance. The 20-EMA at 24,348.84 is the near-term support.</w:t>
      </w:r>
    </w:p>
    <w:p>
      <w:pPr>
        <w:pStyle w:val="ListBullet"/>
      </w:pPr>
      <w:r>
        <w:rPr>
          <w:b/>
        </w:rPr>
        <w:t>PSU banks</w:t>
      </w:r>
      <w:r>
        <w:t>: SBIN's -2.7% weekly move on the RBI floating-rate framework is a read-through for the rest of the PSU bank complex — watch BOB, PNB, INDIANB for a similar tape.</w:t>
      </w:r>
    </w:p>
    <w:p>
      <w:pPr>
        <w:pStyle w:val="ListBullet"/>
      </w:pPr>
      <w:r>
        <w:rPr>
          <w:b/>
        </w:rPr>
        <w:t>Defence rotation depth</w:t>
      </w:r>
      <w:r>
        <w:t>: HAL, BEL, BDL all showing strength. Watch second-tier defence names (MIDHANI, MTAR) for confirmation the rotation has legs.</w:t>
      </w:r>
    </w:p>
    <w:p>
      <w:pPr>
        <w:pStyle w:val="ListBullet"/>
      </w:pPr>
      <w:r>
        <w:rPr>
          <w:b/>
        </w:rPr>
        <w:t>BSE Nifty 50 inclusion</w:t>
      </w:r>
      <w:r>
        <w:t xml:space="preserve"> (flagged as upcoming in headlines): mechanical demand ahead of index entry.</w:t>
      </w:r>
    </w:p>
    <w:p>
      <w:pPr>
        <w:pStyle w:val="ListBullet"/>
      </w:pPr>
      <w:r>
        <w:rPr>
          <w:b/>
        </w:rPr>
        <w:t>Auto components cluster</w:t>
      </w:r>
      <w:r>
        <w:t>: TVSSRICHAK and MINDACORP volume signatures are early. Watch whether SUNDRMFAST (multi-signal) and VARROC extend.</w:t>
      </w:r>
    </w:p>
    <w:p>
      <w:pPr>
        <w:pStyle w:val="Heading2"/>
      </w:pPr>
      <w:r>
        <w:t>9. The Bottom Line</w:t>
      </w:r>
    </w:p>
    <w:p>
      <w:pPr>
        <w:pStyle w:val="ListNumber"/>
      </w:pPr>
      <w:r>
        <w:rPr>
          <w:b/>
        </w:rPr>
        <w:t>The tape is rotating, not trending.</w:t>
      </w:r>
      <w:r>
        <w:t xml:space="preserve"> Nifty is pinned between its 20-EMA and 200-EMA, breadth is narrowing (56% above 200-EMA vs 59% mid-week), and the signal mix shows Blue Zone accumulation broadening (+20 stocks) while MACD momentum thins (-19 stocks). Mid-cycle behaviour — not a top, not a fresh leg up.</w:t>
      </w:r>
    </w:p>
    <w:p>
      <w:pPr>
        <w:pStyle w:val="ListNumber"/>
      </w:pPr>
      <w:r>
        <w:rPr>
          <w:b/>
        </w:rPr>
        <w:t>Defence and Consumer Durables are the cleanest rotation stories.</w:t>
      </w:r>
      <w:r>
        <w:t xml:space="preserve"> Defence had a quadrant flip to Leading with confirming action across HAL, BEL, BDL. Consumer Durables flipped to Leading with Titan's +2.3% and LALPATHLAB's Blue Zone + VCP Strong combo. Both worth watching for follow-through — caveat: rotations can round-trip inside two weeks if breadth doesn't confirm.</w:t>
      </w:r>
    </w:p>
    <w:p>
      <w:pPr>
        <w:pStyle w:val="ListNumber"/>
      </w:pPr>
      <w:r>
        <w:rPr>
          <w:b/>
        </w:rPr>
        <w:t>The banking picture is genuinely mixed and requires patience.</w:t>
      </w:r>
      <w:r>
        <w:t xml:space="preserve"> Banking flipped to Improving on sector data, Q1 FY27 EPS median is +27.4%, but the RBI floating-rate framework is a real overhang and SBIN's 5-day action is the tell. LICI's +5.0% suggests the safer read is in insurance / non-lending financials until the framework's specifics clarify.</w:t>
      </w:r>
    </w:p>
    <w:p>
      <w:r>
        <w:t>Honest caveat: the recent-earnings pipeline is dry this week — treat every large-cap EPS number in this report as historical context, not a fresh catalyst.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