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Weekly Market Brief — 2026-08-15</w:t>
      </w:r>
    </w:p>
    <w:p>
      <w:pPr>
        <w:pStyle w:val="Heading2"/>
      </w:pPr>
      <w:r>
        <w:t>The Week in One Line</w:t>
      </w:r>
    </w:p>
    <w:p>
      <w:r>
        <w:t xml:space="preserve">Nifty slipped </w:t>
      </w:r>
      <w:r>
        <w:rPr>
          <w:b/>
        </w:rPr>
        <w:t>0.8%</w:t>
      </w:r>
      <w:r>
        <w:t xml:space="preserve"> to 24,366 as oil spiked, Tata leadership news weighed, and traders digested fresh RBI rules.</w:t>
      </w:r>
    </w:p>
    <w:p>
      <w:pPr>
        <w:pStyle w:val="Heading2"/>
      </w:pPr>
      <w:r>
        <w:t>What's Working</w:t>
      </w:r>
    </w:p>
    <w:p>
      <w:pPr>
        <w:pStyle w:val="ListBullet"/>
      </w:pPr>
      <w:r>
        <w:rPr>
          <w:b/>
        </w:rPr>
        <w:t>Defence (+2.2%)</w:t>
      </w:r>
      <w:r>
        <w:t>: HAL's steady earnings (+15% profit growth) and continued government order momentum kept the sector in "leading" territory on our sector map.</w:t>
      </w:r>
    </w:p>
    <w:p>
      <w:pPr>
        <w:pStyle w:val="ListBullet"/>
      </w:pPr>
      <w:r>
        <w:rPr>
          <w:b/>
        </w:rPr>
        <w:t>Agriculture (+1.7%)</w:t>
      </w:r>
      <w:r>
        <w:t>: A quiet bounce after weeks of underperformance — no single catalyst, more a rotation into beaten-down names.</w:t>
      </w:r>
    </w:p>
    <w:p>
      <w:pPr>
        <w:pStyle w:val="ListBullet"/>
      </w:pPr>
      <w:r>
        <w:rPr>
          <w:b/>
        </w:rPr>
        <w:t>Telecom (+1.6%)</w:t>
      </w:r>
      <w:r>
        <w:t>: Bharti Airtel rose 2.7% on the day of results (profit +26%), and HFCL's blockbuster print (EPS up 777%) added to the buzz.</w:t>
      </w:r>
    </w:p>
    <w:p>
      <w:pPr>
        <w:pStyle w:val="Heading2"/>
      </w:pPr>
      <w:r>
        <w:t>What's Not</w:t>
      </w:r>
    </w:p>
    <w:p>
      <w:pPr>
        <w:pStyle w:val="ListBullet"/>
      </w:pPr>
      <w:r>
        <w:rPr>
          <w:b/>
        </w:rPr>
        <w:t>Infrastructure (-2.8%)</w:t>
      </w:r>
      <w:r>
        <w:t>: Weak sentiment continues — the sector is down nearly 13% this year. Rising oil hurts input costs for builders.</w:t>
      </w:r>
    </w:p>
    <w:p>
      <w:pPr>
        <w:pStyle w:val="ListBullet"/>
      </w:pPr>
      <w:r>
        <w:rPr>
          <w:b/>
        </w:rPr>
        <w:t>Cement (-2.7%)</w:t>
      </w:r>
      <w:r>
        <w:t>: UltraTech results were fine (+17% EPS), but the stock fell 4% over five days — a sign the market wanted more given the price it had already run to.</w:t>
      </w:r>
    </w:p>
    <w:p>
      <w:pPr>
        <w:pStyle w:val="ListBullet"/>
      </w:pPr>
      <w:r>
        <w:rPr>
          <w:b/>
        </w:rPr>
        <w:t>Textiles (-2.7%)</w:t>
      </w:r>
      <w:r>
        <w:t>: A pullback after a strong 6-month run (+13.5%). Some profit-taking, nothing structural.</w:t>
      </w:r>
    </w:p>
    <w:p>
      <w:pPr>
        <w:pStyle w:val="Heading2"/>
      </w:pPr>
      <w:r>
        <w:t>Notable Events</w:t>
      </w:r>
    </w:p>
    <w:p>
      <w:r>
        <w:rPr>
          <w:b/>
        </w:rPr>
        <w:t>Oil got expensive again.</w:t>
      </w:r>
      <w:r>
        <w:t xml:space="preserve"> Brent crude jumped </w:t>
      </w:r>
      <w:r>
        <w:rPr>
          <w:b/>
        </w:rPr>
        <w:t>4.4%</w:t>
      </w:r>
      <w:r>
        <w:t xml:space="preserve"> to $87 as US-Iran tensions flared. On top of that, the government hiked </w:t>
      </w:r>
      <w:r>
        <w:rPr>
          <w:b/>
        </w:rPr>
        <w:t>petrol and diesel by ₹3/litre</w:t>
      </w:r>
      <w:r>
        <w:t xml:space="preserve"> and Delhi CNG by ₹2. This is a double hit: it squeezes airlines, logistics firms, and auto makers, and it eats into household budgets — which is why energy-sensitive sectors sold off.</w:t>
      </w:r>
    </w:p>
    <w:p>
      <w:r>
        <w:rPr>
          <w:b/>
        </w:rPr>
        <w:t>RBI reshaped how loans are priced.</w:t>
      </w:r>
      <w:r>
        <w:t xml:space="preserve"> The central bank proposed a new framework standardising how banks and NBFCs set floating-rate loan interest. It's aimed at protecting borrowers, but it also limits how much banks can tweak margins — mildly bearish for lender profits. Separately, RBI shut its </w:t>
      </w:r>
      <w:r>
        <w:rPr>
          <w:b/>
        </w:rPr>
        <w:t>FCNR(B) window</w:t>
      </w:r>
      <w:r>
        <w:t xml:space="preserve"> (a special deposit scheme for NRIs) early after $52 billion rushed in — a good problem to have for the rupee.</w:t>
      </w:r>
    </w:p>
    <w:p>
      <w:r>
        <w:rPr>
          <w:b/>
        </w:rPr>
        <w:t>Tata Group's leadership shuffle.</w:t>
      </w:r>
      <w:r>
        <w:t xml:space="preserve"> Chairman N. Chandrasekaran's exit rattled Tata stocks and dragged the Sensex down 188 points on one session. When a conglomerate this large has succession uncertainty, it ripples across dozens of listed names.</w:t>
      </w:r>
    </w:p>
    <w:p>
      <w:pPr>
        <w:pStyle w:val="Heading2"/>
      </w:pPr>
      <w:r>
        <w:t>Charts to Know</w:t>
      </w:r>
    </w:p>
    <w:p>
      <w:r>
        <w:rPr>
          <w:b/>
        </w:rPr>
        <w:t>Breadth is quietly weakening.</w:t>
      </w:r>
      <w:r>
        <w:t xml:space="preserve"> Breadth simply measures how many stocks go up vs down each day. This week, declining stocks beat advancing ones on 5 of 6 sessions — and on Friday, 379 stocks fell vs just 201 that rose. The share of stocks trading above their long-term (200-day) average also slipped from 59% to 56%. Translation: the sell-off wasn't concentrated in a few big names — it was broad.</w:t>
      </w:r>
    </w:p>
    <w:p>
      <w:r>
        <w:rPr>
          <w:b/>
        </w:rPr>
        <w:t>Nifty is sitting right on its short-term trendline.</w:t>
      </w:r>
      <w:r>
        <w:t xml:space="preserve"> The index closed at 24,366, just barely above its 20-day moving average (a smoothed trendline of the last month's prices) at 24,349, but </w:t>
      </w:r>
      <w:r>
        <w:rPr>
          <w:b/>
        </w:rPr>
        <w:t>below</w:t>
      </w:r>
      <w:r>
        <w:t xml:space="preserve"> its 200-day average of 24,405. That 200-day line is the key long-term marker — losing it decisively would be a warning sign.</w:t>
      </w:r>
    </w:p>
    <w:p>
      <w:pPr>
        <w:pStyle w:val="Heading2"/>
      </w:pPr>
      <w:r>
        <w:t>What to Watch Next Week</w:t>
      </w:r>
    </w:p>
    <w:p>
      <w:pPr>
        <w:pStyle w:val="ListBullet"/>
      </w:pPr>
      <w:r>
        <w:rPr>
          <w:b/>
        </w:rPr>
        <w:t>Earnings</w:t>
      </w:r>
      <w:r>
        <w:t xml:space="preserve">: The bulk of Jun-quarter results are done, but watch late reporters in mid-caps. Notably strong sector medians so far: </w:t>
      </w:r>
      <w:r>
        <w:rPr>
          <w:b/>
        </w:rPr>
        <w:t>Logistics (+81% EPS)</w:t>
      </w:r>
      <w:r>
        <w:t xml:space="preserve">, </w:t>
      </w:r>
      <w:r>
        <w:rPr>
          <w:b/>
        </w:rPr>
        <w:t>Textiles (+49%)</w:t>
      </w:r>
      <w:r>
        <w:t xml:space="preserve">, </w:t>
      </w:r>
      <w:r>
        <w:rPr>
          <w:b/>
        </w:rPr>
        <w:t>Chemicals (+34%)</w:t>
      </w:r>
      <w:r>
        <w:t xml:space="preserve"> — these are the sectors where fundamentals are actually improving.</w:t>
      </w:r>
    </w:p>
    <w:p>
      <w:pPr>
        <w:pStyle w:val="ListBullet"/>
      </w:pPr>
      <w:r>
        <w:rPr>
          <w:b/>
        </w:rPr>
        <w:t>Macro</w:t>
      </w:r>
      <w:r>
        <w:t xml:space="preserve">: Any update on the US-India talks around the </w:t>
      </w:r>
      <w:r>
        <w:rPr>
          <w:b/>
        </w:rPr>
        <w:t>Russia oil tariff bill</w:t>
      </w:r>
      <w:r>
        <w:t xml:space="preserve"> is the single biggest external risk. Also watch crude — every $5 up in Brent adds pressure on inflation and the rupee.</w:t>
      </w:r>
    </w:p>
    <w:p>
      <w:pPr>
        <w:pStyle w:val="ListBullet"/>
      </w:pPr>
      <w:r>
        <w:rPr>
          <w:b/>
        </w:rPr>
        <w:t>Nifty levels</w:t>
      </w:r>
      <w:r>
        <w:t xml:space="preserve">: </w:t>
      </w:r>
      <w:r>
        <w:rPr>
          <w:b/>
        </w:rPr>
        <w:t>24,405</w:t>
      </w:r>
      <w:r>
        <w:t xml:space="preserve"> (the 200-day line) is the ceiling to reclaim. On the downside, </w:t>
      </w:r>
      <w:r>
        <w:rPr>
          <w:b/>
        </w:rPr>
        <w:t>24,165</w:t>
      </w:r>
      <w:r>
        <w:t xml:space="preserve"> (the 50-day line) is the first cushion. A close below that would suggest the pullback has legs.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