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2026-05-25</w:t>
      </w:r>
    </w:p>
    <w:p>
      <w:pPr>
        <w:pStyle w:val="Heading1"/>
      </w:pPr>
      <w:r>
        <w:t>Weekly Market Report — 18 to 22 May 2026</w:t>
      </w:r>
    </w:p>
    <w:p>
      <w:pPr>
        <w:pStyle w:val="Heading2"/>
      </w:pPr>
      <w:r>
        <w:t>1. What Happened This Week</w:t>
      </w:r>
    </w:p>
    <w:p>
      <w:r>
        <w:t xml:space="preserve">Nifty 50 closed the week at </w:t>
      </w:r>
      <w:r>
        <w:rPr>
          <w:b/>
        </w:rPr>
        <w:t>23,746.00</w:t>
      </w:r>
      <w:r>
        <w:t xml:space="preserve">, up just </w:t>
      </w:r>
      <w:r>
        <w:rPr>
          <w:b/>
        </w:rPr>
        <w:t>+0.4%</w:t>
      </w:r>
      <w:r>
        <w:t xml:space="preserve"> from Monday's </w:t>
      </w:r>
      <w:r>
        <w:rPr>
          <w:b/>
        </w:rPr>
        <w:t>23,643.75</w:t>
      </w:r>
      <w:r>
        <w:t xml:space="preserve"> — a flat tape that hides a noisy week underneath. The dominant catalyst was a fresh leadership change at the central bank: </w:t>
      </w:r>
      <w:r>
        <w:rPr>
          <w:b/>
        </w:rPr>
        <w:t>Sanjay Malhotra was appointed as the new RBI Governor</w:t>
      </w:r>
      <w:r>
        <w:t xml:space="preserve">, and almost immediately the RBI signalled it would </w:t>
      </w:r>
      <w:r>
        <w:rPr>
          <w:b/>
        </w:rPr>
        <w:t>prioritise inflation management over a defensive repo rate hike</w:t>
      </w:r>
      <w:r>
        <w:t xml:space="preserve">, even as the rupee hit fresh record lows on US-Iran tensions. To stabilise the currency, the RBI announced a </w:t>
      </w:r>
      <w:r>
        <w:rPr>
          <w:b/>
        </w:rPr>
        <w:t>$5 billion dollar-rupee swap auction for May 26</w:t>
      </w:r>
      <w:r>
        <w:t xml:space="preserve"> — a liquidity-supportive step that markets read as dovish. Layered on top: a confidence push from the RBI bulletin and SEBI chief Madhabi Buch's "Indian markets can absorb external shocks" comment, plus a fresh </w:t>
      </w:r>
      <w:r>
        <w:rPr>
          <w:b/>
        </w:rPr>
        <w:t>RBI proposal restricting NBFC practices</w:t>
      </w:r>
      <w:r>
        <w:t xml:space="preserve"> (mobile-phone disabling for defaulters, tighter board-observer scrutiny) that took a small bite out of non-bank lenders.</w:t>
      </w:r>
    </w:p>
    <w:p>
      <w:pPr>
        <w:pStyle w:val="Heading2"/>
      </w:pPr>
      <w:r>
        <w:t>2. The Trend Picture</w:t>
      </w:r>
    </w:p>
    <w:p>
      <w:r>
        <w:t xml:space="preserve">The Nifty is now </w:t>
      </w:r>
      <w:r>
        <w:rPr>
          <w:b/>
        </w:rPr>
        <w:t>below all three key EMAs</w:t>
      </w:r>
      <w:r>
        <w:t xml:space="preserve"> (Exponential Moving Average — a smoothed average of recent closes used to gauge trend):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EMA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Nifty vs. EMA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20-day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23,793.36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-0.2% (below)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50-day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23,949.84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-0.9% (below)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200-day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24,618.38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-3.5% (below)</w:t>
            </w:r>
          </w:p>
        </w:tc>
      </w:tr>
    </w:tbl>
    <w:p/>
    <w:p>
      <w:r>
        <w:t xml:space="preserve">That's a corrective trend, not a healthy one — but the 0.2% gap to the EMA20 is wafer-thin, suggesting Nifty is fighting to reclaim its near-term trend line. </w:t>
      </w:r>
      <w:r>
        <w:rPr>
          <w:b/>
        </w:rPr>
        <w:t>Breadth is improving in fits and starts</w:t>
      </w:r>
      <w:r>
        <w:t xml:space="preserve">. Monday was ugly (126 advances vs 461 declines, the week's washout), but Tuesday flipped hard to </w:t>
      </w:r>
      <w:r>
        <w:rPr>
          <w:b/>
        </w:rPr>
        <w:t>402 advances vs 183 declines</w:t>
      </w:r>
      <w:r>
        <w:t xml:space="preserve"> — the strongest A/D split of the week. Thursday's </w:t>
      </w:r>
      <w:r>
        <w:rPr>
          <w:b/>
        </w:rPr>
        <w:t>350 vs 232</w:t>
      </w:r>
      <w:r>
        <w:t xml:space="preserve"> confirmed the recovery. The </w:t>
      </w:r>
      <w:r>
        <w:rPr>
          <w:b/>
        </w:rPr>
        <w:t>% of stocks above their 200-EMA</w:t>
      </w:r>
      <w:r>
        <w:t xml:space="preserve"> climbed from 40% on Monday to </w:t>
      </w:r>
      <w:r>
        <w:rPr>
          <w:b/>
        </w:rPr>
        <w:t>44% by Friday</w:t>
      </w:r>
      <w:r>
        <w:t>, a small but real expansion. Fresh 52-week lows continue to outnumber highs (10 vs 0 on Friday), so this is a base-building tape, not a breakout one.</w:t>
      </w:r>
    </w:p>
    <w:p>
      <w:pPr>
        <w:pStyle w:val="Heading2"/>
      </w:pPr>
      <w:r>
        <w:t>3. Sector Rotation — Where Money Is Flowing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Top 5 (5D)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Bottom 5 (5D)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+3.8%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-3.1%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AVIATION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+2.9%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LOGISTICS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-3.1%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TRADING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+2.1%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FMCG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-1.4%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REALTY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+1.9%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AUTOMOBILE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-1.3%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INDUSTRIAL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+1.4%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METALS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-0.8%</w:t>
            </w:r>
          </w:p>
        </w:tc>
      </w:tr>
    </w:tbl>
    <w:p/>
    <w:p>
      <w:r>
        <w:t xml:space="preserve">The week's most informative move on the </w:t>
      </w:r>
      <w:r>
        <w:rPr>
          <w:b/>
        </w:rPr>
        <w:t>Relative Rotation Graph</w:t>
      </w:r>
      <w:r>
        <w:t xml:space="preserve"> (RRG — a chart that maps each sector's momentum-vs-strength into four quadrants: Leading, Weakening, Lagging, Improving) was </w:t>
      </w:r>
      <w:r>
        <w:rPr>
          <w:b/>
        </w:rPr>
        <w:t>IT flipping from Improving to Leading</w:t>
      </w:r>
      <w:r>
        <w:t xml:space="preserve"> (RS Δ +1.6). With Brent crude retreating </w:t>
      </w:r>
      <w:r>
        <w:rPr>
          <w:b/>
        </w:rPr>
        <w:t>-6.0%</w:t>
      </w:r>
      <w:r>
        <w:t xml:space="preserve"> to </w:t>
      </w:r>
      <w:r>
        <w:rPr>
          <w:b/>
        </w:rPr>
        <w:t>$104.62</w:t>
      </w:r>
      <w:r>
        <w:t xml:space="preserve"> and the RBI flagging that the rupee will be allowed to find its level (no immediate rate hike), the export-earning, dollar-revenue IT pack got a double tailwind. </w:t>
      </w:r>
      <w:r>
        <w:rPr>
          <w:b/>
        </w:rPr>
        <w:t>Aviation simultaneously flipped from Lagging to Improving</w:t>
      </w:r>
      <w:r>
        <w:t xml:space="preserve"> (+2.9%) — a clean Brent-driven rotation, since jet fuel is roughly a third of an airline's cost stack.</w:t>
      </w:r>
    </w:p>
    <w:p>
      <w:r>
        <w:t xml:space="preserve">The flip side was uglier: </w:t>
      </w:r>
      <w:r>
        <w:rPr>
          <w:b/>
        </w:rPr>
        <w:t>Automobile fell straight from Leading to Lagging</w:t>
      </w:r>
      <w:r>
        <w:t xml:space="preserve"> (RS Δ -5.1), </w:t>
      </w:r>
      <w:r>
        <w:rPr>
          <w:b/>
        </w:rPr>
        <w:t>Cement</w:t>
      </w:r>
      <w:r>
        <w:t xml:space="preserve"> went Leading → Lagging (RS Δ -3.9), and </w:t>
      </w:r>
      <w:r>
        <w:rPr>
          <w:b/>
        </w:rPr>
        <w:t>Auto Components</w:t>
      </w:r>
      <w:r>
        <w:t xml:space="preserve">, </w:t>
      </w:r>
      <w:r>
        <w:rPr>
          <w:b/>
        </w:rPr>
        <w:t>Chemicals</w:t>
      </w:r>
      <w:r>
        <w:t xml:space="preserve"> and </w:t>
      </w:r>
      <w:r>
        <w:rPr>
          <w:b/>
        </w:rPr>
        <w:t>Conglomerate</w:t>
      </w:r>
      <w:r>
        <w:t xml:space="preserve"> all dropped out of Leading into Weakening. That's five sectors abandoning the front of the pack in a single week — a textbook rotation, not a broad-market slide. Money is leaving cyclical India-growth proxies and recycling into dollar-earners and rate-sensitives (Realty +1.9%).</w:t>
      </w:r>
    </w:p>
    <w:p>
      <w:pPr>
        <w:pStyle w:val="Heading2"/>
      </w:pPr>
      <w:r>
        <w:t>4. Earnings Pulse — Mar 2026 Quarter</w:t>
      </w:r>
    </w:p>
    <w:p>
      <w:r>
        <w:t xml:space="preserve">The earnings table is filtered to the </w:t>
      </w:r>
      <w:r>
        <w:rPr>
          <w:b/>
        </w:rPr>
        <w:t>Mar 2026 quarter</w:t>
      </w:r>
      <w:r>
        <w:t xml:space="preserve">: </w:t>
      </w:r>
      <w:r>
        <w:rPr>
          <w:b/>
        </w:rPr>
        <w:t>415 stocks have reported</w:t>
      </w:r>
      <w:r>
        <w:t xml:space="preserve">, </w:t>
      </w:r>
      <w:r>
        <w:rPr>
          <w:b/>
        </w:rPr>
        <w:t>126 still pending</w:t>
      </w:r>
      <w:r>
        <w:t xml:space="preserve"> (their prior-quarter data is excluded to avoid distortion).</w:t>
      </w:r>
    </w:p>
    <w:p>
      <w:r>
        <w:rPr>
          <w:b/>
        </w:rPr>
        <w:t>(a) Sector aggregate.</w:t>
      </w:r>
      <w:r>
        <w:t xml:space="preserve"> The quarter is broadly healthy. </w:t>
      </w:r>
      <w:r>
        <w:rPr>
          <w:b/>
        </w:rPr>
        <w:t>Logistics (+118.9% median EPS YoY)</w:t>
      </w:r>
      <w:r>
        <w:t xml:space="preserve"> and </w:t>
      </w:r>
      <w:r>
        <w:rPr>
          <w:b/>
        </w:rPr>
        <w:t>Telecom (+93.2%)</w:t>
      </w:r>
      <w:r>
        <w:t xml:space="preserve"> lead, though both are low-base effects (Idea's +580% inside Telecom skews the median). Sturdier reads: </w:t>
      </w:r>
      <w:r>
        <w:rPr>
          <w:b/>
        </w:rPr>
        <w:t>Metals +42.7%</w:t>
      </w:r>
      <w:r>
        <w:t xml:space="preserve">, </w:t>
      </w:r>
      <w:r>
        <w:rPr>
          <w:b/>
        </w:rPr>
        <w:t>Chemicals +26.3%</w:t>
      </w:r>
      <w:r>
        <w:t xml:space="preserve">, </w:t>
      </w:r>
      <w:r>
        <w:rPr>
          <w:b/>
        </w:rPr>
        <w:t>Financial Services +25.8%</w:t>
      </w:r>
      <w:r>
        <w:t xml:space="preserve">, </w:t>
      </w:r>
      <w:r>
        <w:rPr>
          <w:b/>
        </w:rPr>
        <w:t>FMCG +20.0%</w:t>
      </w:r>
      <w:r>
        <w:t xml:space="preserve">, </w:t>
      </w:r>
      <w:r>
        <w:rPr>
          <w:b/>
        </w:rPr>
        <w:t>Healthcare +19.4%</w:t>
      </w:r>
      <w:r>
        <w:t xml:space="preserve">. The laggards are </w:t>
      </w:r>
      <w:r>
        <w:rPr>
          <w:b/>
        </w:rPr>
        <w:t>Banking (+9.9%)</w:t>
      </w:r>
      <w:r>
        <w:t xml:space="preserve"> and </w:t>
      </w:r>
      <w:r>
        <w:rPr>
          <w:b/>
        </w:rPr>
        <w:t>Defence (+4.5%)</w:t>
      </w:r>
      <w:r>
        <w:t xml:space="preserve"> — neither bad, both decelerating.</w:t>
      </w:r>
    </w:p>
    <w:p>
      <w:r>
        <w:rPr>
          <w:b/>
        </w:rPr>
        <w:t>(b) Extremes (colour only).</w:t>
      </w:r>
      <w:r>
        <w:t xml:space="preserve"> Top beats include JSWSTEEL (+988%), Prestige (+902%), Wockhardt (+764%) — all low-base reversals. The misses are louder: </w:t>
      </w:r>
      <w:r>
        <w:rPr>
          <w:b/>
        </w:rPr>
        <w:t>Shoppers Stop (-922%)</w:t>
      </w:r>
      <w:r>
        <w:t xml:space="preserve">, </w:t>
      </w:r>
      <w:r>
        <w:rPr>
          <w:b/>
        </w:rPr>
        <w:t>Sapphire Foods (-750%)</w:t>
      </w:r>
      <w:r>
        <w:t xml:space="preserve"> and </w:t>
      </w:r>
      <w:r>
        <w:rPr>
          <w:b/>
        </w:rPr>
        <w:t>Crompton (-415%)</w:t>
      </w:r>
      <w:r>
        <w:t xml:space="preserve"> flag clear stress in mid-tier consumer discretionary and durables.</w:t>
      </w:r>
    </w:p>
    <w:p>
      <w:r>
        <w:rPr>
          <w:b/>
        </w:rPr>
        <w:t>(c) Bellwether read-through.</w:t>
      </w:r>
      <w:r>
        <w:t xml:space="preserve"> None of these prints are </w:t>
      </w:r>
      <w:r>
        <w:rPr>
          <w:i/>
        </w:rPr>
        <w:t>this week's</w:t>
      </w:r>
      <w:r>
        <w:t xml:space="preserve"> news — they were filed earlier in the reporting window. This week's price action on the bellwethers is </w:t>
      </w:r>
      <w:r>
        <w:rPr>
          <w:b/>
        </w:rPr>
        <w:t>current sector-rotation behaviour, not a fresh earnings reaction</w:t>
      </w:r>
      <w:r>
        <w:t xml:space="preserve"> (only TORNTPHARM and HINDALCO declared in the last 10 days, neither in this list). With that caveat:</w:t>
      </w:r>
    </w:p>
    <w:p>
      <w:pPr>
        <w:pStyle w:val="ListBullet"/>
      </w:pPr>
      <w:r>
        <w:rPr>
          <w:b/>
        </w:rPr>
        <w:t>INFY</w:t>
      </w:r>
      <w:r>
        <w:t xml:space="preserve"> printed +24% EPS / +13.4% revenue YoY earlier; </w:t>
      </w:r>
      <w:r>
        <w:rPr>
          <w:b/>
        </w:rPr>
        <w:t>+5.0% this week</w:t>
      </w:r>
      <w:r>
        <w:t xml:space="preserve"> is the IT-rotation trade in action, not an earnings pop.</w:t>
      </w:r>
    </w:p>
    <w:p>
      <w:pPr>
        <w:pStyle w:val="ListBullet"/>
      </w:pPr>
      <w:r>
        <w:rPr>
          <w:b/>
        </w:rPr>
        <w:t>TCS</w:t>
      </w:r>
      <w:r>
        <w:t xml:space="preserve"> (+12% EPS) also moved </w:t>
      </w:r>
      <w:r>
        <w:rPr>
          <w:b/>
        </w:rPr>
        <w:t>+2.4% this week</w:t>
      </w:r>
      <w:r>
        <w:t xml:space="preserve">, and </w:t>
      </w:r>
      <w:r>
        <w:rPr>
          <w:b/>
        </w:rPr>
        <w:t>HCLTECH (+2.8%)</w:t>
      </w:r>
      <w:r>
        <w:t xml:space="preserve"> matches the pattern — confirmation that IT's RRG flip is broad-based, not single-stock noise.</w:t>
      </w:r>
    </w:p>
    <w:p>
      <w:pPr>
        <w:pStyle w:val="ListBullet"/>
      </w:pPr>
      <w:r>
        <w:rPr>
          <w:b/>
        </w:rPr>
        <w:t>ITC</w:t>
      </w:r>
      <w:r>
        <w:t xml:space="preserve"> printed an ugly </w:t>
      </w:r>
      <w:r>
        <w:rPr>
          <w:b/>
        </w:rPr>
        <w:t>-73% EPS / -5% revenue</w:t>
      </w:r>
      <w:r>
        <w:t xml:space="preserve"> and closed the week </w:t>
      </w:r>
      <w:r>
        <w:rPr>
          <w:b/>
        </w:rPr>
        <w:t>-2.5%</w:t>
      </w:r>
      <w:r>
        <w:t xml:space="preserve"> — FMCG (RS Δ -4.7) is dragging on names that already had weak prints behind them.</w:t>
      </w:r>
    </w:p>
    <w:p>
      <w:pPr>
        <w:pStyle w:val="ListBullet"/>
      </w:pPr>
      <w:r>
        <w:rPr>
          <w:b/>
        </w:rPr>
        <w:t>TITAN</w:t>
      </w:r>
      <w:r>
        <w:t xml:space="preserve"> (+35% EPS, +80.5% Rev YoY — strong) is </w:t>
      </w:r>
      <w:r>
        <w:rPr>
          <w:b/>
        </w:rPr>
        <w:t>-2.1% this week</w:t>
      </w:r>
      <w:r>
        <w:t>. The gold/silver import-duty hike (already in place) is the most likely overhang; we'd want the call transcript to confirm.</w:t>
      </w:r>
    </w:p>
    <w:p>
      <w:pPr>
        <w:pStyle w:val="ListBullet"/>
      </w:pPr>
      <w:r>
        <w:rPr>
          <w:b/>
        </w:rPr>
        <w:t>HINDUNILVR</w:t>
      </w:r>
      <w:r>
        <w:t xml:space="preserve"> beat (+21% EPS) but is </w:t>
      </w:r>
      <w:r>
        <w:rPr>
          <w:b/>
        </w:rPr>
        <w:t>-3.0% over five days</w:t>
      </w:r>
      <w:r>
        <w:t xml:space="preserve"> — same FMCG-rotation story; good prints aren't enough when the sector is being de-rated.</w:t>
      </w:r>
    </w:p>
    <w:p>
      <w:pPr>
        <w:pStyle w:val="Heading2"/>
      </w:pPr>
      <w:r>
        <w:t>5. Technical Signals This Week</w:t>
      </w:r>
    </w:p>
    <w:p>
      <w:r>
        <w:t xml:space="preserve">The total unique-stock universe this week was </w:t>
      </w:r>
      <w:r>
        <w:rPr>
          <w:b/>
        </w:rPr>
        <w:t>87 stocks</w:t>
      </w:r>
      <w:r>
        <w:t xml:space="preserve"> across all indicators — a moderate-breadth signal week.</w:t>
      </w:r>
    </w:p>
    <w:p>
      <w:pPr>
        <w:pStyle w:val="ListBullet"/>
      </w:pPr>
      <w:r>
        <w:rPr>
          <w:b/>
        </w:rPr>
        <w:t>Blue Zone Buy</w:t>
      </w:r>
      <w:r>
        <w:t xml:space="preserve"> (the dashboard's institutional-accumulation watchlist — momentum stocks above key EMAs and near 52-week highs): </w:t>
      </w:r>
      <w:r>
        <w:rPr>
          <w:b/>
        </w:rPr>
        <w:t>47 stocks vs 59 prior week (-12)</w:t>
      </w:r>
      <w:r>
        <w:t xml:space="preserve">. The accumulation universe is </w:t>
      </w:r>
      <w:r>
        <w:rPr>
          <w:b/>
        </w:rPr>
        <w:t>contracting</w:t>
      </w:r>
      <w:r>
        <w:t xml:space="preserve"> — fewer stocks meet the bar. Top examples: </w:t>
      </w:r>
      <w:r>
        <w:rPr>
          <w:b/>
        </w:rPr>
        <w:t>BSE, LAURUSLABS, BHEL, ADANIENT, BALAMINES</w:t>
      </w:r>
      <w:r>
        <w:t>.</w:t>
      </w:r>
    </w:p>
    <w:p>
      <w:pPr>
        <w:pStyle w:val="ListBullet"/>
      </w:pPr>
      <w:r>
        <w:rPr>
          <w:b/>
        </w:rPr>
        <w:t>MACD Strong / MACD Buy</w:t>
      </w:r>
      <w:r>
        <w:t xml:space="preserve"> (momentum oscillator crossing into positive territory — trend-change signal): </w:t>
      </w:r>
      <w:r>
        <w:rPr>
          <w:b/>
        </w:rPr>
        <w:t>20 / 20 stocks</w:t>
      </w:r>
      <w:r>
        <w:t xml:space="preserve"> (Strong +7 WoW, Buy +1). Top: </w:t>
      </w:r>
      <w:r>
        <w:rPr>
          <w:b/>
        </w:rPr>
        <w:t>TRITURBINE, BALAMINES, SHILPAMED, VBL, SCI</w:t>
      </w:r>
      <w:r>
        <w:t xml:space="preserve">. MACD breadth is one of the few indicators </w:t>
      </w:r>
      <w:r>
        <w:rPr>
          <w:i/>
        </w:rPr>
        <w:t>expanding</w:t>
      </w:r>
      <w:r>
        <w:t xml:space="preserve"> — momentum is being earned by a narrow group of fresh leaders.</w:t>
      </w:r>
    </w:p>
    <w:p>
      <w:pPr>
        <w:pStyle w:val="ListBullet"/>
      </w:pPr>
      <w:r>
        <w:rPr>
          <w:b/>
        </w:rPr>
        <w:t>Narrow CPR Breakaway</w:t>
      </w:r>
      <w:r>
        <w:t xml:space="preserve"> (Central Pivot Range setup — a tight pivot band that often precedes a breakout): </w:t>
      </w:r>
      <w:r>
        <w:rPr>
          <w:b/>
        </w:rPr>
        <w:t>17 stocks vs 14 (+3)</w:t>
      </w:r>
      <w:r>
        <w:t xml:space="preserve">. Pharma cluster jumps out: </w:t>
      </w:r>
      <w:r>
        <w:rPr>
          <w:b/>
        </w:rPr>
        <w:t>JUBLPHARMA, DIVISLAB, MEDANTA</w:t>
      </w:r>
      <w:r>
        <w:t>.</w:t>
      </w:r>
    </w:p>
    <w:p>
      <w:pPr>
        <w:pStyle w:val="ListBullet"/>
      </w:pPr>
      <w:r>
        <w:rPr>
          <w:b/>
        </w:rPr>
        <w:t>Blue Zone Strong</w:t>
      </w:r>
      <w:r>
        <w:t xml:space="preserve">: </w:t>
      </w:r>
      <w:r>
        <w:rPr>
          <w:b/>
        </w:rPr>
        <w:t>6 vs 5 (+1)</w:t>
      </w:r>
      <w:r>
        <w:t xml:space="preserve"> — </w:t>
      </w:r>
      <w:r>
        <w:rPr>
          <w:b/>
        </w:rPr>
        <w:t>BSE, ADANIGREEN, BALAMINES, CARBORUNIV, SHILPAMED</w:t>
      </w:r>
      <w:r>
        <w:t>.</w:t>
      </w:r>
    </w:p>
    <w:p>
      <w:pPr>
        <w:pStyle w:val="ListBullet"/>
      </w:pPr>
      <w:r>
        <w:rPr>
          <w:b/>
        </w:rPr>
        <w:t>Bull Flag Buy</w:t>
      </w:r>
      <w:r>
        <w:t xml:space="preserve"> (sharp rally → orderly consolidation → breakout above the consolidation range): </w:t>
      </w:r>
      <w:r>
        <w:rPr>
          <w:b/>
        </w:rPr>
        <w:t>5 vs 3 (+2)</w:t>
      </w:r>
      <w:r>
        <w:t xml:space="preserve"> — </w:t>
      </w:r>
      <w:r>
        <w:rPr>
          <w:b/>
        </w:rPr>
        <w:t>OFSS, PNBHOUSING, TRITURBINE, SIS, LALPATHLAB</w:t>
      </w:r>
      <w:r>
        <w:t>.</w:t>
      </w:r>
    </w:p>
    <w:p>
      <w:pPr>
        <w:pStyle w:val="ListBullet"/>
      </w:pPr>
      <w:r>
        <w:rPr>
          <w:b/>
        </w:rPr>
        <w:t>VCP Buy</w:t>
      </w:r>
      <w:r>
        <w:t xml:space="preserve"> (Volatility Contraction Pattern — Minervini's tightening price range before a breakout): </w:t>
      </w:r>
      <w:r>
        <w:rPr>
          <w:b/>
        </w:rPr>
        <w:t>5 vs 8 (-3)</w:t>
      </w:r>
      <w:r>
        <w:t xml:space="preserve"> — </w:t>
      </w:r>
      <w:r>
        <w:rPr>
          <w:b/>
        </w:rPr>
        <w:t>POLYCAB, METALIETF, FORTIS, SUNPHARMA</w:t>
      </w:r>
      <w:r>
        <w:t>.</w:t>
      </w:r>
    </w:p>
    <w:p>
      <w:pPr>
        <w:pStyle w:val="ListBullet"/>
      </w:pPr>
      <w:r>
        <w:rPr>
          <w:b/>
        </w:rPr>
        <w:t>Golden Cross Buy</w:t>
      </w:r>
      <w:r>
        <w:t xml:space="preserve"> (20-EMA crossing above 50-EMA): only </w:t>
      </w:r>
      <w:r>
        <w:rPr>
          <w:b/>
        </w:rPr>
        <w:t>1 stock vs 7 (-6)</w:t>
      </w:r>
      <w:r>
        <w:t xml:space="preserve"> — </w:t>
      </w:r>
      <w:r>
        <w:rPr>
          <w:b/>
        </w:rPr>
        <w:t>MAXHEALTH</w:t>
      </w:r>
      <w:r>
        <w:t xml:space="preserve"> is alone. A clear contraction.</w:t>
      </w:r>
    </w:p>
    <w:p>
      <w:pPr>
        <w:pStyle w:val="ListBullet"/>
      </w:pPr>
      <w:r>
        <w:rPr>
          <w:b/>
        </w:rPr>
        <w:t>Pullback Bounce</w:t>
      </w:r>
      <w:r>
        <w:t xml:space="preserve"> (strong-trend stocks dipping to EMA20 and recovering): </w:t>
      </w:r>
      <w:r>
        <w:rPr>
          <w:b/>
        </w:rPr>
        <w:t>1 vs 3</w:t>
      </w:r>
      <w:r>
        <w:t xml:space="preserve"> — TRITURBINE.</w:t>
      </w:r>
    </w:p>
    <w:p>
      <w:r>
        <w:rPr>
          <w:b/>
        </w:rPr>
        <w:t>Multi-signal cluster stocks</w:t>
      </w:r>
      <w:r>
        <w:t xml:space="preserve"> (the higher-conviction setups): </w:t>
      </w:r>
      <w:r>
        <w:rPr>
          <w:b/>
        </w:rPr>
        <w:t>TRITURBINE</w:t>
      </w:r>
      <w:r>
        <w:t xml:space="preserve"> is the standout with 5 different signals firing (blue zone, bull flag, both MACD types, pullback bounce). </w:t>
      </w:r>
      <w:r>
        <w:rPr>
          <w:b/>
        </w:rPr>
        <w:t>BALAMINES</w:t>
      </w:r>
      <w:r>
        <w:t xml:space="preserve"> and </w:t>
      </w:r>
      <w:r>
        <w:rPr>
          <w:b/>
        </w:rPr>
        <w:t>SHILPAMED</w:t>
      </w:r>
      <w:r>
        <w:t xml:space="preserve"> each fired 4 signals. </w:t>
      </w:r>
      <w:r>
        <w:rPr>
          <w:b/>
        </w:rPr>
        <w:t>GESHIP, SOLARINDS, AUROPHARMA, BSE and CARBORUNIV</w:t>
      </w:r>
      <w:r>
        <w:t xml:space="preserve"> each fired 2-3. Pharma names cluster heavily here — worth watching.</w:t>
      </w:r>
    </w:p>
    <w:p>
      <w:r>
        <w:rPr>
          <w:b/>
        </w:rPr>
        <w:t>The signal mix is rotating, not expanding.</w:t>
      </w:r>
      <w:r>
        <w:t xml:space="preserve"> MACD and bull flags are firing on fresh names while Blue Zone, Golden Cross and VCP shrink. Read: leadership is changing hands, not broadening.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HONASA Consumer</w:t>
      </w:r>
      <w:r>
        <w:t xml:space="preserve"> logged a </w:t>
      </w:r>
      <w:r>
        <w:rPr>
          <w:b/>
        </w:rPr>
        <w:t>115x volume ratio</w:t>
      </w:r>
      <w:r>
        <w:t xml:space="preserve"> — the week's biggest volume event, sitting at RS rank #38. That's a textbook stealth-strength signal on a beaten-down FMCG-adjacent name.</w:t>
      </w:r>
    </w:p>
    <w:p>
      <w:pPr>
        <w:pStyle w:val="ListBullet"/>
      </w:pPr>
      <w:r>
        <w:rPr>
          <w:b/>
        </w:rPr>
        <w:t>MINDA Corp</w:t>
      </w:r>
      <w:r>
        <w:t xml:space="preserve"> appeared on both the rank-surge list (slope -34.2, now ranked #224) AND the volume breakout list (</w:t>
      </w:r>
      <w:r>
        <w:rPr>
          <w:b/>
        </w:rPr>
        <w:t>11.6x</w:t>
      </w:r>
      <w:r>
        <w:t>) — rare double confirmation, all the more interesting given Auto Components flipped Leading → Weakening this week. Worth watching whether this is a counter-trend bounce or an early sector divergence.</w:t>
      </w:r>
    </w:p>
    <w:p>
      <w:pPr>
        <w:pStyle w:val="ListBullet"/>
      </w:pPr>
      <w:r>
        <w:rPr>
          <w:b/>
        </w:rPr>
        <w:t>Central Bank of India</w:t>
      </w:r>
      <w:r>
        <w:t xml:space="preserve"> volume ratio of </w:t>
      </w:r>
      <w:r>
        <w:rPr>
          <w:b/>
        </w:rPr>
        <w:t>24.1x</w:t>
      </w:r>
      <w:r>
        <w:t xml:space="preserve"> — but RS rank #543. High-volume churn on a weak name; less a bullish setup than a position unwind.</w:t>
      </w:r>
    </w:p>
    <w:p>
      <w:pPr>
        <w:pStyle w:val="ListBullet"/>
      </w:pPr>
      <w:r>
        <w:rPr>
          <w:b/>
        </w:rPr>
        <w:t>WIPRO and KPITTECH</w:t>
      </w:r>
      <w:r>
        <w:t xml:space="preserve"> both showed up in top rank surges (slopes -30.2 and -28.8) — consistent with IT's RRG flip to Leading. The rotation is happening in real time.</w:t>
      </w:r>
    </w:p>
    <w:p>
      <w:pPr>
        <w:pStyle w:val="ListBullet"/>
      </w:pPr>
      <w:r>
        <w:rPr>
          <w:b/>
        </w:rPr>
        <w:t>ASIANENE</w:t>
      </w:r>
      <w:r>
        <w:t xml:space="preserve"> (Energy) jumped to RS rank </w:t>
      </w:r>
      <w:r>
        <w:rPr>
          <w:b/>
        </w:rPr>
        <w:t>#81</w:t>
      </w:r>
      <w:r>
        <w:t xml:space="preserve"> with a slope of -32.4 and also fired both MACD signals. Energy mid-cap action.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Weekly 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17.82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-0.97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 Crude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104.62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-6.0%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99.23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-0.08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4,527.50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-0.6%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76.75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+1.2%</w:t>
            </w:r>
          </w:p>
        </w:tc>
      </w:tr>
    </w:tbl>
    <w:p/>
    <w:p>
      <w:r>
        <w:t xml:space="preserve">Brent retreating from its mid-week $105 spike is the cleanest macro tailwind — directly behind Aviation's +2.9% and the relief in oil-import-sensitive sectors. But the bigger story is </w:t>
      </w:r>
      <w:r>
        <w:rPr>
          <w:b/>
        </w:rPr>
        <w:t>domestic policy</w:t>
      </w:r>
      <w:r>
        <w:t xml:space="preserve">: the </w:t>
      </w:r>
      <w:r>
        <w:rPr>
          <w:b/>
        </w:rPr>
        <w:t>Malhotra appointment</w:t>
      </w:r>
      <w:r>
        <w:t xml:space="preserve"> sets a new tone, the </w:t>
      </w:r>
      <w:r>
        <w:rPr>
          <w:b/>
        </w:rPr>
        <w:t>RBI's $5bn dollar-rupee swap on May 26</w:t>
      </w:r>
      <w:r>
        <w:t xml:space="preserve"> will inject rupee liquidity into the system, and the </w:t>
      </w:r>
      <w:r>
        <w:rPr>
          <w:b/>
        </w:rPr>
        <w:t>record ₹2.87 lakh crore RBI dividend</w:t>
      </w:r>
      <w:r>
        <w:t xml:space="preserve"> to the government (announced earlier, but the fiscal-headroom narrative continues to support equities). The RBI signal that it will not hike repo despite rupee weakness is </w:t>
      </w:r>
      <w:r>
        <w:rPr>
          <w:b/>
        </w:rPr>
        <w:t>growth-supportive</w:t>
      </w:r>
      <w:r>
        <w:t xml:space="preserve"> and is a meaningful part of why rate-sensitive Realty (+1.9%) caught a bid. The </w:t>
      </w:r>
      <w:r>
        <w:rPr>
          <w:b/>
        </w:rPr>
        <w:t>NBFC scrutiny tightening</w:t>
      </w:r>
      <w:r>
        <w:t xml:space="preserve"> (board observers, mobile-disabling ban) is a small negative for non-bank lenders; watch the impact on Bajaj Finance and Sammaan Capital (the latter already on the rank-surge table). </w:t>
      </w:r>
      <w:r>
        <w:rPr>
          <w:b/>
        </w:rPr>
        <w:t>US-Iran tensions</w:t>
      </w:r>
      <w:r>
        <w:t xml:space="preserve"> remain the wildcard — Brent could whip either way on any escalation headline.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RBI's $5 billion dollar-rupee swap auction on May 26</w:t>
      </w:r>
      <w:r>
        <w:t xml:space="preserve"> — the dated event with the highest market relevance. Watch how aggressively banks bid and what it does to short-end rates and the rupee.</w:t>
      </w:r>
    </w:p>
    <w:p>
      <w:pPr>
        <w:pStyle w:val="ListBullet"/>
      </w:pPr>
      <w:r>
        <w:rPr>
          <w:b/>
        </w:rPr>
        <w:t>Nifty's relationship with the EMA20 at 23,793</w:t>
      </w:r>
      <w:r>
        <w:t xml:space="preserve">. Friday closed just 0.2% below it. A reclaim opens the door to </w:t>
      </w:r>
      <w:r>
        <w:rPr>
          <w:b/>
        </w:rPr>
        <w:t>EMA50 at 23,949</w:t>
      </w:r>
      <w:r>
        <w:t>; a rejection re-tests the week's low of 23,606.</w:t>
      </w:r>
    </w:p>
    <w:p>
      <w:pPr>
        <w:pStyle w:val="ListBullet"/>
      </w:pPr>
      <w:r>
        <w:rPr>
          <w:b/>
        </w:rPr>
        <w:t>IT follow-through</w:t>
      </w:r>
      <w:r>
        <w:t xml:space="preserve"> — does the rotation extend into Tier-2 names (Persistent, Coforge, Mphasis) or does it stay concentrated in INFY/TCS/HCLTECH?</w:t>
      </w:r>
    </w:p>
    <w:p>
      <w:pPr>
        <w:pStyle w:val="ListBullet"/>
      </w:pPr>
      <w:r>
        <w:rPr>
          <w:b/>
        </w:rPr>
        <w:t>Auto bellwethers post-rotation</w:t>
      </w:r>
      <w:r>
        <w:t xml:space="preserve"> — Maruti and M&amp;M both fell despite reasonable prints. Watch whether the Automobile-to-Lagging flip deepens or reverses.</w:t>
      </w:r>
    </w:p>
    <w:p>
      <w:pPr>
        <w:pStyle w:val="ListBullet"/>
      </w:pPr>
      <w:r>
        <w:rPr>
          <w:b/>
        </w:rPr>
        <w:t>Pharma cluster</w:t>
      </w:r>
      <w:r>
        <w:t xml:space="preserve"> — DIVISLAB, MEDANTA, JUBLPHARMA, SHILPAMED, AUROPHARMA all show technical setups. Sector confirmation needed.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IT rotation is the cleanest story of the week.</w:t>
      </w:r>
      <w:r>
        <w:t xml:space="preserve"> RRG flip to Leading, +3.8% sector return, INFY/TCS/HCLTECH all green, and the rupee/Brent macro backdrop supports the trade. But this is a defensive rotation into dollar-earners, not a bullish broad-market signal — Nifty is still below all three key EMAs.</w:t>
      </w:r>
    </w:p>
    <w:p>
      <w:pPr>
        <w:pStyle w:val="ListNumber"/>
      </w:pPr>
      <w:r>
        <w:rPr>
          <w:b/>
        </w:rPr>
        <w:t>Watch how the Mar-26 earnings ageing plays out against current price action.</w:t>
      </w:r>
      <w:r>
        <w:t xml:space="preserve"> Strong prints from TITAN (+35%), HUL (+21%), INFY (+24%) and others are not being rewarded uniformly — the market is now trading rotation, not earnings. That's typical of corrective tapes.</w:t>
      </w:r>
    </w:p>
    <w:p>
      <w:pPr>
        <w:pStyle w:val="ListNumber"/>
      </w:pPr>
      <w:r>
        <w:rPr>
          <w:b/>
        </w:rPr>
        <w:t>The signal universe is contracting, not expanding.</w:t>
      </w:r>
      <w:r>
        <w:t xml:space="preserve"> Blue Zone unique stocks fell from 59 to 47, Golden Cross collapsed from 7 to 1, VCP dropped from 8 to 5. MACD and Bull Flag are picking up the slack, but the net read is: </w:t>
      </w:r>
      <w:r>
        <w:rPr>
          <w:b/>
        </w:rPr>
        <w:t>leadership is rotating, breadth is not broadening yet</w:t>
      </w:r>
      <w:r>
        <w:t>. Calling a turn from here requires Nifty reclaiming 23,793 with breadth confirmation — not there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