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Intelligence — 2026-08-22</w:t>
      </w:r>
    </w:p>
    <w:p>
      <w:pPr>
        <w:pStyle w:val="Heading2"/>
      </w:pPr>
      <w:r>
        <w:t>1. What Happened This Week</w:t>
      </w:r>
    </w:p>
    <w:p>
      <w:r>
        <w:t xml:space="preserve">Nifty 50 shed </w:t>
      </w:r>
      <w:r>
        <w:rPr>
          <w:b/>
        </w:rPr>
        <w:t>-0.5%</w:t>
      </w:r>
      <w:r>
        <w:t xml:space="preserve"> over the week, drifting from </w:t>
      </w:r>
      <w:r>
        <w:rPr>
          <w:b/>
        </w:rPr>
        <w:t>24,366</w:t>
      </w:r>
      <w:r>
        <w:t xml:space="preserve"> on Monday's open reference to </w:t>
      </w:r>
      <w:r>
        <w:rPr>
          <w:b/>
        </w:rPr>
        <w:t>24,252</w:t>
      </w:r>
      <w:r>
        <w:t xml:space="preserve"> by Friday, with a mid-week gut-check on </w:t>
      </w:r>
      <w:r>
        <w:rPr>
          <w:b/>
        </w:rPr>
        <w:t>Wednesday's close at 24,078</w:t>
      </w:r>
      <w:r>
        <w:t xml:space="preserve"> before a modest two-day recovery. The dominant theme was risk-off from a </w:t>
      </w:r>
      <w:r>
        <w:rPr>
          <w:b/>
        </w:rPr>
        <w:t>twin macro squeeze</w:t>
      </w:r>
      <w:r>
        <w:t xml:space="preserve">: </w:t>
      </w:r>
      <w:r>
        <w:rPr>
          <w:b/>
        </w:rPr>
        <w:t>Brent crude ripped +7.6% to $93.74</w:t>
      </w:r>
      <w:r>
        <w:t xml:space="preserve"> on US-Iran tensions and a US Senate sanctions bill targeting buyers of Russian crude, while the </w:t>
      </w:r>
      <w:r>
        <w:rPr>
          <w:b/>
        </w:rPr>
        <w:t>RBI's MPC minutes</w:t>
      </w:r>
      <w:r>
        <w:t xml:space="preserve"> (Monetary Policy Committee — the rate-setting body's meeting notes) came out hawkish, prompting a bond sell-off and rate-sensitive sector weakness. Layer in a fresh </w:t>
      </w:r>
      <w:r>
        <w:rPr>
          <w:b/>
        </w:rPr>
        <w:t>10% US "safeguard" tariff on India</w:t>
      </w:r>
      <w:r>
        <w:t xml:space="preserve"> confirmed by the White House, a </w:t>
      </w:r>
      <w:r>
        <w:rPr>
          <w:b/>
        </w:rPr>
        <w:t>₹3/litre petrol-diesel hike</w:t>
      </w:r>
      <w:r>
        <w:t xml:space="preserve"> at home, and a </w:t>
      </w:r>
      <w:r>
        <w:rPr>
          <w:b/>
        </w:rPr>
        <w:t>100% sugar import-duty waiver</w:t>
      </w:r>
      <w:r>
        <w:t xml:space="preserve">, and you have a week where policy did most of the moving. The recovery on </w:t>
      </w:r>
      <w:r>
        <w:rPr>
          <w:b/>
        </w:rPr>
        <w:t>Thursday (+153 points)</w:t>
      </w:r>
      <w:r>
        <w:t xml:space="preserve"> looks like short-covering rather than conviction — breadth stayed weak.</w:t>
      </w:r>
    </w:p>
    <w:p>
      <w:pPr>
        <w:pStyle w:val="Heading2"/>
      </w:pPr>
      <w:r>
        <w:t>2. The Trend Picture</w:t>
      </w:r>
    </w:p>
    <w:p>
      <w:r>
        <w:t xml:space="preserve">Nifty is in a </w:t>
      </w:r>
      <w:r>
        <w:rPr>
          <w:b/>
        </w:rPr>
        <w:t>mixed, arguably deteriorating trend</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EMA</w:t>
            </w:r>
          </w:p>
        </w:tc>
        <w:tc>
          <w:tcPr>
            <w:tcW w:type="dxa" w:w="2880"/>
          </w:tcPr>
          <w:p>
            <w:r/>
            <w:r>
              <w:rPr>
                <w:b/>
                <w:sz w:val="20"/>
              </w:rPr>
              <w:t>Level</w:t>
            </w:r>
          </w:p>
        </w:tc>
        <w:tc>
          <w:tcPr>
            <w:tcW w:type="dxa" w:w="2880"/>
          </w:tcPr>
          <w:p>
            <w:r/>
            <w:r>
              <w:rPr>
                <w:b/>
                <w:sz w:val="20"/>
              </w:rPr>
              <w:t>Nifty vs EMA</w:t>
            </w:r>
          </w:p>
        </w:tc>
      </w:tr>
      <w:tr>
        <w:tc>
          <w:tcPr>
            <w:tcW w:type="dxa" w:w="2880"/>
          </w:tcPr>
          <w:p>
            <w:r>
              <w:rPr>
                <w:sz w:val="20"/>
              </w:rPr>
            </w:r>
            <w:r>
              <w:rPr>
                <w:sz w:val="20"/>
              </w:rPr>
              <w:t>EMA20</w:t>
            </w:r>
          </w:p>
        </w:tc>
        <w:tc>
          <w:tcPr>
            <w:tcW w:type="dxa" w:w="2880"/>
          </w:tcPr>
          <w:p>
            <w:r>
              <w:rPr>
                <w:sz w:val="20"/>
              </w:rPr>
            </w:r>
            <w:r>
              <w:rPr>
                <w:sz w:val="20"/>
              </w:rPr>
              <w:t>24,301.57</w:t>
            </w:r>
          </w:p>
        </w:tc>
        <w:tc>
          <w:tcPr>
            <w:tcW w:type="dxa" w:w="2880"/>
          </w:tcPr>
          <w:p>
            <w:r>
              <w:rPr>
                <w:sz w:val="20"/>
              </w:rPr>
            </w:r>
            <w:r>
              <w:rPr>
                <w:b/>
                <w:sz w:val="20"/>
              </w:rPr>
              <w:t>BELOW</w:t>
            </w:r>
            <w:r>
              <w:rPr>
                <w:sz w:val="20"/>
              </w:rPr>
              <w:t xml:space="preserve"> (-0.2%)</w:t>
            </w:r>
          </w:p>
        </w:tc>
      </w:tr>
      <w:tr>
        <w:tc>
          <w:tcPr>
            <w:tcW w:type="dxa" w:w="2880"/>
          </w:tcPr>
          <w:p>
            <w:r>
              <w:rPr>
                <w:sz w:val="20"/>
              </w:rPr>
            </w:r>
            <w:r>
              <w:rPr>
                <w:sz w:val="20"/>
              </w:rPr>
              <w:t>EMA50</w:t>
            </w:r>
          </w:p>
        </w:tc>
        <w:tc>
          <w:tcPr>
            <w:tcW w:type="dxa" w:w="2880"/>
          </w:tcPr>
          <w:p>
            <w:r>
              <w:rPr>
                <w:sz w:val="20"/>
              </w:rPr>
            </w:r>
            <w:r>
              <w:rPr>
                <w:sz w:val="20"/>
              </w:rPr>
              <w:t>24,178.21</w:t>
            </w:r>
          </w:p>
        </w:tc>
        <w:tc>
          <w:tcPr>
            <w:tcW w:type="dxa" w:w="2880"/>
          </w:tcPr>
          <w:p>
            <w:r>
              <w:rPr>
                <w:sz w:val="20"/>
              </w:rPr>
            </w:r>
            <w:r>
              <w:rPr>
                <w:b/>
                <w:sz w:val="20"/>
              </w:rPr>
              <w:t>ABOVE</w:t>
            </w:r>
            <w:r>
              <w:rPr>
                <w:sz w:val="20"/>
              </w:rPr>
              <w:t xml:space="preserve"> (+0.3%)</w:t>
            </w:r>
          </w:p>
        </w:tc>
      </w:tr>
      <w:tr>
        <w:tc>
          <w:tcPr>
            <w:tcW w:type="dxa" w:w="2880"/>
          </w:tcPr>
          <w:p>
            <w:r>
              <w:rPr>
                <w:sz w:val="20"/>
              </w:rPr>
            </w:r>
            <w:r>
              <w:rPr>
                <w:sz w:val="20"/>
              </w:rPr>
              <w:t>EMA200</w:t>
            </w:r>
          </w:p>
        </w:tc>
        <w:tc>
          <w:tcPr>
            <w:tcW w:type="dxa" w:w="2880"/>
          </w:tcPr>
          <w:p>
            <w:r>
              <w:rPr>
                <w:sz w:val="20"/>
              </w:rPr>
            </w:r>
            <w:r>
              <w:rPr>
                <w:sz w:val="20"/>
              </w:rPr>
              <w:t>24,385.40</w:t>
            </w:r>
          </w:p>
        </w:tc>
        <w:tc>
          <w:tcPr>
            <w:tcW w:type="dxa" w:w="2880"/>
          </w:tcPr>
          <w:p>
            <w:r>
              <w:rPr>
                <w:sz w:val="20"/>
              </w:rPr>
            </w:r>
            <w:r>
              <w:rPr>
                <w:b/>
                <w:sz w:val="20"/>
              </w:rPr>
              <w:t>BELOW</w:t>
            </w:r>
            <w:r>
              <w:rPr>
                <w:sz w:val="20"/>
              </w:rPr>
              <w:t xml:space="preserve"> (-0.5%)</w:t>
            </w:r>
          </w:p>
        </w:tc>
      </w:tr>
    </w:tbl>
    <w:p/>
    <w:p>
      <w:r>
        <w:t xml:space="preserve">The index is squeezed between its 50-day (support just below) and its 200-day (resistance just above) — the classic </w:t>
      </w:r>
      <w:r>
        <w:rPr>
          <w:b/>
        </w:rPr>
        <w:t>"no man's land"</w:t>
      </w:r>
      <w:r>
        <w:t xml:space="preserve"> configuration where the tape can whip either way on a single macro headline. Breadth confirms the caution: </w:t>
      </w:r>
      <w:r>
        <w:rPr>
          <w:b/>
        </w:rPr>
        <w:t>% of stocks above the 200-day EMA sits at 54%</w:t>
      </w:r>
      <w:r>
        <w:t xml:space="preserve">, down from 56% early in the week; </w:t>
      </w:r>
      <w:r>
        <w:rPr>
          <w:b/>
        </w:rPr>
        <w:t>new 52W lows dominated 52W highs every single day</w:t>
      </w:r>
      <w:r>
        <w:t xml:space="preserve"> (peaking at </w:t>
      </w:r>
      <w:r>
        <w:rPr>
          <w:b/>
        </w:rPr>
        <w:t>15 fresh lows on Wednesday</w:t>
      </w:r>
      <w:r>
        <w:t xml:space="preserve">, vs zero highs). The strongest day was </w:t>
      </w:r>
      <w:r>
        <w:rPr>
          <w:b/>
        </w:rPr>
        <w:t>Thursday (A/D 358:222)</w:t>
      </w:r>
      <w:r>
        <w:t xml:space="preserve"> — the day of the bounce — but even that couldn't drag the weekly A/D positive. This is a market where the median stock is quietly underperforming the index.</w:t>
      </w:r>
    </w:p>
    <w:p>
      <w:pPr>
        <w:pStyle w:val="Heading2"/>
      </w:pPr>
      <w:r>
        <w:t>3. Sector Rotation — Where Money Is Flowing</w:t>
      </w:r>
    </w:p>
    <w:p>
      <w:r>
        <w:t>Top and bottom 5-day sector medians: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Top 3</w:t>
            </w:r>
          </w:p>
        </w:tc>
        <w:tc>
          <w:tcPr>
            <w:tcW w:type="dxa" w:w="1728"/>
          </w:tcPr>
          <w:p>
            <w:r/>
            <w:r>
              <w:rPr>
                <w:b/>
                <w:sz w:val="20"/>
              </w:rPr>
              <w:t>5D</w:t>
            </w:r>
          </w:p>
        </w:tc>
        <w:tc>
          <w:tcPr>
            <w:tcW w:type="dxa" w:w="1728"/>
          </w:tcPr>
          <w:p>
            <w:r/>
            <w:r>
              <w:rPr>
                <w:b/>
                <w:sz w:val="20"/>
              </w:rPr>
            </w:r>
          </w:p>
        </w:tc>
        <w:tc>
          <w:tcPr>
            <w:tcW w:type="dxa" w:w="1728"/>
          </w:tcPr>
          <w:p>
            <w:r/>
            <w:r>
              <w:rPr>
                <w:b/>
                <w:sz w:val="20"/>
              </w:rPr>
              <w:t>Bottom 3</w:t>
            </w:r>
          </w:p>
        </w:tc>
        <w:tc>
          <w:tcPr>
            <w:tcW w:type="dxa" w:w="1728"/>
          </w:tcPr>
          <w:p>
            <w:r/>
            <w:r>
              <w:rPr>
                <w:b/>
                <w:sz w:val="20"/>
              </w:rPr>
              <w:t>5D</w:t>
            </w:r>
          </w:p>
        </w:tc>
      </w:tr>
      <w:tr>
        <w:tc>
          <w:tcPr>
            <w:tcW w:type="dxa" w:w="1728"/>
          </w:tcPr>
          <w:p>
            <w:r>
              <w:rPr>
                <w:sz w:val="20"/>
              </w:rPr>
            </w:r>
            <w:r>
              <w:rPr>
                <w:sz w:val="20"/>
              </w:rPr>
              <w:t>ETF</w:t>
            </w:r>
          </w:p>
        </w:tc>
        <w:tc>
          <w:tcPr>
            <w:tcW w:type="dxa" w:w="1728"/>
          </w:tcPr>
          <w:p>
            <w:r>
              <w:rPr>
                <w:sz w:val="20"/>
              </w:rPr>
            </w:r>
            <w:r>
              <w:rPr>
                <w:b/>
                <w:sz w:val="20"/>
              </w:rPr>
              <w:t>+5.1%</w:t>
            </w:r>
          </w:p>
        </w:tc>
        <w:tc>
          <w:tcPr>
            <w:tcW w:type="dxa" w:w="1728"/>
          </w:tcPr>
          <w:p>
            <w:r>
              <w:rPr>
                <w:sz w:val="20"/>
              </w:rPr>
            </w:r>
          </w:p>
        </w:tc>
        <w:tc>
          <w:tcPr>
            <w:tcW w:type="dxa" w:w="1728"/>
          </w:tcPr>
          <w:p>
            <w:r>
              <w:rPr>
                <w:sz w:val="20"/>
              </w:rPr>
            </w:r>
            <w:r>
              <w:rPr>
                <w:sz w:val="20"/>
              </w:rPr>
              <w:t>AVIATION</w:t>
            </w:r>
          </w:p>
        </w:tc>
        <w:tc>
          <w:tcPr>
            <w:tcW w:type="dxa" w:w="1728"/>
          </w:tcPr>
          <w:p>
            <w:r>
              <w:rPr>
                <w:sz w:val="20"/>
              </w:rPr>
            </w:r>
            <w:r>
              <w:rPr>
                <w:b/>
                <w:sz w:val="20"/>
              </w:rPr>
              <w:t>-4.0%</w:t>
            </w:r>
          </w:p>
        </w:tc>
      </w:tr>
      <w:tr>
        <w:tc>
          <w:tcPr>
            <w:tcW w:type="dxa" w:w="1728"/>
          </w:tcPr>
          <w:p>
            <w:r>
              <w:rPr>
                <w:sz w:val="20"/>
              </w:rPr>
            </w:r>
            <w:r>
              <w:rPr>
                <w:sz w:val="20"/>
              </w:rPr>
              <w:t>MEDIA</w:t>
            </w:r>
          </w:p>
        </w:tc>
        <w:tc>
          <w:tcPr>
            <w:tcW w:type="dxa" w:w="1728"/>
          </w:tcPr>
          <w:p>
            <w:r>
              <w:rPr>
                <w:sz w:val="20"/>
              </w:rPr>
            </w:r>
            <w:r>
              <w:rPr>
                <w:sz w:val="20"/>
              </w:rPr>
              <w:t>+2.2%</w:t>
            </w:r>
          </w:p>
        </w:tc>
        <w:tc>
          <w:tcPr>
            <w:tcW w:type="dxa" w:w="1728"/>
          </w:tcPr>
          <w:p>
            <w:r>
              <w:rPr>
                <w:sz w:val="20"/>
              </w:rPr>
            </w:r>
          </w:p>
        </w:tc>
        <w:tc>
          <w:tcPr>
            <w:tcW w:type="dxa" w:w="1728"/>
          </w:tcPr>
          <w:p>
            <w:r>
              <w:rPr>
                <w:sz w:val="20"/>
              </w:rPr>
            </w:r>
            <w:r>
              <w:rPr>
                <w:sz w:val="20"/>
              </w:rPr>
              <w:t>IT</w:t>
            </w:r>
          </w:p>
        </w:tc>
        <w:tc>
          <w:tcPr>
            <w:tcW w:type="dxa" w:w="1728"/>
          </w:tcPr>
          <w:p>
            <w:r>
              <w:rPr>
                <w:sz w:val="20"/>
              </w:rPr>
            </w:r>
            <w:r>
              <w:rPr>
                <w:sz w:val="20"/>
              </w:rPr>
              <w:t>-2.0%</w:t>
            </w:r>
          </w:p>
        </w:tc>
      </w:tr>
      <w:tr>
        <w:tc>
          <w:tcPr>
            <w:tcW w:type="dxa" w:w="1728"/>
          </w:tcPr>
          <w:p>
            <w:r>
              <w:rPr>
                <w:sz w:val="20"/>
              </w:rPr>
            </w:r>
            <w:r>
              <w:rPr>
                <w:sz w:val="20"/>
              </w:rPr>
              <w:t>TRADING</w:t>
            </w:r>
          </w:p>
        </w:tc>
        <w:tc>
          <w:tcPr>
            <w:tcW w:type="dxa" w:w="1728"/>
          </w:tcPr>
          <w:p>
            <w:r>
              <w:rPr>
                <w:sz w:val="20"/>
              </w:rPr>
            </w:r>
            <w:r>
              <w:rPr>
                <w:sz w:val="20"/>
              </w:rPr>
              <w:t>+1.3%</w:t>
            </w:r>
          </w:p>
        </w:tc>
        <w:tc>
          <w:tcPr>
            <w:tcW w:type="dxa" w:w="1728"/>
          </w:tcPr>
          <w:p>
            <w:r>
              <w:rPr>
                <w:sz w:val="20"/>
              </w:rPr>
            </w:r>
          </w:p>
        </w:tc>
        <w:tc>
          <w:tcPr>
            <w:tcW w:type="dxa" w:w="1728"/>
          </w:tcPr>
          <w:p>
            <w:r>
              <w:rPr>
                <w:sz w:val="20"/>
              </w:rPr>
            </w:r>
            <w:r>
              <w:rPr>
                <w:sz w:val="20"/>
              </w:rPr>
              <w:t>CHEMICALS</w:t>
            </w:r>
          </w:p>
        </w:tc>
        <w:tc>
          <w:tcPr>
            <w:tcW w:type="dxa" w:w="1728"/>
          </w:tcPr>
          <w:p>
            <w:r>
              <w:rPr>
                <w:sz w:val="20"/>
              </w:rPr>
            </w:r>
            <w:r>
              <w:rPr>
                <w:sz w:val="20"/>
              </w:rPr>
              <w:t>-1.5%</w:t>
            </w:r>
          </w:p>
        </w:tc>
      </w:tr>
    </w:tbl>
    <w:p/>
    <w:p>
      <w:r>
        <w:t xml:space="preserve">The most interesting story is the </w:t>
      </w:r>
      <w:r>
        <w:rPr>
          <w:b/>
        </w:rPr>
        <w:t>ETF sector, up +5.1%</w:t>
      </w:r>
      <w:r>
        <w:t xml:space="preserve"> — this is where the </w:t>
      </w:r>
      <w:r>
        <w:rPr>
          <w:b/>
        </w:rPr>
        <w:t>divergence tell</w:t>
      </w:r>
      <w:r>
        <w:t xml:space="preserve"> matters. Global gold in USD rose +4.6% and silver +6.9%, but Indian gold/silver ETFs outperformed even those global moves. The </w:t>
      </w:r>
      <w:r>
        <w:rPr>
          <w:b/>
        </w:rPr>
        <w:t>golden_cross_buy signal explicitly names GOLDBEES</w:t>
      </w:r>
      <w:r>
        <w:t xml:space="preserve"> as a fresh entry. The proximate cause isn't just safe-haven demand — it's the </w:t>
      </w:r>
      <w:r>
        <w:rPr>
          <w:b/>
        </w:rPr>
        <w:t>weaker rupee (RBI heavy FX intervention story continuing)</w:t>
      </w:r>
      <w:r>
        <w:t xml:space="preserve"> amplifying landed prices in INR terms. This is a </w:t>
      </w:r>
      <w:r>
        <w:rPr>
          <w:b/>
        </w:rPr>
        <w:t>domestic currency-and-flow-driven</w:t>
      </w:r>
      <w:r>
        <w:t xml:space="preserve"> ETF move layered on top of a global metals rally.</w:t>
      </w:r>
    </w:p>
    <w:p>
      <w:r>
        <w:rPr>
          <w:b/>
        </w:rPr>
        <w:t>Aviation (-4.0%) and IT (-2.0%)</w:t>
      </w:r>
      <w:r>
        <w:t xml:space="preserve"> got hit for very direct reasons:</w:t>
      </w:r>
    </w:p>
    <w:p>
      <w:pPr>
        <w:pStyle w:val="ListBullet"/>
      </w:pPr>
      <w:r>
        <w:rPr>
          <w:b/>
        </w:rPr>
        <w:t>Aviation</w:t>
      </w:r>
      <w:r>
        <w:t xml:space="preserve">: Brent +7.6% plus a ₹3/litre fuel hike — fuel is 30-40% of an airline's cost base. AVIATION flipped </w:t>
      </w:r>
      <w:r>
        <w:rPr>
          <w:b/>
        </w:rPr>
        <w:t>Leading → Lagging</w:t>
      </w:r>
      <w:r>
        <w:t xml:space="preserve"> (RS Δ -4.9), one of the sharpest quadrant demotions of the week.</w:t>
      </w:r>
    </w:p>
    <w:p>
      <w:pPr>
        <w:pStyle w:val="ListBullet"/>
      </w:pPr>
      <w:r>
        <w:rPr>
          <w:b/>
        </w:rPr>
        <w:t>IT</w:t>
      </w:r>
      <w:r>
        <w:t xml:space="preserve">: The 10% US tariff and non-tariff trade-barrier chatter directly threatens margins; </w:t>
      </w:r>
      <w:r>
        <w:rPr>
          <w:b/>
        </w:rPr>
        <w:t>TCS, Infosys and HCLTECH all posted 5-day drawdowns between -2.5% and -4.2%</w:t>
      </w:r>
      <w:r>
        <w:t xml:space="preserve"> despite decent June-quarter EPS.</w:t>
      </w:r>
    </w:p>
    <w:p>
      <w:r>
        <w:t xml:space="preserve">Key </w:t>
      </w:r>
      <w:r>
        <w:rPr>
          <w:b/>
        </w:rPr>
        <w:t>quadrant flips</w:t>
      </w:r>
      <w:r>
        <w:t xml:space="preserve"> worth flagging: </w:t>
      </w:r>
      <w:r>
        <w:rPr>
          <w:b/>
        </w:rPr>
        <w:t>BANKING (Improving → Leading)</w:t>
      </w:r>
      <w:r>
        <w:t xml:space="preserve"> — a slightly counterintuitive move given hawkish RBI minutes, but the LIC-HDFC Bank stake approval and KOTAKBANK's +3.0% week suggest large-cap financials are absorbing the rate-shock better than smaller lenders. </w:t>
      </w:r>
      <w:r>
        <w:rPr>
          <w:b/>
        </w:rPr>
        <w:t>REALTY (Lagging → Leading)</w:t>
      </w:r>
      <w:r>
        <w:t xml:space="preserve"> and </w:t>
      </w:r>
      <w:r>
        <w:rPr>
          <w:b/>
        </w:rPr>
        <w:t>MEDIA (Lagging → Improving, RS Δ +6.2)</w:t>
      </w:r>
      <w:r>
        <w:t xml:space="preserve"> are the fresh rotation stories. </w:t>
      </w:r>
      <w:r>
        <w:rPr>
          <w:b/>
        </w:rPr>
        <w:t>METALS (Leading → Lagging)</w:t>
      </w:r>
      <w:r>
        <w:t xml:space="preserve"> despite +0.6% for the week — the internal names (WELCORP, JINDALSAW) rallied hard on volume even as sector momentum cooled.</w:t>
      </w:r>
    </w:p>
    <w:p>
      <w:pPr>
        <w:pStyle w:val="Heading2"/>
      </w:pPr>
      <w:r>
        <w:t>4. Earnings Pulse</w:t>
      </w:r>
    </w:p>
    <w:p>
      <w:r>
        <w:rPr>
          <w:b/>
        </w:rPr>
        <w:t>Season: Jun 2026</w:t>
      </w:r>
      <w:r>
        <w:t xml:space="preserve"> — 507 stocks reported, 33 haven't filed yet (excluded to keep aggregates clean). No stocks in the earnings calendar declared results in the last 10 days, so </w:t>
      </w:r>
      <w:r>
        <w:rPr>
          <w:b/>
        </w:rPr>
        <w:t>treat every bellwether print as "context, not catalyst"</w:t>
      </w:r>
      <w:r>
        <w:t xml:space="preserve"> for this week's price action.</w:t>
      </w:r>
    </w:p>
    <w:p>
      <w:r>
        <w:rPr>
          <w:b/>
        </w:rPr>
        <w:t>(a) Sector aggregate</w:t>
      </w:r>
      <w:r>
        <w:t xml:space="preserve">: </w:t>
      </w:r>
      <w:r>
        <w:rPr>
          <w:b/>
        </w:rPr>
        <w:t>Logistics (+81.2% median EPS YoY, 7 stocks)</w:t>
      </w:r>
      <w:r>
        <w:t xml:space="preserve"> and </w:t>
      </w:r>
      <w:r>
        <w:rPr>
          <w:b/>
        </w:rPr>
        <w:t>Textiles (+49.4%, 6 stocks)</w:t>
      </w:r>
      <w:r>
        <w:t xml:space="preserve"> lead — small samples but consistently strong. Broad-based mid-40s YoY strength runs through </w:t>
      </w:r>
      <w:r>
        <w:rPr>
          <w:b/>
        </w:rPr>
        <w:t>Chemicals (+34.3%), Consumer Durables (+32%), Banking (+27.4%), Healthcare (+25.2%) and Financial Services (+24%)</w:t>
      </w:r>
      <w:r>
        <w:t xml:space="preserve">. The soft spots are </w:t>
      </w:r>
      <w:r>
        <w:rPr>
          <w:b/>
        </w:rPr>
        <w:t>Consumer Services (+11.3%) and Auto Components (+13.4%)</w:t>
      </w:r>
      <w:r>
        <w:t xml:space="preserve"> — sub-teens medians in what should be cyclically strong sectors.</w:t>
      </w:r>
    </w:p>
    <w:p>
      <w:r>
        <w:rPr>
          <w:b/>
        </w:rPr>
        <w:t>(b) Top extremes</w:t>
      </w:r>
      <w:r>
        <w:t xml:space="preserve">: </w:t>
      </w:r>
      <w:r>
        <w:rPr>
          <w:b/>
        </w:rPr>
        <w:t>NEULANDLAB (+963% EPS YoY, +119% revenue)</w:t>
      </w:r>
      <w:r>
        <w:t xml:space="preserve"> and </w:t>
      </w:r>
      <w:r>
        <w:rPr>
          <w:b/>
        </w:rPr>
        <w:t>GLENMARK (+931% EPS)</w:t>
      </w:r>
      <w:r>
        <w:t xml:space="preserve"> lead the beats — both healthcare, but Neuland is the more informative print because revenue actually doubled. On the miss side, </w:t>
      </w:r>
      <w:r>
        <w:rPr>
          <w:b/>
        </w:rPr>
        <w:t>DELTACORP (-822%)</w:t>
      </w:r>
      <w:r>
        <w:t xml:space="preserve"> and </w:t>
      </w:r>
      <w:r>
        <w:rPr>
          <w:b/>
        </w:rPr>
        <w:t>HINDPETRO (-398%)</w:t>
      </w:r>
      <w:r>
        <w:t xml:space="preserve"> stand out — Hindpetro's miss is a clean read on refining margin compression from crude's surge.</w:t>
      </w:r>
    </w:p>
    <w:p>
      <w:r>
        <w:rPr>
          <w:b/>
        </w:rPr>
        <w:t>(c) Bellwether large-cap read</w:t>
      </w:r>
      <w:r>
        <w:t xml:space="preserve"> — </w:t>
      </w:r>
      <w:r>
        <w:rPr>
          <w:b/>
        </w:rPr>
        <w:t>STALENESS APPLIES</w:t>
      </w:r>
      <w:r>
        <w:t xml:space="preserve">: none of these results were declared in the last 10 days, so this week's price columns are </w:t>
      </w:r>
      <w:r>
        <w:rPr>
          <w:b/>
        </w:rPr>
        <w:t>rotation action, not earnings reaction</w:t>
      </w:r>
      <w:r>
        <w:t>.</w:t>
      </w:r>
    </w:p>
    <w:p>
      <w:pPr>
        <w:pStyle w:val="ListBullet"/>
      </w:pPr>
      <w:r>
        <w:rPr>
          <w:b/>
        </w:rPr>
        <w:t>TCS (+5% EPS, +14% Rev; 1D +0.2%, 5D -2.5%)</w:t>
      </w:r>
      <w:r>
        <w:t>: The 5-day drawdown is pure tariff-fear rotation out of IT, not a delayed reaction to the print. Read-through: IT sector selling is macro-driven, not fundamental.</w:t>
      </w:r>
    </w:p>
    <w:p>
      <w:pPr>
        <w:pStyle w:val="ListBullet"/>
      </w:pPr>
      <w:r>
        <w:rPr>
          <w:b/>
        </w:rPr>
        <w:t>INFY (+15% EPS; 5D -4.1%)</w:t>
      </w:r>
      <w:r>
        <w:t xml:space="preserve"> and </w:t>
      </w:r>
      <w:r>
        <w:rPr>
          <w:b/>
        </w:rPr>
        <w:t>HCLTECH (+20% EPS; 5D -4.2%)</w:t>
      </w:r>
      <w:r>
        <w:t>: Same story, harder hit. Healthy EPS growth is being ignored in favour of the US tariff overhang.</w:t>
      </w:r>
    </w:p>
    <w:p>
      <w:pPr>
        <w:pStyle w:val="ListBullet"/>
      </w:pPr>
      <w:r>
        <w:rPr>
          <w:b/>
        </w:rPr>
        <w:t>HDFCBANK (+18% EPS; 5D flat)</w:t>
      </w:r>
      <w:r>
        <w:t xml:space="preserve"> and </w:t>
      </w:r>
      <w:r>
        <w:rPr>
          <w:b/>
        </w:rPr>
        <w:t>KOTAKBANK (+22% EPS; 5D +3.0%)</w:t>
      </w:r>
      <w:r>
        <w:t>: Private banks holding up while SBIN (-1.8%) lags — hawkish RBI minutes hit PSU banks harder. The KOTAKBANK strength paired with the LIC-HDFC Bank stake approval is the "banking flipped to Leading" story in stock form.</w:t>
      </w:r>
    </w:p>
    <w:p>
      <w:pPr>
        <w:pStyle w:val="ListBullet"/>
      </w:pPr>
      <w:r>
        <w:rPr>
          <w:b/>
        </w:rPr>
        <w:t>MARUTI (-9% EPS, +36% Rev; 5D -1.9%)</w:t>
      </w:r>
      <w:r>
        <w:t xml:space="preserve">: Revenue up 36% but EPS down — margin compression is the story. Combined with the AUTOMOBILE quadrant flip </w:t>
      </w:r>
      <w:r>
        <w:rPr>
          <w:b/>
        </w:rPr>
        <w:t>Leading → Weakening</w:t>
      </w:r>
      <w:r>
        <w:t>, auto's cyclical peak read gets more credible.</w:t>
      </w:r>
    </w:p>
    <w:p>
      <w:pPr>
        <w:pStyle w:val="ListBullet"/>
      </w:pPr>
      <w:r>
        <w:rPr>
          <w:b/>
        </w:rPr>
        <w:t>TITAN (+63% EPS, +29% Rev; 5D +0.6%)</w:t>
      </w:r>
      <w:r>
        <w:t>: The cleanest premium-discretionary print in the pack. Modest price reaction confirms the market has already priced in strong Titan numbers — a "no news" reaction to a great result is itself information.</w:t>
      </w:r>
    </w:p>
    <w:p>
      <w:pPr>
        <w:pStyle w:val="Heading2"/>
      </w:pPr>
      <w:r>
        <w:t>5. Technical Signals This Week</w:t>
      </w:r>
    </w:p>
    <w:p>
      <w:r>
        <w:t xml:space="preserve">Total universe: </w:t>
      </w:r>
      <w:r>
        <w:rPr>
          <w:b/>
        </w:rPr>
        <w:t>123 unique stocks</w:t>
      </w:r>
      <w:r>
        <w:t xml:space="preserve"> firing at least one signal.</w:t>
      </w:r>
    </w:p>
    <w:p>
      <w:pPr>
        <w:pStyle w:val="ListBullet"/>
      </w:pPr>
      <w:r>
        <w:rPr>
          <w:b/>
        </w:rPr>
        <w:t>Blue Zone Buy</w:t>
      </w:r>
      <w:r>
        <w:t xml:space="preserve"> (institutional-accumulation watchlist: stocks with RSI momentum, close above 20-day EMA, and within 10% of 52-week high): </w:t>
      </w:r>
      <w:r>
        <w:rPr>
          <w:b/>
        </w:rPr>
        <w:t>75 unique stocks</w:t>
      </w:r>
      <w:r>
        <w:t xml:space="preserve"> vs 77 last week, </w:t>
      </w:r>
      <w:r>
        <w:rPr>
          <w:b/>
        </w:rPr>
        <w:t>-2</w:t>
      </w:r>
      <w:r>
        <w:t xml:space="preserve">. 16 fresh entries. Top examples: </w:t>
      </w:r>
      <w:r>
        <w:rPr>
          <w:b/>
        </w:rPr>
        <w:t>SUNDRMFAST, VARROC, UFLEX, WELCORP, SHILPAMED</w:t>
      </w:r>
      <w:r>
        <w:t>. The universe is flat-to-slightly-shrinking — the accumulation theme is intact but not broadening.</w:t>
      </w:r>
    </w:p>
    <w:p>
      <w:pPr>
        <w:pStyle w:val="ListBullet"/>
      </w:pPr>
      <w:r>
        <w:rPr>
          <w:b/>
        </w:rPr>
        <w:t>MACD Buy</w:t>
      </w:r>
      <w:r>
        <w:t xml:space="preserve"> (momentum oscillator flipping positive — a trend-change signal): </w:t>
      </w:r>
      <w:r>
        <w:rPr>
          <w:b/>
        </w:rPr>
        <w:t>24 stocks</w:t>
      </w:r>
      <w:r>
        <w:t xml:space="preserve"> vs 32, </w:t>
      </w:r>
      <w:r>
        <w:rPr>
          <w:b/>
        </w:rPr>
        <w:t>-8</w:t>
      </w:r>
      <w:r>
        <w:t xml:space="preserve">. Fresh names include </w:t>
      </w:r>
      <w:r>
        <w:rPr>
          <w:b/>
        </w:rPr>
        <w:t>UFLEX, HEG, NAUKRI, GLAXO</w:t>
      </w:r>
      <w:r>
        <w:t>. Contraction here + Blue Zone flatness = fewer fresh momentum starts than last week.</w:t>
      </w:r>
    </w:p>
    <w:p>
      <w:pPr>
        <w:pStyle w:val="ListBullet"/>
      </w:pPr>
      <w:r>
        <w:rPr>
          <w:b/>
        </w:rPr>
        <w:t>Narrow CPR breakaway</w:t>
      </w:r>
      <w:r>
        <w:t xml:space="preserve"> (Central Pivot Range compresses tight, often precedes a breakout): </w:t>
      </w:r>
      <w:r>
        <w:rPr>
          <w:b/>
        </w:rPr>
        <w:t>21 stocks</w:t>
      </w:r>
      <w:r>
        <w:t xml:space="preserve"> vs 36, </w:t>
      </w:r>
      <w:r>
        <w:rPr>
          <w:b/>
        </w:rPr>
        <w:t>-15</w:t>
      </w:r>
      <w:r>
        <w:t xml:space="preserve"> — the sharpest contraction on the board. Names include </w:t>
      </w:r>
      <w:r>
        <w:rPr>
          <w:b/>
        </w:rPr>
        <w:t>BAJAJHLDNG, DALBHARAT, 360ONE, GRASIM</w:t>
      </w:r>
      <w:r>
        <w:t>. Interpretation: fewer coiled setups, or the market's compression is releasing without breakouts.</w:t>
      </w:r>
    </w:p>
    <w:p>
      <w:pPr>
        <w:pStyle w:val="ListBullet"/>
      </w:pPr>
      <w:r>
        <w:rPr>
          <w:b/>
        </w:rPr>
        <w:t>VCP Buy</w:t>
      </w:r>
      <w:r>
        <w:t xml:space="preserve"> (Volatility Contraction Pattern — Minervini-style tightening range before breakout): </w:t>
      </w:r>
      <w:r>
        <w:rPr>
          <w:b/>
        </w:rPr>
        <w:t>19 stocks</w:t>
      </w:r>
      <w:r>
        <w:t xml:space="preserve"> vs 9, </w:t>
      </w:r>
      <w:r>
        <w:rPr>
          <w:b/>
        </w:rPr>
        <w:t>+10</w:t>
      </w:r>
      <w:r>
        <w:t xml:space="preserve"> — the biggest expansion. Fresh: </w:t>
      </w:r>
      <w:r>
        <w:rPr>
          <w:b/>
        </w:rPr>
        <w:t>SUNDRMFAST, DIVISLAB, RKFORGE, NEULANDLAB</w:t>
      </w:r>
      <w:r>
        <w:t>. This is the standout — VCP setups are building faster than they're triggering.</w:t>
      </w:r>
    </w:p>
    <w:p>
      <w:pPr>
        <w:pStyle w:val="ListBullet"/>
      </w:pPr>
      <w:r>
        <w:rPr>
          <w:b/>
        </w:rPr>
        <w:t>MACD Strong</w:t>
      </w:r>
      <w:r>
        <w:t xml:space="preserve">: </w:t>
      </w:r>
      <w:r>
        <w:rPr>
          <w:b/>
        </w:rPr>
        <w:t>15 stocks</w:t>
      </w:r>
      <w:r>
        <w:t xml:space="preserve"> vs 11, </w:t>
      </w:r>
      <w:r>
        <w:rPr>
          <w:b/>
        </w:rPr>
        <w:t>+4</w:t>
      </w:r>
      <w:r>
        <w:t xml:space="preserve">. </w:t>
      </w:r>
      <w:r>
        <w:rPr>
          <w:b/>
        </w:rPr>
        <w:t>UFLEX, HEG, IIFL, GLAXO</w:t>
      </w:r>
      <w:r>
        <w:t xml:space="preserve"> — same stocks recurring across momentum flags is meaningful.</w:t>
      </w:r>
    </w:p>
    <w:p>
      <w:pPr>
        <w:pStyle w:val="ListBullet"/>
      </w:pPr>
      <w:r>
        <w:rPr>
          <w:b/>
        </w:rPr>
        <w:t>Golden Cross Buy</w:t>
      </w:r>
      <w:r>
        <w:t xml:space="preserve"> (20-day EMA crossing above 50-day EMA — medium-term trend flip): </w:t>
      </w:r>
      <w:r>
        <w:rPr>
          <w:b/>
        </w:rPr>
        <w:t>8 stocks</w:t>
      </w:r>
      <w:r>
        <w:t xml:space="preserve"> vs 13, </w:t>
      </w:r>
      <w:r>
        <w:rPr>
          <w:b/>
        </w:rPr>
        <w:t>-5</w:t>
      </w:r>
      <w:r>
        <w:t xml:space="preserve">. </w:t>
      </w:r>
      <w:r>
        <w:rPr>
          <w:b/>
        </w:rPr>
        <w:t>GOLDBEES, POLICYBZR, HINDCOPPER</w:t>
      </w:r>
      <w:r>
        <w:t xml:space="preserve"> — the gold ETF appearing here reinforces the section-3 metals-and-currency story.</w:t>
      </w:r>
    </w:p>
    <w:p>
      <w:pPr>
        <w:pStyle w:val="ListBullet"/>
      </w:pPr>
      <w:r>
        <w:rPr>
          <w:b/>
        </w:rPr>
        <w:t>Bull Flag Buy</w:t>
      </w:r>
      <w:r>
        <w:t xml:space="preserve"> (sharp rally, orderly consolidation, breakout above the range): </w:t>
      </w:r>
      <w:r>
        <w:rPr>
          <w:b/>
        </w:rPr>
        <w:t>7 stocks</w:t>
      </w:r>
      <w:r>
        <w:t xml:space="preserve"> vs 6, </w:t>
      </w:r>
      <w:r>
        <w:rPr>
          <w:b/>
        </w:rPr>
        <w:t>+1</w:t>
      </w:r>
      <w:r>
        <w:t xml:space="preserve">. </w:t>
      </w:r>
      <w:r>
        <w:rPr>
          <w:b/>
        </w:rPr>
        <w:t>SHILPAMED, COFORGE, NEULANDLAB, KEI</w:t>
      </w:r>
      <w:r>
        <w:t>.</w:t>
      </w:r>
    </w:p>
    <w:p>
      <w:pPr>
        <w:pStyle w:val="ListBullet"/>
      </w:pPr>
      <w:r>
        <w:rPr>
          <w:b/>
        </w:rPr>
        <w:t>Blue Zone Strong</w:t>
      </w:r>
      <w:r>
        <w:t xml:space="preserve"> (higher-conviction Blue Zone with tighter thresholds): </w:t>
      </w:r>
      <w:r>
        <w:rPr>
          <w:b/>
        </w:rPr>
        <w:t>5 stocks</w:t>
      </w:r>
      <w:r>
        <w:t xml:space="preserve"> vs 3, </w:t>
      </w:r>
      <w:r>
        <w:rPr>
          <w:b/>
        </w:rPr>
        <w:t>+2</w:t>
      </w:r>
      <w:r>
        <w:t xml:space="preserve">. </w:t>
      </w:r>
      <w:r>
        <w:rPr>
          <w:b/>
        </w:rPr>
        <w:t>WELCORP, UFLEX, BOSCHLTD, APARINDS</w:t>
      </w:r>
      <w:r>
        <w:t>.</w:t>
      </w:r>
    </w:p>
    <w:p>
      <w:pPr>
        <w:pStyle w:val="ListBullet"/>
      </w:pPr>
      <w:r>
        <w:rPr>
          <w:b/>
        </w:rPr>
        <w:t>VCP Strong, Golden Cross Strong, Darvas Box, Pullback Bounce, Bull Flag Strong</w:t>
      </w:r>
      <w:r>
        <w:t>: 1-3 stocks each, all low-frequency.</w:t>
      </w:r>
    </w:p>
    <w:p>
      <w:r>
        <w:rPr>
          <w:b/>
        </w:rPr>
        <w:t>Multi-signal (higher-conviction) stocks</w:t>
      </w:r>
      <w:r>
        <w:t xml:space="preserve">: </w:t>
      </w:r>
      <w:r>
        <w:rPr>
          <w:b/>
        </w:rPr>
        <w:t>ASIANENE (4 signals)</w:t>
      </w:r>
      <w:r>
        <w:t xml:space="preserve"> and </w:t>
      </w:r>
      <w:r>
        <w:rPr>
          <w:b/>
        </w:rPr>
        <w:t>UFLEX (4 signals — including both Blue Zone Buy AND Strong)</w:t>
      </w:r>
      <w:r>
        <w:t xml:space="preserve"> are the cleanest cross-confirmations. </w:t>
      </w:r>
      <w:r>
        <w:rPr>
          <w:b/>
        </w:rPr>
        <w:t>AJANTPHARM, ANANDRATHI, CASTROLIND, GLAXO, HEG, IIFL, LALPATHLAB, NEULANDLAB</w:t>
      </w:r>
      <w:r>
        <w:t xml:space="preserve"> all fired 3 different indicator types — the kind of clustering that suggests genuine institutional interest rather than noise.</w:t>
      </w:r>
    </w:p>
    <w:p>
      <w:r>
        <w:rPr>
          <w:b/>
        </w:rPr>
        <w:t>Signal-mix read</w:t>
      </w:r>
      <w:r>
        <w:t xml:space="preserve">: contracting on trend signals (MACD, Golden Cross, Narrow CPR all down WoW) but </w:t>
      </w:r>
      <w:r>
        <w:rPr>
          <w:b/>
        </w:rPr>
        <w:t>expanding on tight-range setups (VCP +10)</w:t>
      </w:r>
      <w:r>
        <w:t xml:space="preserve">. This is the fingerprint of a </w:t>
      </w:r>
      <w:r>
        <w:rPr>
          <w:b/>
        </w:rPr>
        <w:t>market in coil-mode</w:t>
      </w:r>
      <w:r>
        <w:t xml:space="preserve"> — fewer stocks breaking out, more compressing. Watch VCP for follow-through next week.</w:t>
      </w:r>
    </w:p>
    <w:p>
      <w:pPr>
        <w:pStyle w:val="Heading2"/>
      </w:pPr>
      <w:r>
        <w:t>6. Notable Stock-Level Action</w:t>
      </w:r>
    </w:p>
    <w:p>
      <w:pPr>
        <w:pStyle w:val="ListBullet"/>
      </w:pPr>
      <w:r>
        <w:rPr>
          <w:b/>
        </w:rPr>
        <w:t>WELCORP</w:t>
      </w:r>
      <w:r>
        <w:t xml:space="preserve"> — RS rank </w:t>
      </w:r>
      <w:r>
        <w:rPr>
          <w:b/>
        </w:rPr>
        <w:t>#3</w:t>
      </w:r>
      <w:r>
        <w:t xml:space="preserve">, volume </w:t>
      </w:r>
      <w:r>
        <w:rPr>
          <w:b/>
        </w:rPr>
        <w:t>26.7x normal</w:t>
      </w:r>
      <w:r>
        <w:t>, appears on both Blue Zone Buy and Blue Zone Strong lists. Steel pipe player riding the metals-story even as the sector index softens.</w:t>
      </w:r>
    </w:p>
    <w:p>
      <w:pPr>
        <w:pStyle w:val="ListBullet"/>
      </w:pPr>
      <w:r>
        <w:rPr>
          <w:b/>
        </w:rPr>
        <w:t>JBMA (auto components)</w:t>
      </w:r>
      <w:r>
        <w:t xml:space="preserve"> — volume </w:t>
      </w:r>
      <w:r>
        <w:rPr>
          <w:b/>
        </w:rPr>
        <w:t>58.4x</w:t>
      </w:r>
      <w:r>
        <w:t xml:space="preserve"> on Friday. The biggest volume anomaly of the week. RS rank #458, so this is a low-ranked name suddenly getting attention — worth watching whether this is accumulation or a one-off block.</w:t>
      </w:r>
    </w:p>
    <w:p>
      <w:pPr>
        <w:pStyle w:val="ListBullet"/>
      </w:pPr>
      <w:r>
        <w:rPr>
          <w:b/>
        </w:rPr>
        <w:t>SHILPAMED</w:t>
      </w:r>
      <w:r>
        <w:t xml:space="preserve"> — the ONLY stock this week to fire Bull Flag Strong AND appear in fresh Blue Zone Buy entries. Two-way confirmation on a mid-cap healthcare name.</w:t>
      </w:r>
    </w:p>
    <w:p>
      <w:pPr>
        <w:pStyle w:val="ListBullet"/>
      </w:pPr>
      <w:r>
        <w:rPr>
          <w:b/>
        </w:rPr>
        <w:t>RENUKA and BALRAMCHIN (sugar mills)</w:t>
      </w:r>
      <w:r>
        <w:t xml:space="preserve"> — both in the volume-breakout list. Note this is happening </w:t>
      </w:r>
      <w:r>
        <w:rPr>
          <w:b/>
        </w:rPr>
        <w:t>exactly as India waives the 100% sugar import duty</w:t>
      </w:r>
      <w:r>
        <w:t xml:space="preserve"> — the news reads bearish for sugar mills, but the tape is showing volume, not selling. Either the market has already priced in the duty waiver, or players are betting on export normalisation. Worth watching next week.</w:t>
      </w:r>
    </w:p>
    <w:p>
      <w:pPr>
        <w:pStyle w:val="ListBullet"/>
      </w:pPr>
      <w:r>
        <w:rPr>
          <w:b/>
        </w:rPr>
        <w:t>IIFL Finance</w:t>
      </w:r>
      <w:r>
        <w:t xml:space="preserve"> — RS rank </w:t>
      </w:r>
      <w:r>
        <w:rPr>
          <w:b/>
        </w:rPr>
        <w:t>#14</w:t>
      </w:r>
      <w:r>
        <w:t xml:space="preserve">, volume </w:t>
      </w:r>
      <w:r>
        <w:rPr>
          <w:b/>
        </w:rPr>
        <w:t>6.7x</w:t>
      </w:r>
      <w:r>
        <w:t>, 3 momentum signals. A quiet financial-services standout while HDFCAMC (RS #321) is one of the week's biggest rank decliners — the rotation within financials is happening in real time.</w:t>
      </w:r>
    </w:p>
    <w:p>
      <w:pPr>
        <w:pStyle w:val="Heading2"/>
      </w:pPr>
      <w:r>
        <w:t>7. Macro &amp; Global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Metric</w:t>
            </w:r>
          </w:p>
        </w:tc>
        <w:tc>
          <w:tcPr>
            <w:tcW w:type="dxa" w:w="2880"/>
          </w:tcPr>
          <w:p>
            <w:r/>
            <w:r>
              <w:rPr>
                <w:b/>
                <w:sz w:val="20"/>
              </w:rPr>
              <w:t>Level</w:t>
            </w:r>
          </w:p>
        </w:tc>
        <w:tc>
          <w:tcPr>
            <w:tcW w:type="dxa" w:w="2880"/>
          </w:tcPr>
          <w:p>
            <w:r/>
            <w:r>
              <w:rPr>
                <w:b/>
                <w:sz w:val="20"/>
              </w:rPr>
              <w:t>Weekly change</w:t>
            </w:r>
          </w:p>
        </w:tc>
      </w:tr>
      <w:tr>
        <w:tc>
          <w:tcPr>
            <w:tcW w:type="dxa" w:w="2880"/>
          </w:tcPr>
          <w:p>
            <w:r>
              <w:rPr>
                <w:sz w:val="20"/>
              </w:rPr>
            </w:r>
            <w:r>
              <w:rPr>
                <w:sz w:val="20"/>
              </w:rPr>
              <w:t>India VIX</w:t>
            </w:r>
          </w:p>
        </w:tc>
        <w:tc>
          <w:tcPr>
            <w:tcW w:type="dxa" w:w="2880"/>
          </w:tcPr>
          <w:p>
            <w:r>
              <w:rPr>
                <w:sz w:val="20"/>
              </w:rPr>
            </w:r>
            <w:r>
              <w:rPr>
                <w:sz w:val="20"/>
              </w:rPr>
              <w:t>10.76</w:t>
            </w:r>
          </w:p>
        </w:tc>
        <w:tc>
          <w:tcPr>
            <w:tcW w:type="dxa" w:w="2880"/>
          </w:tcPr>
          <w:p>
            <w:r>
              <w:rPr>
                <w:sz w:val="20"/>
              </w:rPr>
            </w:r>
            <w:r>
              <w:rPr>
                <w:sz w:val="20"/>
              </w:rPr>
              <w:t>-0.66</w:t>
            </w:r>
          </w:p>
        </w:tc>
      </w:tr>
      <w:tr>
        <w:tc>
          <w:tcPr>
            <w:tcW w:type="dxa" w:w="2880"/>
          </w:tcPr>
          <w:p>
            <w:r>
              <w:rPr>
                <w:sz w:val="20"/>
              </w:rPr>
            </w:r>
            <w:r>
              <w:rPr>
                <w:sz w:val="20"/>
              </w:rPr>
              <w:t>Brent</w:t>
            </w:r>
          </w:p>
        </w:tc>
        <w:tc>
          <w:tcPr>
            <w:tcW w:type="dxa" w:w="2880"/>
          </w:tcPr>
          <w:p>
            <w:r>
              <w:rPr>
                <w:sz w:val="20"/>
              </w:rPr>
            </w:r>
            <w:r>
              <w:rPr>
                <w:sz w:val="20"/>
              </w:rPr>
              <w:t>$93.74</w:t>
            </w:r>
          </w:p>
        </w:tc>
        <w:tc>
          <w:tcPr>
            <w:tcW w:type="dxa" w:w="2880"/>
          </w:tcPr>
          <w:p>
            <w:r>
              <w:rPr>
                <w:sz w:val="20"/>
              </w:rPr>
            </w:r>
            <w:r>
              <w:rPr>
                <w:b/>
                <w:sz w:val="20"/>
              </w:rPr>
              <w:t>+7.6%</w:t>
            </w:r>
          </w:p>
        </w:tc>
      </w:tr>
      <w:tr>
        <w:tc>
          <w:tcPr>
            <w:tcW w:type="dxa" w:w="2880"/>
          </w:tcPr>
          <w:p>
            <w:r>
              <w:rPr>
                <w:sz w:val="20"/>
              </w:rPr>
            </w:r>
            <w:r>
              <w:rPr>
                <w:sz w:val="20"/>
              </w:rPr>
              <w:t>DXY</w:t>
            </w:r>
          </w:p>
        </w:tc>
        <w:tc>
          <w:tcPr>
            <w:tcW w:type="dxa" w:w="2880"/>
          </w:tcPr>
          <w:p>
            <w:r>
              <w:rPr>
                <w:sz w:val="20"/>
              </w:rPr>
            </w:r>
            <w:r>
              <w:rPr>
                <w:sz w:val="20"/>
              </w:rPr>
              <w:t>98.74</w:t>
            </w:r>
          </w:p>
        </w:tc>
        <w:tc>
          <w:tcPr>
            <w:tcW w:type="dxa" w:w="2880"/>
          </w:tcPr>
          <w:p>
            <w:r>
              <w:rPr>
                <w:sz w:val="20"/>
              </w:rPr>
            </w:r>
            <w:r>
              <w:rPr>
                <w:sz w:val="20"/>
              </w:rPr>
              <w:t>-1.14</w:t>
            </w:r>
          </w:p>
        </w:tc>
      </w:tr>
      <w:tr>
        <w:tc>
          <w:tcPr>
            <w:tcW w:type="dxa" w:w="2880"/>
          </w:tcPr>
          <w:p>
            <w:r>
              <w:rPr>
                <w:sz w:val="20"/>
              </w:rPr>
            </w:r>
            <w:r>
              <w:rPr>
                <w:sz w:val="20"/>
              </w:rPr>
              <w:t>Gold</w:t>
            </w:r>
          </w:p>
        </w:tc>
        <w:tc>
          <w:tcPr>
            <w:tcW w:type="dxa" w:w="2880"/>
          </w:tcPr>
          <w:p>
            <w:r>
              <w:rPr>
                <w:sz w:val="20"/>
              </w:rPr>
            </w:r>
            <w:r>
              <w:rPr>
                <w:sz w:val="20"/>
              </w:rPr>
              <w:t>$4,582/oz</w:t>
            </w:r>
          </w:p>
        </w:tc>
        <w:tc>
          <w:tcPr>
            <w:tcW w:type="dxa" w:w="2880"/>
          </w:tcPr>
          <w:p>
            <w:r>
              <w:rPr>
                <w:sz w:val="20"/>
              </w:rPr>
            </w:r>
            <w:r>
              <w:rPr>
                <w:sz w:val="20"/>
              </w:rPr>
              <w:t>+4.6%</w:t>
            </w:r>
          </w:p>
        </w:tc>
      </w:tr>
      <w:tr>
        <w:tc>
          <w:tcPr>
            <w:tcW w:type="dxa" w:w="2880"/>
          </w:tcPr>
          <w:p>
            <w:r>
              <w:rPr>
                <w:sz w:val="20"/>
              </w:rPr>
            </w:r>
            <w:r>
              <w:rPr>
                <w:sz w:val="20"/>
              </w:rPr>
              <w:t>Silver</w:t>
            </w:r>
          </w:p>
        </w:tc>
        <w:tc>
          <w:tcPr>
            <w:tcW w:type="dxa" w:w="2880"/>
          </w:tcPr>
          <w:p>
            <w:r>
              <w:rPr>
                <w:sz w:val="20"/>
              </w:rPr>
            </w:r>
            <w:r>
              <w:rPr>
                <w:sz w:val="20"/>
              </w:rPr>
              <w:t>$68.65/oz</w:t>
            </w:r>
          </w:p>
        </w:tc>
        <w:tc>
          <w:tcPr>
            <w:tcW w:type="dxa" w:w="2880"/>
          </w:tcPr>
          <w:p>
            <w:r>
              <w:rPr>
                <w:sz w:val="20"/>
              </w:rPr>
            </w:r>
            <w:r>
              <w:rPr>
                <w:sz w:val="20"/>
              </w:rPr>
              <w:t>+6.9%</w:t>
            </w:r>
          </w:p>
        </w:tc>
      </w:tr>
    </w:tbl>
    <w:p/>
    <w:p>
      <w:r>
        <w:t xml:space="preserve">VIX </w:t>
      </w:r>
      <w:r>
        <w:rPr>
          <w:b/>
        </w:rPr>
        <w:t>dropped despite</w:t>
      </w:r>
      <w:r>
        <w:t xml:space="preserve"> the choppy tape — a slight tell that institutional players aren't hedging aggressively into next week. </w:t>
      </w:r>
      <w:r>
        <w:rPr>
          <w:b/>
        </w:rPr>
        <w:t>Brent's 7.6% surge</w:t>
      </w:r>
      <w:r>
        <w:t xml:space="preserve"> is the single biggest macro variable and cuts across aviation, refining margins, transportation and inflation. </w:t>
      </w:r>
      <w:r>
        <w:rPr>
          <w:b/>
        </w:rPr>
        <w:t>Weaker DXY (-1.14)</w:t>
      </w:r>
      <w:r>
        <w:t xml:space="preserve"> normally supports EM equities but was fully offset here by the RBI-driven bond sell-off.</w:t>
      </w:r>
    </w:p>
    <w:p>
      <w:r>
        <w:rPr>
          <w:b/>
        </w:rPr>
        <w:t>Domestic policy and RBI events (this week's real drivers)</w:t>
      </w:r>
      <w:r>
        <w:t>:</w:t>
      </w:r>
    </w:p>
    <w:p>
      <w:pPr>
        <w:pStyle w:val="ListBullet"/>
      </w:pPr>
      <w:r>
        <w:rPr>
          <w:b/>
        </w:rPr>
        <w:t>RBI MPC minutes turned hawkish</w:t>
      </w:r>
      <w:r>
        <w:t xml:space="preserve"> — members flagged inflation and global uncertainty; the tape's immediate reaction was a bond sell-off and PSU-bank weakness (SBIN -1.8%).</w:t>
      </w:r>
    </w:p>
    <w:p>
      <w:pPr>
        <w:pStyle w:val="ListBullet"/>
      </w:pPr>
      <w:r>
        <w:rPr>
          <w:b/>
        </w:rPr>
        <w:t>RBI approved LIC raising HDFC Bank stake to ~10% from 4.11%</w:t>
      </w:r>
      <w:r>
        <w:t xml:space="preserve"> — a large, sticky-holder change that supports the private-bank complex; helped Banking flip to Leading.</w:t>
      </w:r>
    </w:p>
    <w:p>
      <w:pPr>
        <w:pStyle w:val="ListBullet"/>
      </w:pPr>
      <w:r>
        <w:rPr>
          <w:b/>
        </w:rPr>
        <w:t>SEBI banned two entities for Sensex CAS trades and barred a JPMorgan unit for suspected Sensex manipulation</w:t>
      </w:r>
      <w:r>
        <w:t xml:space="preserve"> — market-integrity noise, no first-order price impact but worth flagging.</w:t>
      </w:r>
    </w:p>
    <w:p>
      <w:pPr>
        <w:pStyle w:val="ListBullet"/>
      </w:pPr>
      <w:r>
        <w:rPr>
          <w:b/>
        </w:rPr>
        <w:t>100% sugar import duty waived</w:t>
      </w:r>
      <w:r>
        <w:t xml:space="preserve"> — negative for domestic sugar mills, though ironically Renuka and Balrampur Chini saw volume, not liquidation.</w:t>
      </w:r>
    </w:p>
    <w:p>
      <w:pPr>
        <w:pStyle w:val="ListBullet"/>
      </w:pPr>
      <w:r>
        <w:rPr>
          <w:b/>
        </w:rPr>
        <w:t>Petrol/diesel +₹3/litre, CNG +₹2/litre in Delhi</w:t>
      </w:r>
      <w:r>
        <w:t xml:space="preserve"> — direct hit on aviation, logistics and transport cost structures. This plus Brent explains Aviation's -4% week neatly.</w:t>
      </w:r>
    </w:p>
    <w:p>
      <w:pPr>
        <w:pStyle w:val="ListBullet"/>
      </w:pPr>
      <w:r>
        <w:rPr>
          <w:b/>
        </w:rPr>
        <w:t>White House confirmed 10% temporary tariff on India</w:t>
      </w:r>
      <w:r>
        <w:t xml:space="preserve"> post-Supreme Court ruling, plus a Trump safeguard tariff on quartz surface products — direct overhang on IT margins and select engineering exporters.</w:t>
      </w:r>
    </w:p>
    <w:p>
      <w:pPr>
        <w:pStyle w:val="ListBullet"/>
      </w:pPr>
      <w:r>
        <w:rPr>
          <w:b/>
        </w:rPr>
        <w:t>Somnath (former ISRO chief) appointed to RBI Central Board, Anand Mahindra reappointed</w:t>
      </w:r>
      <w:r>
        <w:t xml:space="preserve"> — governance signal, neutral impact.</w:t>
      </w:r>
    </w:p>
    <w:p>
      <w:pPr>
        <w:pStyle w:val="Heading2"/>
      </w:pPr>
      <w:r>
        <w:t>8. What to Watch Next Week</w:t>
      </w:r>
    </w:p>
    <w:p>
      <w:pPr>
        <w:pStyle w:val="ListBullet"/>
      </w:pPr>
      <w:r>
        <w:rPr>
          <w:b/>
        </w:rPr>
        <w:t>Nifty levels</w:t>
      </w:r>
      <w:r>
        <w:t xml:space="preserve">: The </w:t>
      </w:r>
      <w:r>
        <w:rPr>
          <w:b/>
        </w:rPr>
        <w:t>EMA200 at 24,385</w:t>
      </w:r>
      <w:r>
        <w:t xml:space="preserve"> is the ceiling to reclaim; </w:t>
      </w:r>
      <w:r>
        <w:rPr>
          <w:b/>
        </w:rPr>
        <w:t>EMA50 at 24,178</w:t>
      </w:r>
      <w:r>
        <w:t xml:space="preserve"> is the floor to defend. Wednesday's low of </w:t>
      </w:r>
      <w:r>
        <w:rPr>
          <w:b/>
        </w:rPr>
        <w:t>24,078</w:t>
      </w:r>
      <w:r>
        <w:t xml:space="preserve"> is the line-in-sand — a break below would confirm the "no man's land" resolves lower.</w:t>
      </w:r>
    </w:p>
    <w:p>
      <w:pPr>
        <w:pStyle w:val="ListBullet"/>
      </w:pPr>
      <w:r>
        <w:rPr>
          <w:b/>
        </w:rPr>
        <w:t>Brent follow-through</w:t>
      </w:r>
      <w:r>
        <w:t>: $93.74 with US-Iran and Russia-sanctions overhang is the biggest single variable. Aviation, refiners, logistics rotate on this.</w:t>
      </w:r>
    </w:p>
    <w:p>
      <w:pPr>
        <w:pStyle w:val="ListBullet"/>
      </w:pPr>
      <w:r>
        <w:rPr>
          <w:b/>
        </w:rPr>
        <w:t>The VCP coil</w:t>
      </w:r>
      <w:r>
        <w:t xml:space="preserve">: 19 stocks in tight compression vs 9 last week. Watch for breakouts (or failures) in names like </w:t>
      </w:r>
      <w:r>
        <w:rPr>
          <w:b/>
        </w:rPr>
        <w:t>SUNDRMFAST, DIVISLAB, RKFORGE, NEULANDLAB</w:t>
      </w:r>
      <w:r>
        <w:t>.</w:t>
      </w:r>
    </w:p>
    <w:p>
      <w:pPr>
        <w:pStyle w:val="ListBullet"/>
      </w:pPr>
      <w:r>
        <w:rPr>
          <w:b/>
        </w:rPr>
        <w:t>Banking Leading-flip confirmation</w:t>
      </w:r>
      <w:r>
        <w:t>: does the LIC-HDFC Bank flow lift ICICI, Axis and other private banks further, or does the RBI hawkishness bleed into private banks too?</w:t>
      </w:r>
    </w:p>
    <w:p>
      <w:pPr>
        <w:pStyle w:val="ListBullet"/>
      </w:pPr>
      <w:r>
        <w:rPr>
          <w:b/>
        </w:rPr>
        <w:t>Sugar-mill tape</w:t>
      </w:r>
      <w:r>
        <w:t>: does the +ve volume-breakout action in Renuka and Balrampur survive the duty waiver reality?</w:t>
      </w:r>
    </w:p>
    <w:p>
      <w:pPr>
        <w:pStyle w:val="Heading2"/>
      </w:pPr>
      <w:r>
        <w:t>9. The Bottom Line</w:t>
      </w:r>
    </w:p>
    <w:p>
      <w:pPr>
        <w:pStyle w:val="ListNumber"/>
      </w:pPr>
      <w:r>
        <w:rPr>
          <w:b/>
        </w:rPr>
        <w:t>The market is coiled, not trending.</w:t>
      </w:r>
      <w:r>
        <w:t xml:space="preserve"> Nifty pinned between EMA50 and EMA200, VCP setups expanding while momentum signals contract, 54% of stocks above 200-EMA, and volatility subdued (VIX 10.76). This is a compression setup — the next macro headline (Brent, tariff clarification, or a fresh RBI signal) likely picks the direction.</w:t>
      </w:r>
    </w:p>
    <w:p>
      <w:pPr>
        <w:pStyle w:val="ListNumber"/>
      </w:pPr>
      <w:r>
        <w:rPr>
          <w:b/>
        </w:rPr>
        <w:t>IT weakness looks macro, not fundamental</w:t>
      </w:r>
      <w:r>
        <w:t xml:space="preserve"> — TCS/Infy/HCL all posted decent June-quarter numbers but got sold on the 10% US tariff. If the tariff softens in trade talks, the risk-reward may re-rate; if it hardens or expands, IT has further to fall. Worth watching, not front-running.</w:t>
      </w:r>
    </w:p>
    <w:p>
      <w:pPr>
        <w:pStyle w:val="ListNumber"/>
      </w:pPr>
      <w:r>
        <w:rPr>
          <w:b/>
        </w:rPr>
        <w:t>The banking quadrant flip to Leading is the most interesting rotation</w:t>
      </w:r>
      <w:r>
        <w:t xml:space="preserve"> — but it's a private-bank story (Kotak +3%, HDFC Bank flat) not a full sector call. PSU-bank weakness on hawkish RBI minutes is the risk that could break the sector back down. Caveat: RBI MPC minutes signalled "impending hikes" per Reuters — if that materialises, the banking-leading thesis needs a rethink.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