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2026-09-12</w:t>
      </w:r>
    </w:p>
    <w:p>
      <w:pPr>
        <w:pStyle w:val="Heading2"/>
      </w:pPr>
      <w:r>
        <w:t>1. What Happened This Week</w:t>
      </w:r>
    </w:p>
    <w:p>
      <w:r>
        <w:t xml:space="preserve">The Nifty 50 closed the week at </w:t>
      </w:r>
      <w:r>
        <w:rPr>
          <w:b/>
        </w:rPr>
        <w:t>23,398.10</w:t>
      </w:r>
      <w:r>
        <w:t xml:space="preserve">, down </w:t>
      </w:r>
      <w:r>
        <w:rPr>
          <w:b/>
        </w:rPr>
        <w:t>-2.1%</w:t>
      </w:r>
      <w:r>
        <w:t xml:space="preserve"> from Sunday's 23,897.70 — a fifth straight weekly loss and the lowest close in this drawdown. The dominant cause was </w:t>
      </w:r>
      <w:r>
        <w:rPr>
          <w:b/>
        </w:rPr>
        <w:t>Brent crude spiking +10.8% to $105.66</w:t>
      </w:r>
      <w:r>
        <w:t xml:space="preserve"> on escalating Iran-US tensions in West Asia, which triggered a classic oil-import-vulnerability sell-off across FMCG, IT, and rate-sensitive names. Compounding the pressure: the </w:t>
      </w:r>
      <w:r>
        <w:rPr>
          <w:b/>
        </w:rPr>
        <w:t>White House confirmed a 10% temporary tariff on Indian goods</w:t>
      </w:r>
      <w:r>
        <w:t xml:space="preserve"> post the US Supreme Court ruling, hitting the IT sector directly (Nifty IT sub-sectors were down -4.2% for the week). The RBI's </w:t>
      </w:r>
      <w:r>
        <w:rPr>
          <w:b/>
        </w:rPr>
        <w:t>$8 billion+ spot FX intervention</w:t>
      </w:r>
      <w:r>
        <w:t xml:space="preserve"> and currency-swap-driven liquidity drain to defend the rupee (which slipped past 95/USD) added a domestic-liquidity headwind on top of the global squeeze.</w:t>
      </w:r>
    </w:p>
    <w:p>
      <w:pPr>
        <w:pStyle w:val="Heading2"/>
      </w:pPr>
      <w:r>
        <w:t>2. The Trend Picture</w:t>
      </w:r>
    </w:p>
    <w:p>
      <w:r>
        <w:t xml:space="preserve">Nifty is now </w:t>
      </w:r>
      <w:r>
        <w:rPr>
          <w:b/>
        </w:rPr>
        <w:t>below all three key EMAs</w:t>
      </w:r>
      <w:r>
        <w:t xml:space="preserve"> — a decisive change of character: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position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20-day 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23,951.60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 by -2.3%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50-day 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24,060.72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 by -2.8%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200-day 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24,288.64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 by -3.7%</w:t>
            </w:r>
          </w:p>
        </w:tc>
      </w:tr>
    </w:tbl>
    <w:p/>
    <w:p>
      <w:r>
        <w:t xml:space="preserve">The EMA (Exponential Moving Average — a smoothed average of recent closes traders use to gauge trend) stack is now bearish, with price below all three. Breadth confirms the deterioration: </w:t>
      </w:r>
      <w:r>
        <w:rPr>
          <w:b/>
        </w:rPr>
        <w:t>% of stocks above the 200-day EMA slipped from 50% (Sep 3) to 46% (Sep 11)</w:t>
      </w:r>
      <w:r>
        <w:t xml:space="preserve"> — the lowest reading of the week. Advance/decline was negative every single trading day of the week, with </w:t>
      </w:r>
      <w:r>
        <w:rPr>
          <w:b/>
        </w:rPr>
        <w:t>Monday's 182/399 split</w:t>
      </w:r>
      <w:r>
        <w:t xml:space="preserve"> the ugliest — a textbook institutional-distribution session where selling was broad and unrelenting. New 52-week lows expanded from 8 on Sep 4 to </w:t>
      </w:r>
      <w:r>
        <w:rPr>
          <w:b/>
        </w:rPr>
        <w:t>35 by Friday</w:t>
      </w:r>
      <w:r>
        <w:t>; no new 52-week highs printed all week. This is a broadening-weakness picture, not a narrow selloff.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3 (5-day median):</w:t>
      </w:r>
      <w:r>
        <w:t xml:space="preserve"> Healthcare -0.2%, Defence -0.3%, Aviation -0.3% — all technically down, but massively outperforming the tape. When the "leaders" are just the least-red, you know it's a defensive week.</w:t>
      </w:r>
    </w:p>
    <w:p>
      <w:r>
        <w:rPr>
          <w:b/>
        </w:rPr>
        <w:t>Bottom 3:</w:t>
      </w:r>
      <w:r>
        <w:t xml:space="preserve"> Textiles -5.5%, Realty -5.4%, Conglomerate -4.5%, with </w:t>
      </w:r>
      <w:r>
        <w:rPr>
          <w:b/>
        </w:rPr>
        <w:t>IT close behind at -4.2%</w:t>
      </w:r>
      <w:r>
        <w:t>.</w:t>
      </w:r>
    </w:p>
    <w:p>
      <w:r>
        <w:t>The rotation is happening in real time:</w:t>
      </w:r>
    </w:p>
    <w:p>
      <w:pPr>
        <w:pStyle w:val="ListBullet"/>
      </w:pPr>
      <w:r>
        <w:rPr>
          <w:b/>
        </w:rPr>
        <w:t>IT: Leading → Lagging (RS Δ -5.2)</w:t>
      </w:r>
      <w:r>
        <w:t>. Relative Strength rank (where each sector ranks vs all others on momentum — lower number = stronger) collapsed as the US tariff news hit. INFY (-8.1% five-day) and HCLTECH (-6.8% five-day) led the damage; both are in the top rank-decliners list.</w:t>
      </w:r>
    </w:p>
    <w:p>
      <w:pPr>
        <w:pStyle w:val="ListBullet"/>
      </w:pPr>
      <w:r>
        <w:rPr>
          <w:b/>
        </w:rPr>
        <w:t>Banking: Weakening → Leading (RS Δ +2.4)</w:t>
      </w:r>
      <w:r>
        <w:t>. Somewhat counter-intuitive given rupee stress, but the RBI's aggressive liquidity defence and the HDFC Bank CEO-succession news put PSU and private banks in focus.</w:t>
      </w:r>
    </w:p>
    <w:p>
      <w:pPr>
        <w:pStyle w:val="ListBullet"/>
      </w:pPr>
      <w:r>
        <w:rPr>
          <w:b/>
        </w:rPr>
        <w:t>Energy: Improving → Leading (RS Δ +5.3)</w:t>
      </w:r>
      <w:r>
        <w:t xml:space="preserve"> — the cleanest oil beneficiary. Upstream refiners benefit from Brent's climb, though HINDPETRO's -398% EPS print is a reminder that downstream marketing margins are getting squeezed.</w:t>
      </w:r>
    </w:p>
    <w:p>
      <w:pPr>
        <w:pStyle w:val="ListBullet"/>
      </w:pPr>
      <w:r>
        <w:rPr>
          <w:b/>
        </w:rPr>
        <w:t>Defence: Weakening → Leading (RS Δ +4.0)</w:t>
      </w:r>
      <w:r>
        <w:t xml:space="preserve"> — flight to safety and continued geopolitical positioning. Cochin Shipyard's 7.2x volume ratio confirms flow.</w:t>
      </w:r>
    </w:p>
    <w:p>
      <w:pPr>
        <w:pStyle w:val="ListBullet"/>
      </w:pPr>
      <w:r>
        <w:rPr>
          <w:b/>
        </w:rPr>
        <w:t>Metals: Leading → Weakening (RS Δ +1.8 but momentum Δ -0.61)</w:t>
      </w:r>
      <w:r>
        <w:t xml:space="preserve"> — a red flag despite the RS uptick.</w:t>
      </w:r>
    </w:p>
    <w:p>
      <w:pPr>
        <w:pStyle w:val="Heading2"/>
      </w:pPr>
      <w:r>
        <w:t>4. Earnings Pulse</w:t>
      </w:r>
    </w:p>
    <w:p>
      <w:r>
        <w:t xml:space="preserve">The current filtered season is </w:t>
      </w:r>
      <w:r>
        <w:rPr>
          <w:b/>
        </w:rPr>
        <w:t>June 2026 quarter</w:t>
      </w:r>
      <w:r>
        <w:t xml:space="preserve">, with </w:t>
      </w:r>
      <w:r>
        <w:rPr>
          <w:b/>
        </w:rPr>
        <w:t>507 stocks reported</w:t>
      </w:r>
      <w:r>
        <w:t xml:space="preserve"> and 33 still pending (excluded to avoid stale-quarter distortion).</w:t>
      </w:r>
    </w:p>
    <w:p>
      <w:r>
        <w:rPr>
          <w:b/>
        </w:rPr>
        <w:t>(a) Sector aggregate.</w:t>
      </w:r>
      <w:r>
        <w:t xml:space="preserve"> Logistics leads with median EPS YoY of </w:t>
      </w:r>
      <w:r>
        <w:rPr>
          <w:b/>
        </w:rPr>
        <w:t>+81.2%</w:t>
      </w:r>
      <w:r>
        <w:t xml:space="preserve"> (7 stocks), followed by Textiles +49.4% and Chemicals +34.3%. Healthcare's +25.8% median across 47 stocks is the more impressive sample-size read. Weakest medians sit in Consumer Services (+11.3%) and FMCG (+13.6%) — both being tested this quarter by input-cost inflation and demand softness.</w:t>
      </w:r>
    </w:p>
    <w:p>
      <w:r>
        <w:rPr>
          <w:b/>
        </w:rPr>
        <w:t>(b) Extremes as colour.</w:t>
      </w:r>
      <w:r>
        <w:t xml:space="preserve"> NEULANDLAB (+963% EPS), GLENMARK (+931%), and HFCL (+777%) top the beats. On the miss side, DELTACORP (-822%) and HINDPETRO (-398%) stand out. Treat these as low-base-effect noise, not sector signals.</w:t>
      </w:r>
    </w:p>
    <w:p>
      <w:r>
        <w:rPr>
          <w:b/>
        </w:rPr>
        <w:t>(c) Bellwether large-caps — critical staleness note.</w:t>
      </w:r>
      <w:r>
        <w:t xml:space="preserve"> The recent-earnings-declared list is </w:t>
      </w:r>
      <w:r>
        <w:rPr>
          <w:b/>
        </w:rPr>
        <w:t>empty for the last 10 days</w:t>
      </w:r>
      <w:r>
        <w:t xml:space="preserve">. That means every bellwether EPS number in the table below was filed weeks ago; this week's price action is </w:t>
      </w:r>
      <w:r>
        <w:rPr>
          <w:b/>
        </w:rPr>
        <w:t>rotation and macro flow, NOT fresh earnings reaction</w:t>
      </w:r>
      <w:r>
        <w:t>.</w:t>
      </w:r>
    </w:p>
    <w:p>
      <w:pPr>
        <w:pStyle w:val="ListBullet"/>
      </w:pPr>
      <w:r>
        <w:rPr>
          <w:b/>
        </w:rPr>
        <w:t>RELIANCE</w:t>
      </w:r>
      <w:r>
        <w:t xml:space="preserve">: -22% EPS, +27% Rev, printed earlier. This week's </w:t>
      </w:r>
      <w:r>
        <w:rPr>
          <w:b/>
        </w:rPr>
        <w:t>-4.9% five-day</w:t>
      </w:r>
      <w:r>
        <w:t xml:space="preserve"> move is oil-import-cost anxiety and the Conglomerate sector rotation, not a fresh earnings catalyst. The -22% EPS number sits as background context.</w:t>
      </w:r>
    </w:p>
    <w:p>
      <w:pPr>
        <w:pStyle w:val="ListBullet"/>
      </w:pPr>
      <w:r>
        <w:rPr>
          <w:b/>
        </w:rPr>
        <w:t>INFY</w:t>
      </w:r>
      <w:r>
        <w:t xml:space="preserve">: +15% EPS was solid; this week's </w:t>
      </w:r>
      <w:r>
        <w:rPr>
          <w:b/>
        </w:rPr>
        <w:t>-8.1% five-day</w:t>
      </w:r>
      <w:r>
        <w:t xml:space="preserve"> rout is entirely US-tariff-driven. Same story for HCLTECH (-6.8%) and TCS (-4.5%) — the sector is being repriced for tariff risk.</w:t>
      </w:r>
    </w:p>
    <w:p>
      <w:pPr>
        <w:pStyle w:val="ListBullet"/>
      </w:pPr>
      <w:r>
        <w:rPr>
          <w:b/>
        </w:rPr>
        <w:t>TITAN</w:t>
      </w:r>
      <w:r>
        <w:t xml:space="preserve">: +63% EPS with +29% revenue was a blowout print earlier. This week's </w:t>
      </w:r>
      <w:r>
        <w:rPr>
          <w:b/>
        </w:rPr>
        <w:t>-0.2% five-day</w:t>
      </w:r>
      <w:r>
        <w:t xml:space="preserve"> hold in a -2.1% tape is stealth strength — premium-discretionary is not breaking.</w:t>
      </w:r>
    </w:p>
    <w:p>
      <w:pPr>
        <w:pStyle w:val="ListBullet"/>
      </w:pPr>
      <w:r>
        <w:rPr>
          <w:b/>
        </w:rPr>
        <w:t>SBIN</w:t>
      </w:r>
      <w:r>
        <w:t xml:space="preserve">: +10% EPS earlier; </w:t>
      </w:r>
      <w:r>
        <w:rPr>
          <w:b/>
        </w:rPr>
        <w:t>-2.0% five-day</w:t>
      </w:r>
      <w:r>
        <w:t xml:space="preserve"> this week. Reasonable given the broader risk-off, but the read-through for other PSU banks is neutral rather than negative.</w:t>
      </w:r>
    </w:p>
    <w:p>
      <w:pPr>
        <w:pStyle w:val="ListBullet"/>
      </w:pPr>
      <w:r>
        <w:rPr>
          <w:b/>
        </w:rPr>
        <w:t>ADANIENT and ADANIPORTS</w:t>
      </w:r>
      <w:r>
        <w:t xml:space="preserve">: both </w:t>
      </w:r>
      <w:r>
        <w:rPr>
          <w:b/>
        </w:rPr>
        <w:t>positive five-day (+4.2% and +3.4%)</w:t>
      </w:r>
      <w:r>
        <w:t xml:space="preserve"> against a red tape — worth watching as domestic infrastructure defensives.</w:t>
      </w:r>
    </w:p>
    <w:p>
      <w:pPr>
        <w:pStyle w:val="Heading2"/>
      </w:pPr>
      <w:r>
        <w:t>5. Technical Signals This Week</w:t>
      </w:r>
    </w:p>
    <w:p>
      <w:r>
        <w:t xml:space="preserve">Total unique stocks firing signals: </w:t>
      </w:r>
      <w:r>
        <w:rPr>
          <w:b/>
        </w:rPr>
        <w:t>127</w:t>
      </w:r>
      <w:r>
        <w:t xml:space="preserve"> — a contracting universe.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This Week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Prior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Blue Zone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Narrow CPR Breakaway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VCP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MACD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MACD Strong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Bull Flag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Golden Cross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Blue Zone Strong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Pullback Bounce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Darvas 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+3</w:t>
            </w:r>
          </w:p>
        </w:tc>
      </w:tr>
    </w:tbl>
    <w:p/>
    <w:p>
      <w:pPr>
        <w:pStyle w:val="ListBullet"/>
      </w:pPr>
      <w:r>
        <w:rPr>
          <w:b/>
        </w:rPr>
        <w:t>Blue Zone Buy</w:t>
      </w:r>
      <w:r>
        <w:t xml:space="preserve"> (the dashboard's institutional-accumulation watchlist: RSI trending strong + close above EMA20 + within 10% of 52W high) contracted from 56 to </w:t>
      </w:r>
      <w:r>
        <w:rPr>
          <w:b/>
        </w:rPr>
        <w:t>47 unique stocks</w:t>
      </w:r>
      <w:r>
        <w:t>. Fresh entries include DIVISLAB and SOLARINDS.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setup — a tight-range day often preceding a breakout) shrank from 52 to </w:t>
      </w:r>
      <w:r>
        <w:rPr>
          <w:b/>
        </w:rPr>
        <w:t>40</w:t>
      </w:r>
      <w:r>
        <w:t>. CASTROLIND and IDFCFIRSTB are the cleanest examples.</w:t>
      </w:r>
    </w:p>
    <w:p>
      <w:pPr>
        <w:pStyle w:val="ListBullet"/>
      </w:pPr>
      <w:r>
        <w:rPr>
          <w:b/>
        </w:rPr>
        <w:t>MACD Buy</w:t>
      </w:r>
      <w:r>
        <w:t xml:space="preserve"> (moving-average convergence-divergence flipping positive — a trend-change signal) dropped from 27 to </w:t>
      </w:r>
      <w:r>
        <w:rPr>
          <w:b/>
        </w:rPr>
        <w:t>19</w:t>
      </w:r>
      <w:r>
        <w:t>. Fresh names include RBLBANK and DIVISLAB.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Minervini's tightening-range setup before a breakout) expanded slightly to </w:t>
      </w:r>
      <w:r>
        <w:rPr>
          <w:b/>
        </w:rPr>
        <w:t>24</w:t>
      </w:r>
      <w:r>
        <w:t>. KOTAKBANK and RBLBANK are notable given the banking rotation.</w:t>
      </w:r>
    </w:p>
    <w:p>
      <w:pPr>
        <w:pStyle w:val="ListBullet"/>
      </w:pPr>
      <w:r>
        <w:rPr>
          <w:b/>
        </w:rPr>
        <w:t>Bull Flag Buy</w:t>
      </w:r>
      <w:r>
        <w:t xml:space="preserve"> (sharp rally, orderly consolidation, then breakout above the range) narrowed to </w:t>
      </w:r>
      <w:r>
        <w:rPr>
          <w:b/>
        </w:rPr>
        <w:t>7</w:t>
      </w:r>
      <w:r>
        <w:t xml:space="preserve"> stocks — WELCORP and UFLEX leading.</w:t>
      </w:r>
    </w:p>
    <w:p>
      <w:pPr>
        <w:pStyle w:val="ListBullet"/>
      </w:pPr>
      <w:r>
        <w:rPr>
          <w:b/>
        </w:rPr>
        <w:t>Darvas Box</w:t>
      </w:r>
      <w:r>
        <w:t xml:space="preserve"> (breakout above a well-defined trading range) went from </w:t>
      </w:r>
      <w:r>
        <w:rPr>
          <w:b/>
        </w:rPr>
        <w:t>0 to 3</w:t>
      </w:r>
      <w:r>
        <w:t xml:space="preserve"> — MAHSEAMLES, NEULANDLAB, GRANULES. The only breakout indicator expanding this week.</w:t>
      </w:r>
    </w:p>
    <w:p>
      <w:pPr>
        <w:pStyle w:val="ListBullet"/>
      </w:pPr>
      <w:r>
        <w:rPr>
          <w:b/>
        </w:rPr>
        <w:t>Pullback Bounce</w:t>
      </w:r>
      <w:r>
        <w:t xml:space="preserve"> (strong-trend stocks dipping to EMA20 and recovering) ticked to 4 — HEG, PVRINOX, IIFL.</w:t>
      </w:r>
    </w:p>
    <w:p>
      <w:pPr>
        <w:pStyle w:val="ListBullet"/>
      </w:pPr>
      <w:r>
        <w:rPr>
          <w:b/>
        </w:rPr>
        <w:t>Golden Cross Buy</w:t>
      </w:r>
      <w:r>
        <w:t xml:space="preserve"> (20-day EMA crossing above 50-day EMA — medium-term bullish trend signal): only 5 stocks; NOCIL, LICHSGFIN, JSL.</w:t>
      </w:r>
    </w:p>
    <w:p>
      <w:r>
        <w:rPr>
          <w:b/>
        </w:rPr>
        <w:t>Multi-signal cluster stocks</w:t>
      </w:r>
      <w:r>
        <w:t xml:space="preserve"> (2+ different indicator types — higher-conviction setups): </w:t>
      </w:r>
      <w:r>
        <w:rPr>
          <w:b/>
        </w:rPr>
        <w:t>DIVISLAB</w:t>
      </w:r>
      <w:r>
        <w:t xml:space="preserve"> and </w:t>
      </w:r>
      <w:r>
        <w:rPr>
          <w:b/>
        </w:rPr>
        <w:t>RAYMOND</w:t>
      </w:r>
      <w:r>
        <w:t xml:space="preserve"> each fired 4 signals (both Blue Zone + MACD combos). </w:t>
      </w:r>
      <w:r>
        <w:rPr>
          <w:b/>
        </w:rPr>
        <w:t>AUROPHARMA, IPCALAB, GMMPFAUDLR, RBLBANK, NAVINFLUOR, CHENNPETRO, UFLEX, and CASTROLIND</w:t>
      </w:r>
      <w:r>
        <w:t xml:space="preserve"> all hit 3 signals. Notice the cluster: </w:t>
      </w:r>
      <w:r>
        <w:rPr>
          <w:b/>
        </w:rPr>
        <w:t>four pharma names (DIVISLAB, AUROPHARMA, IPCALAB, NAVINFLUOR)</w:t>
      </w:r>
      <w:r>
        <w:t xml:space="preserve"> in the multi-signal list — that's not coincidence, that's the healthcare defensive bid showing up in the technicals.</w:t>
      </w:r>
    </w:p>
    <w:p>
      <w:r>
        <w:t xml:space="preserve">The overall signal mix is </w:t>
      </w:r>
      <w:r>
        <w:rPr>
          <w:b/>
        </w:rPr>
        <w:t>contracting</w:t>
      </w:r>
      <w:r>
        <w:t xml:space="preserve"> — Blue Zone, CPR, MACD, Bull Flag all shrinking. Only VCP, Pullback Bounce, and Darvas Box expanded. That's classic late-correction behaviour: broad momentum indicators fade, tight-range breakout setups start to emerge.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WESTLIFE (68.8x volume)</w:t>
      </w:r>
      <w:r>
        <w:t xml:space="preserve"> — the standout print of the week. A volume spike of that magnitude on a consumer-services name deserves attention regardless of direction.</w:t>
      </w:r>
    </w:p>
    <w:p>
      <w:pPr>
        <w:pStyle w:val="ListBullet"/>
      </w:pPr>
      <w:r>
        <w:rPr>
          <w:b/>
        </w:rPr>
        <w:t>METROBRAND (15.2x) and GRANULES (9.1x)</w:t>
      </w:r>
      <w:r>
        <w:t xml:space="preserve"> — both fired large volume with Granules also triggering Darvas Box. Pharma names showing accumulation footprints.</w:t>
      </w:r>
    </w:p>
    <w:p>
      <w:pPr>
        <w:pStyle w:val="ListBullet"/>
      </w:pPr>
      <w:r>
        <w:rPr>
          <w:b/>
        </w:rPr>
        <w:t>RAYMOND (6.2x volume + 4 technical signals + RS rank #8)</w:t>
      </w:r>
      <w:r>
        <w:t xml:space="preserve"> — one of the cleanest setups on the board. Textiles/realty had a terrible week aggregate, but Raymond is diverging hard.</w:t>
      </w:r>
    </w:p>
    <w:p>
      <w:pPr>
        <w:pStyle w:val="ListBullet"/>
      </w:pPr>
      <w:r>
        <w:rPr>
          <w:b/>
        </w:rPr>
        <w:t>COCHINSHIP (7.2x volume)</w:t>
      </w:r>
      <w:r>
        <w:t xml:space="preserve"> — Defence sector's rotation to Leading is showing up in the tape. Watch for follow-through.</w:t>
      </w:r>
    </w:p>
    <w:p>
      <w:pPr>
        <w:pStyle w:val="ListBullet"/>
      </w:pPr>
      <w:r>
        <w:rPr>
          <w:b/>
        </w:rPr>
        <w:t>YESBANK (4.8x volume)</w:t>
      </w:r>
      <w:r>
        <w:t xml:space="preserve"> — flow into the banking rotation trade extending into second-tier PSU/private names.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Δ Week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11.80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+0.21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105.66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+10.8%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+0.03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4,392.70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-2.7%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64.49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-4.1%</w:t>
            </w:r>
          </w:p>
        </w:tc>
      </w:tr>
    </w:tbl>
    <w:p/>
    <w:p>
      <w:r>
        <w:t xml:space="preserve">Brent's surge is the dominant global variable — Iran-US escalation drove it past $109 intraweek. Interestingly, </w:t>
      </w:r>
      <w:r>
        <w:rPr>
          <w:b/>
        </w:rPr>
        <w:t>VIX barely moved (+0.21)</w:t>
      </w:r>
      <w:r>
        <w:t xml:space="preserve"> despite the equity slide — a hint that the selling is orderly repositioning, not panic. Gold and silver both </w:t>
      </w:r>
      <w:r>
        <w:rPr>
          <w:i/>
        </w:rPr>
        <w:t>fell</w:t>
      </w:r>
      <w:r>
        <w:t xml:space="preserve"> in USD terms, which is unusual in a geopolitical crisis; that reflects a stronger dollar-liquidity dynamic rather than any all-clear signal.</w:t>
      </w:r>
    </w:p>
    <w:p>
      <w:r>
        <w:rPr>
          <w:b/>
        </w:rPr>
        <w:t>Domestic policy — the real story:</w:t>
      </w:r>
    </w:p>
    <w:p>
      <w:pPr>
        <w:pStyle w:val="ListBullet"/>
      </w:pPr>
      <w:r>
        <w:rPr>
          <w:b/>
        </w:rPr>
        <w:t>RBI's $8bn+ FX intervention + currency-swap-driven liquidity drain</w:t>
      </w:r>
      <w:r>
        <w:t xml:space="preserve"> to defend the rupee past 95/USD. This is the biggest domestic macro event of the week and directly affects banking-system liquidity — a headwind for rate-sensitive sectors (realty -5.4%, consumer durables -3.0%).</w:t>
      </w:r>
    </w:p>
    <w:p>
      <w:pPr>
        <w:pStyle w:val="ListBullet"/>
      </w:pPr>
      <w:r>
        <w:rPr>
          <w:b/>
        </w:rPr>
        <w:t>SEBI-RBI Demat 2.0 pilot for tokenised corporate bonds</w:t>
      </w:r>
      <w:r>
        <w:t xml:space="preserve"> — structurally bullish for capital-markets infrastructure names.</w:t>
      </w:r>
    </w:p>
    <w:p>
      <w:pPr>
        <w:pStyle w:val="ListBullet"/>
      </w:pPr>
      <w:r>
        <w:rPr>
          <w:b/>
        </w:rPr>
        <w:t>India-BRICS RBI-backed cross-border digital currency proposal</w:t>
      </w:r>
      <w:r>
        <w:t xml:space="preserve"> — upcoming; watch financial-services and payments names.</w:t>
      </w:r>
    </w:p>
    <w:p>
      <w:pPr>
        <w:pStyle w:val="ListBullet"/>
      </w:pPr>
      <w:r>
        <w:rPr>
          <w:b/>
        </w:rPr>
        <w:t>10% US tariff on Indian goods</w:t>
      </w:r>
      <w:r>
        <w:t xml:space="preserve"> (post US Supreme Court ruling) — the specific catalyst behind the IT rout. Pharma and engineering exports are the next tariff-risk vectors.</w:t>
      </w:r>
    </w:p>
    <w:p>
      <w:pPr>
        <w:pStyle w:val="ListBullet"/>
      </w:pPr>
      <w:r>
        <w:rPr>
          <w:b/>
        </w:rPr>
        <w:t>Russia's assurance of steady oil supply</w:t>
      </w:r>
      <w:r>
        <w:t xml:space="preserve"> despite US 100% tariff threat provides an energy-security hedge; supportive for refiners.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Nifty technical levels</w:t>
      </w:r>
      <w:r>
        <w:t xml:space="preserve">: the 23,398 Friday close is now the reference. The confluence of 20/50-day EMAs at </w:t>
      </w:r>
      <w:r>
        <w:rPr>
          <w:b/>
        </w:rPr>
        <w:t>23,952–24,061</w:t>
      </w:r>
      <w:r>
        <w:t xml:space="preserve"> is the first overhead resistance zone. On the downside, watch whether 23,400 holds — a break opens air to the next demand zone.</w:t>
      </w:r>
    </w:p>
    <w:p>
      <w:pPr>
        <w:pStyle w:val="ListBullet"/>
      </w:pPr>
      <w:r>
        <w:rPr>
          <w:b/>
        </w:rPr>
        <w:t>RBI digital rupee expansion</w:t>
      </w:r>
      <w:r>
        <w:t xml:space="preserve"> — the "five currency pairs on retail platform" launch is flagged as upcoming; watch financial-services and fintech names for reaction.</w:t>
      </w:r>
    </w:p>
    <w:p>
      <w:pPr>
        <w:pStyle w:val="ListBullet"/>
      </w:pPr>
      <w:r>
        <w:rPr>
          <w:b/>
        </w:rPr>
        <w:t>India-BRICS cross-border digital currency framework</w:t>
      </w:r>
      <w:r>
        <w:t xml:space="preserve"> — dated as upcoming per the events digest.</w:t>
      </w:r>
    </w:p>
    <w:p>
      <w:pPr>
        <w:pStyle w:val="ListBullet"/>
      </w:pPr>
      <w:r>
        <w:rPr>
          <w:b/>
        </w:rPr>
        <w:t>IT sector follow-through</w:t>
      </w:r>
      <w:r>
        <w:t xml:space="preserve"> — whether the tariff-driven selloff exhausts or extends into second-tier IT and engineering exports.</w:t>
      </w:r>
    </w:p>
    <w:p>
      <w:pPr>
        <w:pStyle w:val="ListBullet"/>
      </w:pPr>
      <w:r>
        <w:rPr>
          <w:b/>
        </w:rPr>
        <w:t>Pharma continuation</w:t>
      </w:r>
      <w:r>
        <w:t xml:space="preserve"> — DIVISLAB, AUROPHARMA, IPCALAB, NAVINFLUOR all firing multi-signal clusters. If the sector can hold Leading, this becomes a real theme rather than a defensive bid.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trend has broken.</w:t>
      </w:r>
      <w:r>
        <w:t xml:space="preserve"> Nifty is below all three EMAs for the first time in this move, breadth is contracting (46% above 200-EMA, down from 50%), and no new 52-week highs printed all week. This is a fresh regime, not a dip. Caveat: VIX at 11.80 is not signalling panic, so the selling remains orderly — deterioration, not capitulation.</w:t>
      </w:r>
    </w:p>
    <w:p>
      <w:pPr>
        <w:pStyle w:val="ListNumber"/>
      </w:pPr>
      <w:r>
        <w:rPr>
          <w:b/>
        </w:rPr>
        <w:t>Pharma is the quiet leader.</w:t>
      </w:r>
      <w:r>
        <w:t xml:space="preserve"> Sector -0.2% in a -2.1% tape, four names in the multi-signal cluster list, Granules firing 9.1x volume + Darvas Box, and a +25.8% median EPS across 47 stocks. Worth watching for continuation if crude stays elevated.</w:t>
      </w:r>
    </w:p>
    <w:p>
      <w:pPr>
        <w:pStyle w:val="ListNumber"/>
      </w:pPr>
      <w:r>
        <w:rPr>
          <w:b/>
        </w:rPr>
        <w:t>The IT-tariff story has legs.</w:t>
      </w:r>
      <w:r>
        <w:t xml:space="preserve"> INFY -8.1%, HCLTECH -6.8%, TCS -4.5% in five days. The IT quadrant flip from Leading → Lagging (RS Δ -5.2) is the sharpest of the week, and the underlying tariff catalyst hasn't been resolved. Second-tier IT names are the next likely leg — early signs, not a decisive break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