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2026-05-23</w:t>
      </w:r>
    </w:p>
    <w:p>
      <w:pPr>
        <w:pStyle w:val="Heading2"/>
      </w:pPr>
      <w:r>
        <w:t>The Week in One Line</w:t>
      </w:r>
    </w:p>
    <w:p>
      <w:r>
        <w:t xml:space="preserve">Nifty eked out a </w:t>
      </w:r>
      <w:r>
        <w:rPr>
          <w:b/>
        </w:rPr>
        <w:t>+0.4%</w:t>
      </w:r>
      <w:r>
        <w:t xml:space="preserve"> gain to close at </w:t>
      </w:r>
      <w:r>
        <w:rPr>
          <w:b/>
        </w:rPr>
        <w:t>23,746</w:t>
      </w:r>
      <w:r>
        <w:t>, with IT leading a quiet rebound while a rupee shock and oil spike kept the mood cautious.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IT (+3.8%)</w:t>
      </w:r>
      <w:r>
        <w:t>: Bounced off deeply oversold levels (still -22% over six months). A weaker rupee actually helps IT exporters, who earn in dollars.</w:t>
      </w:r>
    </w:p>
    <w:p>
      <w:pPr>
        <w:pStyle w:val="ListBullet"/>
      </w:pPr>
      <w:r>
        <w:rPr>
          <w:b/>
        </w:rPr>
        <w:t>Aviation (+2.7%)</w:t>
      </w:r>
      <w:r>
        <w:t xml:space="preserve">: Flipped from Lagging to </w:t>
      </w:r>
      <w:r>
        <w:rPr>
          <w:b/>
        </w:rPr>
        <w:t>Improving</w:t>
      </w:r>
      <w:r>
        <w:t xml:space="preserve"> — meaning relative strength is starting to turn up from a low base. Crude easing late in the week (Brent -2.2%) helps fuel-heavy airlines.</w:t>
      </w:r>
    </w:p>
    <w:p>
      <w:pPr>
        <w:pStyle w:val="ListBullet"/>
      </w:pPr>
      <w:r>
        <w:rPr>
          <w:b/>
        </w:rPr>
        <w:t>Realty (+2.2%)</w:t>
      </w:r>
      <w:r>
        <w:t xml:space="preserve">: Bounce from oversold territory. The RBI signaling </w:t>
      </w:r>
      <w:r>
        <w:rPr>
          <w:b/>
        </w:rPr>
        <w:t>no rate hike</w:t>
      </w:r>
      <w:r>
        <w:t xml:space="preserve"> despite a weak rupee was a relief — high rates hurt real estate the most.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Logistics (-3.2%)</w:t>
      </w:r>
      <w:r>
        <w:t xml:space="preserve">: Sharpest quadrant flip of the week (Weakening → Lagging). Profit-taking after a strong earnings season (sector EPS up </w:t>
      </w:r>
      <w:r>
        <w:rPr>
          <w:b/>
        </w:rPr>
        <w:t>+119%</w:t>
      </w:r>
      <w:r>
        <w:t xml:space="preserve"> YoY).</w:t>
      </w:r>
    </w:p>
    <w:p>
      <w:pPr>
        <w:pStyle w:val="ListBullet"/>
      </w:pPr>
      <w:r>
        <w:rPr>
          <w:b/>
        </w:rPr>
        <w:t>Media (-3.1%)</w:t>
      </w:r>
      <w:r>
        <w:t>: No earnings tailwind, no positive trigger. The sector keeps drifting lower (-28% over the year).</w:t>
      </w:r>
    </w:p>
    <w:p>
      <w:pPr>
        <w:pStyle w:val="ListBullet"/>
      </w:pPr>
      <w:r>
        <w:rPr>
          <w:b/>
        </w:rPr>
        <w:t>FMCG (-1.4%)</w:t>
      </w:r>
      <w:r>
        <w:t xml:space="preserve">: Hit by a double whammy — </w:t>
      </w:r>
      <w:r>
        <w:rPr>
          <w:b/>
        </w:rPr>
        <w:t>ITC's poor results</w:t>
      </w:r>
      <w:r>
        <w:t xml:space="preserve"> (EPS -73%) and news that India may </w:t>
      </w:r>
      <w:r>
        <w:rPr>
          <w:b/>
        </w:rPr>
        <w:t>hike edible oil import duty</w:t>
      </w:r>
      <w:r>
        <w:t>, which raises input costs for packaged-food makers.</w:t>
      </w:r>
    </w:p>
    <w:p>
      <w:pPr>
        <w:pStyle w:val="Heading2"/>
      </w:pPr>
      <w:r>
        <w:t>Notable Events</w:t>
      </w:r>
    </w:p>
    <w:p>
      <w:r>
        <w:rPr>
          <w:b/>
        </w:rPr>
        <w:t>The rupee crisis and RBI's response.</w:t>
      </w:r>
      <w:r>
        <w:t xml:space="preserve"> US-Iran tensions pushed crude oil above </w:t>
      </w:r>
      <w:r>
        <w:rPr>
          <w:b/>
        </w:rPr>
        <w:t>$105/bbl</w:t>
      </w:r>
      <w:r>
        <w:t xml:space="preserve">, and the rupee slid to a record low. The RBI stepped in aggressively — selling dollars (over $2 billion in one day), announcing a </w:t>
      </w:r>
      <w:r>
        <w:rPr>
          <w:b/>
        </w:rPr>
        <w:t>$5 billion dollar-rupee swap auction</w:t>
      </w:r>
      <w:r>
        <w:t xml:space="preserve"> for May 26, and injecting </w:t>
      </w:r>
      <w:r>
        <w:rPr>
          <w:b/>
        </w:rPr>
        <w:t>₹81,590 crore</w:t>
      </w:r>
      <w:r>
        <w:t xml:space="preserve"> of short-term liquidity into banks. Crucially, the RBI signaled it would </w:t>
      </w:r>
      <w:r>
        <w:rPr>
          <w:b/>
        </w:rPr>
        <w:t>not raise interest rates</w:t>
      </w:r>
      <w:r>
        <w:t xml:space="preserve"> to defend the rupee, choosing to protect growth instead. Equities took this as a relief.</w:t>
      </w:r>
    </w:p>
    <w:p>
      <w:r>
        <w:rPr>
          <w:b/>
        </w:rPr>
        <w:t>India hikes gold and silver import duty to 15%.</w:t>
      </w:r>
      <w:r>
        <w:t xml:space="preserve"> This is a domestic policy move to curb the trade deficit — gold imports were widening the current account gap. Notice the unusual setup: </w:t>
      </w:r>
      <w:r>
        <w:rPr>
          <w:b/>
        </w:rPr>
        <w:t>global gold fell -1.8% and silver -5.8% this week</w:t>
      </w:r>
      <w:r>
        <w:t xml:space="preserve">, but Indian gold ETFs likely traded firm because the duty hike pushes up </w:t>
      </w:r>
      <w:r>
        <w:rPr>
          <w:i/>
        </w:rPr>
        <w:t>local</w:t>
      </w:r>
      <w:r>
        <w:t xml:space="preserve"> prices. This is a fiscal cause, not a safe-haven move.</w:t>
      </w:r>
    </w:p>
    <w:p>
      <w:r>
        <w:rPr>
          <w:b/>
        </w:rPr>
        <w:t>RBI's record ₹2.87 lakh crore dividend to the government.</w:t>
      </w:r>
      <w:r>
        <w:t xml:space="preserve"> A massive transfer from the central bank to the Centre, which cushions the government's finances at a time when the oil shock is straining the budget. Bullish for fiscal stability and government-spending-linked sectors.</w:t>
      </w:r>
    </w:p>
    <w:p>
      <w:pPr>
        <w:pStyle w:val="Heading2"/>
      </w:pPr>
      <w:r>
        <w:t>Charts to Know</w:t>
      </w:r>
    </w:p>
    <w:p>
      <w:r>
        <w:rPr>
          <w:b/>
        </w:rPr>
        <w:t>The breadth tug-of-war.</w:t>
      </w:r>
      <w:r>
        <w:t xml:space="preserve"> Advances vs declines — a simple count of how many stocks rose vs fell each day — flipped wildly this week: 126 advances on Monday (terrible), 402 on Tuesday (strong rebound), then near-50/50 for the rest of the week. The percentage of stocks above their 200-day average — a long-term trend gauge — stayed stuck in the </w:t>
      </w:r>
      <w:r>
        <w:rPr>
          <w:b/>
        </w:rPr>
        <w:t>40-45%</w:t>
      </w:r>
      <w:r>
        <w:t xml:space="preserve"> range. Translation: the index move was small, but under the surface, less than half of stocks are in long-term uptrends. Participation is narrow.</w:t>
      </w:r>
    </w:p>
    <w:p>
      <w:r>
        <w:rPr>
          <w:b/>
        </w:rPr>
        <w:t>IT's rotation back into "Leading."</w:t>
      </w:r>
      <w:r>
        <w:t xml:space="preserve"> On a Relative Rotation Graph — which plots a sector's relative strength and momentum vs the broad market — IT moved from the </w:t>
      </w:r>
      <w:r>
        <w:rPr>
          <w:i/>
        </w:rPr>
        <w:t>Improving</w:t>
      </w:r>
      <w:r>
        <w:t xml:space="preserve"> quadrant into </w:t>
      </w:r>
      <w:r>
        <w:rPr>
          <w:i/>
        </w:rPr>
        <w:t>Leading</w:t>
      </w:r>
      <w:r>
        <w:t xml:space="preserve">. In plain English: after months of underperformance, IT is now outperforming the market </w:t>
      </w:r>
      <w:r>
        <w:rPr>
          <w:b/>
        </w:rPr>
        <w:t>and</w:t>
      </w:r>
      <w:r>
        <w:t xml:space="preserve"> its momentum is picking up. Worth watching, not chasing.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Most of the Mar 2026 season is now reported (415 companies in), but late filers — especially in mid-cap Industrials and Chemicals — can still move stocks. Watch reactions, not just the numbers.</w:t>
      </w:r>
    </w:p>
    <w:p>
      <w:pPr>
        <w:pStyle w:val="ListBullet"/>
      </w:pPr>
      <w:r>
        <w:rPr>
          <w:b/>
        </w:rPr>
        <w:t>Macro</w:t>
      </w:r>
      <w:r>
        <w:t xml:space="preserve">: The </w:t>
      </w:r>
      <w:r>
        <w:rPr>
          <w:b/>
        </w:rPr>
        <w:t>RBI dollar-rupee swap auction on May 26</w:t>
      </w:r>
      <w:r>
        <w:t xml:space="preserve"> is the big one — its success will decide whether the rupee stabilizes. Also: any update on edible-oil duty hikes (negative for FMCG), and Brent crude direction tied to US-Iran headlines.</w:t>
      </w:r>
    </w:p>
    <w:p>
      <w:pPr>
        <w:pStyle w:val="ListBullet"/>
      </w:pPr>
      <w:r>
        <w:rPr>
          <w:b/>
        </w:rPr>
        <w:t>Nifty levels</w:t>
      </w:r>
      <w:r>
        <w:t xml:space="preserve">: The index is </w:t>
      </w:r>
      <w:r>
        <w:rPr>
          <w:b/>
        </w:rPr>
        <w:t>below all three key moving averages</w:t>
      </w:r>
      <w:r>
        <w:t xml:space="preserve"> (20-day, 50-day, 200-day) — these averages smooth out price to show the trend. The first hurdle is the </w:t>
      </w:r>
      <w:r>
        <w:rPr>
          <w:b/>
        </w:rPr>
        <w:t>20-day EMA at ~23,793</w:t>
      </w:r>
      <w:r>
        <w:t xml:space="preserve"> (just above current price). A close above it would be the first sign the short-term downtrend is breaking. On the downside, </w:t>
      </w:r>
      <w:r>
        <w:rPr>
          <w:b/>
        </w:rPr>
        <w:t>23,600</w:t>
      </w:r>
      <w:r>
        <w:t xml:space="preserve"> has held twice this week — a break below would signal more weakness.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