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Intelligence — 2026-05-10</w:t>
      </w:r>
    </w:p>
    <w:p>
      <w:pPr>
        <w:pStyle w:val="Heading2"/>
      </w:pPr>
      <w:r>
        <w:t>1. What Happened This Week</w:t>
      </w:r>
    </w:p>
    <w:p>
      <w:r>
        <w:t xml:space="preserve">Nifty closed the week at </w:t>
      </w:r>
      <w:r>
        <w:rPr>
          <w:b/>
        </w:rPr>
        <w:t>24,173.95</w:t>
      </w:r>
      <w:r>
        <w:t xml:space="preserve">, up </w:t>
      </w:r>
      <w:r>
        <w:rPr>
          <w:b/>
        </w:rPr>
        <w:t>+0.7%</w:t>
      </w:r>
      <w:r>
        <w:t xml:space="preserve"> from Sunday's 23,997.55 — a modest headline number that hides a lot of churn underneath. Wednesday's </w:t>
      </w:r>
      <w:r>
        <w:rPr>
          <w:b/>
        </w:rPr>
        <w:t>+291-point surge to 24,340</w:t>
      </w:r>
      <w:r>
        <w:t xml:space="preserve"> was the week's signature move, lifted by easing US–Iran tensions and a sharp drop in Brent. But Friday gave back </w:t>
      </w:r>
      <w:r>
        <w:rPr>
          <w:b/>
        </w:rPr>
        <w:t>164 points</w:t>
      </w:r>
      <w:r>
        <w:t xml:space="preserve">, suggesting the market is still digesting the macro picture rather than committing to a clean direction. The dominant theme was </w:t>
      </w:r>
      <w:r>
        <w:rPr>
          <w:b/>
        </w:rPr>
        <w:t>rotation, not breakout</w:t>
      </w:r>
      <w:r>
        <w:t xml:space="preserve"> — Healthcare, Aviation and Chemicals leading, while Banking and Metals stalled despite strong earnings.</w:t>
      </w:r>
    </w:p>
    <w:p>
      <w:pPr>
        <w:pStyle w:val="Heading2"/>
      </w:pPr>
      <w:r>
        <w:t>2. The Trend Picture</w:t>
      </w:r>
    </w:p>
    <w:p>
      <w:r>
        <w:t xml:space="preserve">Nifty is in a </w:t>
      </w:r>
      <w:r>
        <w:rPr>
          <w:b/>
        </w:rPr>
        <w:t>mixed trend</w:t>
      </w:r>
      <w:r>
        <w:t xml:space="preserve"> — caught between recovering short-term momentum and a still-broken long-term structure:</w:t>
      </w:r>
    </w:p>
    <w:p>
      <w:pPr>
        <w:pStyle w:val="ListBullet"/>
      </w:pPr>
      <w:r>
        <w:rPr>
          <w:b/>
        </w:rPr>
        <w:t>Above EMA20</w:t>
      </w:r>
      <w:r>
        <w:t xml:space="preserve"> (24,032) by +0.6% — short-term: positive</w:t>
      </w:r>
    </w:p>
    <w:p>
      <w:pPr>
        <w:pStyle w:val="ListBullet"/>
      </w:pPr>
      <w:r>
        <w:rPr>
          <w:b/>
        </w:rPr>
        <w:t>Above EMA50</w:t>
      </w:r>
      <w:r>
        <w:t xml:space="preserve"> (24,091) by +0.3% — medium-term: just barely positive</w:t>
      </w:r>
    </w:p>
    <w:p>
      <w:pPr>
        <w:pStyle w:val="ListBullet"/>
      </w:pPr>
      <w:r>
        <w:rPr>
          <w:b/>
        </w:rPr>
        <w:t>Below EMA200</w:t>
      </w:r>
      <w:r>
        <w:t xml:space="preserve"> (24,581) by -1.7% — long-term: still broken</w:t>
      </w:r>
    </w:p>
    <w:p>
      <w:r>
        <w:t>The EMA20 (Exponential Moving Average — a smoothed average of recent closes that traders watch as a trend reference) and EMA50 are sitting almost on top of each other, which is classic indecision. The index has reclaimed both, but until it clears the 200-day at 24,582, this remains a bounce within a downtrend, not a confirmed reversal.</w:t>
      </w:r>
    </w:p>
    <w:p>
      <w:r>
        <w:t xml:space="preserve">Breadth is the more encouraging story. </w:t>
      </w:r>
      <w:r>
        <w:rPr>
          <w:b/>
        </w:rPr>
        <w:t>% of stocks above their 200-day EMA climbed from 48% on April 29 to 60% on May 7</w:t>
      </w:r>
      <w:r>
        <w:t xml:space="preserve">, the highest reading in the table. </w:t>
      </w:r>
      <w:r>
        <w:rPr>
          <w:b/>
        </w:rPr>
        <w:t>Wednesday's session was the standout</w:t>
      </w:r>
      <w:r>
        <w:t xml:space="preserve"> — 483 advances vs 101 declines (a near 5:1 ratio), the kind of textbook stealth-strength day that often precedes broader participation. Friday's 243/341 split shows the rally isn't unanimous yet. Fresh 52-week highs remained sparse (1 per day at best) — breadth is improving from below, not from new leadership emerging.</w:t>
      </w:r>
    </w:p>
    <w:p>
      <w:pPr>
        <w:pStyle w:val="Heading2"/>
      </w:pPr>
      <w:r>
        <w:t>3. Sector Rotation — Where Money Is Flowing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Top 3 (5D)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Bottom 3 (5D)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Healthcare +5.8%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Banking +0.2%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Aviation +5.3%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Telecom +0.7%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Trading / Chemicals +4.6%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Energy +1.3%</w:t>
            </w:r>
          </w:p>
        </w:tc>
      </w:tr>
    </w:tbl>
    <w:p/>
    <w:p>
      <w:r>
        <w:t xml:space="preserve">The most important quadrant flip on the RRG (Relative Rotation Graph — a tool that maps sectors by momentum and relative strength across four quadrants: Leading, Weakening, Lagging, Improving) is </w:t>
      </w:r>
      <w:r>
        <w:rPr>
          <w:b/>
        </w:rPr>
        <w:t>Automobile flipping from Lagging to Leading</w:t>
      </w:r>
      <w:r>
        <w:t xml:space="preserve"> (RS Δ +3.7, momentum Δ +0.40). That's a fresh rotation — and the bellwether earnings (M&amp;M +42% EPS YoY, Bajaj-Auto +103%) tell you why.</w:t>
      </w:r>
    </w:p>
    <w:p>
      <w:r>
        <w:t xml:space="preserve">Meanwhile, </w:t>
      </w:r>
      <w:r>
        <w:rPr>
          <w:b/>
        </w:rPr>
        <w:t>Defence, Metals, Media and Consumer Durables all dropped from Leading to Weakening</w:t>
      </w:r>
      <w:r>
        <w:t xml:space="preserve"> — these were last quarter's winners taking a breather, not collapsing (Defence is still +21% on a 1-month basis). Aviation also flipped Leading → Weakening despite a +5.3% week, which is consistent with </w:t>
      </w:r>
      <w:r>
        <w:rPr>
          <w:b/>
        </w:rPr>
        <w:t>Brent crashing 6% to $101.66</w:t>
      </w:r>
      <w:r>
        <w:t xml:space="preserve"> — the fuel-cost relief is being banked rather than chased.</w:t>
      </w:r>
    </w:p>
    <w:p>
      <w:r>
        <w:t>The macro-to-sector links are clean this week: Brent down → Aviation and Auto strong; INR/DXY stable → IT mixed; Gold +2.3% and Silver +5.7% → safe-haven bid persisting alongside equity recovery (a slightly contradictory signal worth noting).</w:t>
      </w:r>
    </w:p>
    <w:p>
      <w:pPr>
        <w:pStyle w:val="Heading2"/>
      </w:pPr>
      <w:r>
        <w:t>4. Earnings Pulse</w:t>
      </w:r>
    </w:p>
    <w:p>
      <w:r>
        <w:rPr>
          <w:b/>
        </w:rPr>
        <w:t>Quarter analysed: Mar 2026.</w:t>
      </w:r>
      <w:r>
        <w:t xml:space="preserve"> 226 stocks have reported; 317 still pending — so this is roughly a 42% read on the season, decent but not complete.</w:t>
      </w:r>
    </w:p>
    <w:p>
      <w:r>
        <w:rPr>
          <w:b/>
        </w:rPr>
        <w:t>(a) Sector aggregate.</w:t>
      </w:r>
      <w:r>
        <w:t xml:space="preserve"> The headline read is broadly positive but very uneven. </w:t>
      </w:r>
      <w:r>
        <w:rPr>
          <w:b/>
        </w:rPr>
        <w:t>Realty (+62% median EPS YoY), Conglomerates (+49%), Metals (+43%), Consumer Durables (+40%) and Chemicals (+37%)</w:t>
      </w:r>
      <w:r>
        <w:t xml:space="preserve"> are running hot. </w:t>
      </w:r>
      <w:r>
        <w:rPr>
          <w:b/>
        </w:rPr>
        <w:t>Banking is the surprise underperformer at just +9.9% median</w:t>
      </w:r>
      <w:r>
        <w:t xml:space="preserve">, and </w:t>
      </w:r>
      <w:r>
        <w:rPr>
          <w:b/>
        </w:rPr>
        <w:t>Cement is outright negative at -8.5%</w:t>
      </w:r>
      <w:r>
        <w:t>. Healthcare's +28.8% median lines up perfectly with its leadership on the price tape — earnings are confirming the rotation.</w:t>
      </w:r>
    </w:p>
    <w:p>
      <w:r>
        <w:rPr>
          <w:b/>
        </w:rPr>
        <w:t>(b) Top-of-list extremes.</w:t>
      </w:r>
      <w:r>
        <w:t xml:space="preserve"> Wockpharma's +764% EPS, Lloyds Metals +553%, Jindal Steel +408% are eye-catching but mostly low-base effects on smaller caps — useful colour, not sector signals. On the miss side, </w:t>
      </w:r>
      <w:r>
        <w:rPr>
          <w:b/>
        </w:rPr>
        <w:t>Shoppers Stop (-922%) and Sapphire Foods (-750%)</w:t>
      </w:r>
      <w:r>
        <w:t xml:space="preserve"> are real warning flags for discretionary consumer services, and explain Shoppers Stop's brutal -46.2 rank-slope decline this week.</w:t>
      </w:r>
    </w:p>
    <w:p>
      <w:r>
        <w:rPr>
          <w:b/>
        </w:rPr>
        <w:t>(c) Bellwether large-caps — the real story.</w:t>
      </w:r>
    </w:p>
    <w:p>
      <w:pPr>
        <w:pStyle w:val="ListBullet"/>
      </w:pPr>
      <w:r>
        <w:rPr>
          <w:b/>
        </w:rPr>
        <w:t>SBIN (-3% EPS, -6.7% on the day, -4.6% over 5 days).</w:t>
      </w:r>
      <w:r>
        <w:t xml:space="preserve"> This is the most significant negative reaction of the week. A modest EPS decline shouldn't produce a 6.7% single-day drop unless the market saw something else in the print — likely margin guidance or asset-quality commentary. Read-through: </w:t>
      </w:r>
      <w:r>
        <w:rPr>
          <w:b/>
        </w:rPr>
        <w:t>negative for PSU banks</w:t>
      </w:r>
      <w:r>
        <w:t xml:space="preserve"> and a clue to why Banking's median EPS is only +9.9%. Worth flagging that we'd need the conference-call transcript to confirm the driver.</w:t>
      </w:r>
    </w:p>
    <w:p>
      <w:pPr>
        <w:pStyle w:val="ListBullet"/>
      </w:pPr>
      <w:r>
        <w:rPr>
          <w:b/>
        </w:rPr>
        <w:t>TITAN (+35% EPS, +80.5% Rev YoY, +4.7% on the day).</w:t>
      </w:r>
      <w:r>
        <w:t xml:space="preserve"> Premium discretionary is alive and well. The revenue print is enormous and the price reaction confirms it — read-through is constructive for Tanishq peers and high-end consumer durables.</w:t>
      </w:r>
    </w:p>
    <w:p>
      <w:pPr>
        <w:pStyle w:val="ListBullet"/>
      </w:pPr>
      <w:r>
        <w:rPr>
          <w:b/>
        </w:rPr>
        <w:t>M&amp;M (+42% EPS, +29% Rev) and BAJAJ-AUTO (+103% EPS, +41% Rev).</w:t>
      </w:r>
      <w:r>
        <w:t xml:space="preserve"> Both delivered strong numbers and both were rewarded over 5 days (+7.5% and +7.2%). This is the earnings backbone of the Auto quadrant flip into Leading — the sector rotation isn't speculative, it's earnings-led.</w:t>
      </w:r>
    </w:p>
    <w:p>
      <w:pPr>
        <w:pStyle w:val="ListBullet"/>
      </w:pPr>
      <w:r>
        <w:rPr>
          <w:b/>
        </w:rPr>
        <w:t>RELIANCE (-13% EPS, +12.5% Rev, flat reaction).</w:t>
      </w:r>
      <w:r>
        <w:t xml:space="preserve"> A double-digit EPS decline producing essentially no price movement is the market saying "we expected this" — refining margins were the known weak link. Not a sector-mover this quarter.</w:t>
      </w:r>
    </w:p>
    <w:p>
      <w:pPr>
        <w:pStyle w:val="ListBullet"/>
      </w:pPr>
      <w:r>
        <w:rPr>
          <w:b/>
        </w:rPr>
        <w:t>ADANIPORTS (+4% EPS, +26.5% Rev, +6.2% over 5 days).</w:t>
      </w:r>
      <w:r>
        <w:t xml:space="preserve"> Modest EPS, strong revenue, and the market liked it — also one of this week's narrow-CPR-breakaway signals (more below). Read-through positive for infrastructure utilisation.</w:t>
      </w:r>
    </w:p>
    <w:p>
      <w:pPr>
        <w:pStyle w:val="Heading2"/>
      </w:pPr>
      <w:r>
        <w:t>5. Technical Signals This Week</w:t>
      </w:r>
    </w:p>
    <w:p>
      <w:r>
        <w:rPr>
          <w:b/>
        </w:rPr>
        <w:t>Total: 111 unique stocks</w:t>
      </w:r>
      <w:r>
        <w:t xml:space="preserve"> firing across all indicators. Here's what's expanding and what's fading:</w:t>
      </w:r>
    </w:p>
    <w:p>
      <w:pPr>
        <w:pStyle w:val="ListBullet"/>
      </w:pPr>
      <w:r>
        <w:rPr>
          <w:b/>
        </w:rPr>
        <w:t>Blue Zone Buy</w:t>
      </w:r>
      <w:r>
        <w:t xml:space="preserve"> (the dashboard's institutional-accumulation watchlist — momentum stocks with strong RSI above their 20-day EMA and within 10% of 52-week highs): </w:t>
      </w:r>
      <w:r>
        <w:rPr>
          <w:b/>
        </w:rPr>
        <w:t>61 unique stocks vs 59 prior week (+2)</w:t>
      </w:r>
      <w:r>
        <w:t xml:space="preserve">. Stable, not surging. Fresh entries include </w:t>
      </w:r>
      <w:r>
        <w:rPr>
          <w:b/>
        </w:rPr>
        <w:t>HFCL, ADANIPOWER, BHEL, WELCORP, HSCL</w:t>
      </w:r>
      <w:r>
        <w:t xml:space="preserve"> — a notable industrial / power skew.</w:t>
      </w:r>
    </w:p>
    <w:p>
      <w:pPr>
        <w:pStyle w:val="ListBullet"/>
      </w:pPr>
      <w:r>
        <w:rPr>
          <w:b/>
        </w:rPr>
        <w:t>Narrow CPR Breakaway</w:t>
      </w:r>
      <w:r>
        <w:t xml:space="preserve"> (Central Pivot Range — a tight pivot setup that often precedes a directional breakout): </w:t>
      </w:r>
      <w:r>
        <w:rPr>
          <w:b/>
        </w:rPr>
        <w:t>25 vs 20 (+5)</w:t>
      </w:r>
      <w:r>
        <w:t xml:space="preserve">, with 16 fresh entries. This is the most expansive signal this week. Examples: </w:t>
      </w:r>
      <w:r>
        <w:rPr>
          <w:b/>
        </w:rPr>
        <w:t>ADANIPORTS, ADANIENT, MGL, MEDANTA, CROMPTON</w:t>
      </w:r>
      <w:r>
        <w:t xml:space="preserve"> — heavy on infra/industrial.</w:t>
      </w:r>
    </w:p>
    <w:p>
      <w:pPr>
        <w:pStyle w:val="ListBullet"/>
      </w:pPr>
      <w:r>
        <w:rPr>
          <w:b/>
        </w:rPr>
        <w:t>Golden Cross Buy</w:t>
      </w:r>
      <w:r>
        <w:t xml:space="preserve"> (20-day EMA crossing above 50-day EMA — a medium-term bullish trend trigger): </w:t>
      </w:r>
      <w:r>
        <w:rPr>
          <w:b/>
        </w:rPr>
        <w:t>14 vs 21 (-7)</w:t>
      </w:r>
      <w:r>
        <w:t xml:space="preserve">. Contracting meaningfully. The medium-term cross signal is fading even as short-term momentum builds — a yellow flag. Examples: </w:t>
      </w:r>
      <w:r>
        <w:rPr>
          <w:b/>
        </w:rPr>
        <w:t>MANINFRA, GODREJPROP, EXIDEIND</w:t>
      </w:r>
      <w:r>
        <w:t>.</w:t>
      </w:r>
    </w:p>
    <w:p>
      <w:pPr>
        <w:pStyle w:val="ListBullet"/>
      </w:pPr>
      <w:r>
        <w:rPr>
          <w:b/>
        </w:rPr>
        <w:t>MACD Strong</w:t>
      </w:r>
      <w:r>
        <w:t xml:space="preserve"> (Moving Average Convergence Divergence — a momentum oscillator; "strong" means a high-conviction positive crossover): </w:t>
      </w:r>
      <w:r>
        <w:rPr>
          <w:b/>
        </w:rPr>
        <w:t>8 vs 0 (+8)</w:t>
      </w:r>
      <w:r>
        <w:t xml:space="preserve">, all fresh. Biggest expansion of the week. </w:t>
      </w:r>
      <w:r>
        <w:rPr>
          <w:b/>
        </w:rPr>
        <w:t>CAMS, NAVA, NEULANDLAB, THERMAX, TRITURBINE</w:t>
      </w:r>
      <w:r>
        <w:t xml:space="preserve"> — momentum is firing in capital-goods and select financials/pharma.</w:t>
      </w:r>
    </w:p>
    <w:p>
      <w:pPr>
        <w:pStyle w:val="ListBullet"/>
      </w:pPr>
      <w:r>
        <w:rPr>
          <w:b/>
        </w:rPr>
        <w:t>Blue Zone Strong</w:t>
      </w:r>
      <w:r>
        <w:t xml:space="preserve">: </w:t>
      </w:r>
      <w:r>
        <w:rPr>
          <w:b/>
        </w:rPr>
        <w:t>7 vs 9 (-2)</w:t>
      </w:r>
      <w:r>
        <w:t xml:space="preserve">. The high-conviction subset is slightly thinning. </w:t>
      </w:r>
      <w:r>
        <w:rPr>
          <w:b/>
        </w:rPr>
        <w:t>HFCL, BSE, KSB, STLTECH, GRANULES</w:t>
      </w:r>
      <w:r>
        <w:t>.</w:t>
      </w:r>
    </w:p>
    <w:p>
      <w:pPr>
        <w:pStyle w:val="ListBullet"/>
      </w:pPr>
      <w:r>
        <w:rPr>
          <w:b/>
        </w:rPr>
        <w:t>VCP Buy</w:t>
      </w:r>
      <w:r>
        <w:t xml:space="preserve"> (Volatility Contraction Pattern — Mark Minervini's setup where price tightens before a breakout): </w:t>
      </w:r>
      <w:r>
        <w:rPr>
          <w:b/>
        </w:rPr>
        <w:t>7 vs 3 (+4)</w:t>
      </w:r>
      <w:r>
        <w:t xml:space="preserve">. </w:t>
      </w:r>
      <w:r>
        <w:rPr>
          <w:b/>
        </w:rPr>
        <w:t>BSE, SAIL, STARHEALTH, GUJALKALI, ELGIEQUIP</w:t>
      </w:r>
      <w:r>
        <w:t>.</w:t>
      </w:r>
    </w:p>
    <w:p>
      <w:pPr>
        <w:pStyle w:val="ListBullet"/>
      </w:pPr>
      <w:r>
        <w:rPr>
          <w:b/>
        </w:rPr>
        <w:t>MACD Buy</w:t>
      </w:r>
      <w:r>
        <w:t xml:space="preserve">: </w:t>
      </w:r>
      <w:r>
        <w:rPr>
          <w:b/>
        </w:rPr>
        <w:t>5 vs 1 (+4)</w:t>
      </w:r>
      <w:r>
        <w:t xml:space="preserve">. </w:t>
      </w:r>
      <w:r>
        <w:rPr>
          <w:b/>
        </w:rPr>
        <w:t>NEULANDLAB, CAMS, KSCL, LAURUSLABS</w:t>
      </w:r>
      <w:r>
        <w:t>.</w:t>
      </w:r>
    </w:p>
    <w:p>
      <w:pPr>
        <w:pStyle w:val="ListBullet"/>
      </w:pPr>
      <w:r>
        <w:rPr>
          <w:b/>
        </w:rPr>
        <w:t>Bull Flag Buy</w:t>
      </w:r>
      <w:r>
        <w:t xml:space="preserve"> (sharp rally → orderly consolidation → breakout above the consolidation): </w:t>
      </w:r>
      <w:r>
        <w:rPr>
          <w:b/>
        </w:rPr>
        <w:t>2 vs 2 (flat)</w:t>
      </w:r>
      <w:r>
        <w:t xml:space="preserve">. </w:t>
      </w:r>
      <w:r>
        <w:rPr>
          <w:b/>
        </w:rPr>
        <w:t>PNBHOUSING, NAVA</w:t>
      </w:r>
      <w:r>
        <w:t>.</w:t>
      </w:r>
    </w:p>
    <w:p>
      <w:pPr>
        <w:pStyle w:val="ListBullet"/>
      </w:pPr>
      <w:r>
        <w:rPr>
          <w:b/>
        </w:rPr>
        <w:t>Pullback Bounce</w:t>
      </w:r>
      <w:r>
        <w:t xml:space="preserve">: </w:t>
      </w:r>
      <w:r>
        <w:rPr>
          <w:b/>
        </w:rPr>
        <w:t>1 vs 0</w:t>
      </w:r>
      <w:r>
        <w:t xml:space="preserve">. </w:t>
      </w:r>
      <w:r>
        <w:rPr>
          <w:b/>
        </w:rPr>
        <w:t>JPPOWER</w:t>
      </w:r>
      <w:r>
        <w:t>.</w:t>
      </w:r>
    </w:p>
    <w:p>
      <w:r>
        <w:rPr>
          <w:b/>
        </w:rPr>
        <w:t>Multi-signal stocks (higher-conviction setups firing across two or more indicator types):</w:t>
      </w:r>
    </w:p>
    <w:p>
      <w:pPr>
        <w:pStyle w:val="ListBullet"/>
      </w:pPr>
      <w:r>
        <w:rPr>
          <w:b/>
        </w:rPr>
        <w:t>BSE</w:t>
      </w:r>
      <w:r>
        <w:t xml:space="preserve"> — Blue Zone Buy + Blue Zone Strong + VCP Buy. Three different lenses agreeing.</w:t>
      </w:r>
    </w:p>
    <w:p>
      <w:pPr>
        <w:pStyle w:val="ListBullet"/>
      </w:pPr>
      <w:r>
        <w:rPr>
          <w:b/>
        </w:rPr>
        <w:t>NAVA</w:t>
      </w:r>
      <w:r>
        <w:t xml:space="preserve"> — Blue Zone Buy + Bull Flag Buy + MACD Strong. Strongest cross-indicator stack of the week.</w:t>
      </w:r>
    </w:p>
    <w:p>
      <w:pPr>
        <w:pStyle w:val="ListBullet"/>
      </w:pPr>
      <w:r>
        <w:rPr>
          <w:b/>
        </w:rPr>
        <w:t>HFCL</w:t>
      </w:r>
      <w:r>
        <w:t xml:space="preserve"> — Blue Zone Buy + Blue Zone Strong, with a +309% EPS print backing it.</w:t>
      </w:r>
    </w:p>
    <w:p>
      <w:pPr>
        <w:pStyle w:val="ListBullet"/>
      </w:pPr>
      <w:r>
        <w:rPr>
          <w:b/>
        </w:rPr>
        <w:t>CAMS</w:t>
      </w:r>
      <w:r>
        <w:t xml:space="preserve"> — MACD Buy + MACD Strong (momentum confirmation).</w:t>
      </w:r>
    </w:p>
    <w:p>
      <w:pPr>
        <w:pStyle w:val="ListBullet"/>
      </w:pPr>
      <w:r>
        <w:rPr>
          <w:b/>
        </w:rPr>
        <w:t>ADANIPORTS</w:t>
      </w:r>
      <w:r>
        <w:t xml:space="preserve"> — Blue Zone Buy + Narrow CPR Breakaway, with the earnings reaction (+6.2% over 5 days) as third confirmation.</w:t>
      </w:r>
    </w:p>
    <w:p>
      <w:r>
        <w:rPr>
          <w:b/>
        </w:rPr>
        <w:t>Net read:</w:t>
      </w:r>
      <w:r>
        <w:t xml:space="preserve"> the signal mix is </w:t>
      </w:r>
      <w:r>
        <w:rPr>
          <w:b/>
        </w:rPr>
        <w:t>rotating, not uniformly expanding</w:t>
      </w:r>
      <w:r>
        <w:t>. MACD and CPR breakaway counts are surging (early-stage momentum) while Golden Cross is fading (medium-term confirmations becoming scarcer). Translation: this week's strength is fresh, not yet confirmed by longer-frame indicators.</w:t>
      </w:r>
    </w:p>
    <w:p>
      <w:pPr>
        <w:pStyle w:val="Heading2"/>
      </w:pPr>
      <w:r>
        <w:t>6. Notable Stock-Level Action</w:t>
      </w:r>
    </w:p>
    <w:p>
      <w:pPr>
        <w:pStyle w:val="ListBullet"/>
      </w:pPr>
      <w:r>
        <w:rPr>
          <w:b/>
        </w:rPr>
        <w:t>METROPOLIS (56.4x volume) and THYROCARE (37.3x volume)</w:t>
      </w:r>
      <w:r>
        <w:t xml:space="preserve"> ripped on the same day — diagnostics cluster moving together is not coincidence; combined with Healthcare leading sectors, this is a real sub-theme. Thyrocare also surged in rank slope (-33.4, now #75).</w:t>
      </w:r>
    </w:p>
    <w:p>
      <w:pPr>
        <w:pStyle w:val="ListBullet"/>
      </w:pPr>
      <w:r>
        <w:rPr>
          <w:b/>
        </w:rPr>
        <w:t>CRAFTSMAN AUTOMATION</w:t>
      </w:r>
      <w:r>
        <w:t xml:space="preserve"> — 20.3x volume + rank surge to #144. Auto-components reading from the M&amp;M / Bajaj Auto earnings cycle filtering down to the supply chain. Worth watching as confirmation of the Auto rotation.</w:t>
      </w:r>
    </w:p>
    <w:p>
      <w:pPr>
        <w:pStyle w:val="ListBullet"/>
      </w:pPr>
      <w:r>
        <w:rPr>
          <w:b/>
        </w:rPr>
        <w:t>YES BANK</w:t>
      </w:r>
      <w:r>
        <w:t xml:space="preserve"> rank-slope surge to #67 — the only standout in an otherwise tepid Banking sector this week.</w:t>
      </w:r>
    </w:p>
    <w:p>
      <w:pPr>
        <w:pStyle w:val="ListBullet"/>
      </w:pPr>
      <w:r>
        <w:rPr>
          <w:b/>
        </w:rPr>
        <w:t>THERMAX (14.2x volume) + MACD Strong signal</w:t>
      </w:r>
      <w:r>
        <w:t xml:space="preserve"> — capital goods momentum showing up across two independent data sources.</w:t>
      </w:r>
    </w:p>
    <w:p>
      <w:pPr>
        <w:pStyle w:val="ListBullet"/>
      </w:pPr>
      <w:r>
        <w:rPr>
          <w:b/>
        </w:rPr>
        <w:t>D B REALTY</w:t>
      </w:r>
      <w:r>
        <w:t xml:space="preserve"> rank surge to #63 lines up with Realty's +62% earnings median — the strongest sector-fundamentals match in the data.</w:t>
      </w:r>
    </w:p>
    <w:p>
      <w:pPr>
        <w:pStyle w:val="Heading2"/>
      </w:pPr>
      <w:r>
        <w:t>7. Macro &amp; Global</w:t>
      </w:r>
    </w:p>
    <w:p>
      <w:pPr>
        <w:pStyle w:val="ListBullet"/>
      </w:pPr>
      <w:r>
        <w:rPr>
          <w:b/>
        </w:rPr>
        <w:t>Brent: $101.66, -6.0% week</w:t>
      </w:r>
      <w:r>
        <w:t xml:space="preserve"> — the dominant macro variable this week. Easing US–Iran tensions drove the move and explains both Aviation strength and Energy's tepid +1.3%.</w:t>
      </w:r>
    </w:p>
    <w:p>
      <w:pPr>
        <w:pStyle w:val="ListBullet"/>
      </w:pPr>
      <w:r>
        <w:rPr>
          <w:b/>
        </w:rPr>
        <w:t>India VIX: 16.62 (-1.84)</w:t>
      </w:r>
      <w:r>
        <w:t xml:space="preserve"> — meaningful drop in fear; consistent with a rotation week, not a panic week.</w:t>
      </w:r>
    </w:p>
    <w:p>
      <w:pPr>
        <w:pStyle w:val="ListBullet"/>
      </w:pPr>
      <w:r>
        <w:rPr>
          <w:b/>
        </w:rPr>
        <w:t>DXY: 98.23 (+0.10)</w:t>
      </w:r>
      <w:r>
        <w:t xml:space="preserve"> — flat, no FX pressure.</w:t>
      </w:r>
    </w:p>
    <w:p>
      <w:pPr>
        <w:pStyle w:val="ListBullet"/>
      </w:pPr>
      <w:r>
        <w:rPr>
          <w:b/>
        </w:rPr>
        <w:t>Gold: $4,724/oz (+2.3%); Silver: $80.35 (+5.7%)</w:t>
      </w:r>
      <w:r>
        <w:t xml:space="preserve"> — precious metals still bid. The gold/silver ratio fell to 58.80, suggesting risk-on metals demand rather than pure haven flows.</w:t>
      </w:r>
    </w:p>
    <w:p>
      <w:pPr>
        <w:pStyle w:val="ListBullet"/>
      </w:pPr>
      <w:r>
        <w:t xml:space="preserve">News flow was heavy on </w:t>
      </w:r>
      <w:r>
        <w:rPr>
          <w:b/>
        </w:rPr>
        <w:t>US–Iran tensions easing</w:t>
      </w:r>
      <w:r>
        <w:t xml:space="preserve"> (which catalysed Wednesday's rally) and </w:t>
      </w:r>
      <w:r>
        <w:rPr>
          <w:b/>
        </w:rPr>
        <w:t>state election results volatility</w:t>
      </w:r>
      <w:r>
        <w:t xml:space="preserve"> (already in the rear view, market digested it).</w:t>
      </w:r>
    </w:p>
    <w:p>
      <w:pPr>
        <w:pStyle w:val="Heading2"/>
      </w:pPr>
      <w:r>
        <w:t>8. What to Watch Next Week</w:t>
      </w:r>
    </w:p>
    <w:p>
      <w:pPr>
        <w:pStyle w:val="ListBullet"/>
      </w:pPr>
      <w:r>
        <w:rPr>
          <w:b/>
        </w:rPr>
        <w:t>Nifty levels.</w:t>
      </w:r>
      <w:r>
        <w:t xml:space="preserve"> EMA200 at </w:t>
      </w:r>
      <w:r>
        <w:rPr>
          <w:b/>
        </w:rPr>
        <w:t>24,582</w:t>
      </w:r>
      <w:r>
        <w:t xml:space="preserve"> is the wall. A close above it would mark the first genuine long-term trend reclamation in months. On the downside, EMA20/50 cluster around </w:t>
      </w:r>
      <w:r>
        <w:rPr>
          <w:b/>
        </w:rPr>
        <w:t>24,032–24,091</w:t>
      </w:r>
      <w:r>
        <w:t xml:space="preserve"> is the line that has to hold for the rotation thesis to stay intact. Friday's close at 24,174 sits in no-man's-land between them.</w:t>
      </w:r>
    </w:p>
    <w:p>
      <w:pPr>
        <w:pStyle w:val="ListBullet"/>
      </w:pPr>
      <w:r>
        <w:rPr>
          <w:b/>
        </w:rPr>
        <w:t>Auto rotation confirmation.</w:t>
      </w:r>
      <w:r>
        <w:t xml:space="preserve"> The Auto quadrant flip is fresh and earnings-backed. Watch whether second-tier auto-components names (the Craftsman cohort) follow through, which is the usual tell for whether a rotation has legs.</w:t>
      </w:r>
    </w:p>
    <w:p>
      <w:pPr>
        <w:pStyle w:val="ListBullet"/>
      </w:pPr>
      <w:r>
        <w:rPr>
          <w:b/>
        </w:rPr>
        <w:t>Banking divergence.</w:t>
      </w:r>
      <w:r>
        <w:t xml:space="preserve"> With Banking the bottom sector AND with the weakest large-cap reactions (SBI -6.7%, HDFCB -1.9%, Axis -1.9%), the question is whether the next set of bank reports closes the gap or widens it.</w:t>
      </w:r>
    </w:p>
    <w:p>
      <w:pPr>
        <w:pStyle w:val="ListBullet"/>
      </w:pPr>
      <w:r>
        <w:rPr>
          <w:b/>
        </w:rPr>
        <w:t>Healthcare follow-through.</w:t>
      </w:r>
      <w:r>
        <w:t xml:space="preserve"> Diagnostics cluster + sector earnings median +29% + Healthcare leading on RRG. The ingredients are aligned; sustained breadth is the watch item.</w:t>
      </w:r>
    </w:p>
    <w:p>
      <w:pPr>
        <w:pStyle w:val="Heading2"/>
      </w:pPr>
      <w:r>
        <w:t>9. The Bottom Line</w:t>
      </w:r>
    </w:p>
    <w:p>
      <w:pPr>
        <w:pStyle w:val="ListNumber"/>
      </w:pPr>
      <w:r>
        <w:rPr>
          <w:b/>
        </w:rPr>
        <w:t>The week was a rotation, not a breakout.</w:t>
      </w:r>
      <w:r>
        <w:t xml:space="preserve"> Nifty +0.7% headlines undersells what happened underneath — Auto rotated into Leading, Defence/Metals took a breather, breadth above EMA200 climbed from 48% to 58%. Until Nifty clears EMA200 at 24,582, treat this as a constructive bounce within a broken longer-term trend, not a confirmed turn.</w:t>
      </w:r>
    </w:p>
    <w:p>
      <w:pPr>
        <w:pStyle w:val="ListNumber"/>
      </w:pPr>
      <w:r>
        <w:rPr>
          <w:b/>
        </w:rPr>
        <w:t>Healthcare is the cleanest setup in the data.</w:t>
      </w:r>
      <w:r>
        <w:t xml:space="preserve"> Sector return leadership (+5.8%), earnings median (+28.8%), volume explosions in diagnostics names, and multi-signal triggers across pharma — four independent data sources agreeing. Whether the move continues depends on broadening beyond diagnostics into broader pharma; that's the watch item.</w:t>
      </w:r>
    </w:p>
    <w:p>
      <w:pPr>
        <w:pStyle w:val="ListNumber"/>
      </w:pPr>
      <w:r>
        <w:rPr>
          <w:b/>
        </w:rPr>
        <w:t>The SBI reaction is the most important single data point this week.</w:t>
      </w:r>
      <w:r>
        <w:t xml:space="preserve"> A bellwether PSU bank falling 6.7% on a -3% EPS print suggests the market saw something in the result that the headline number didn't capture — and it's consistent with Banking's weak +9.9% sector median. Caveat: we'd want the call transcript before drawing firm conclusions, but the read-through caution for PSU bank peers is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