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2026-10-03</w:t>
      </w:r>
    </w:p>
    <w:p>
      <w:pPr>
        <w:pStyle w:val="Heading2"/>
      </w:pPr>
      <w:r>
        <w:t>1. What Happened This Week</w:t>
      </w:r>
    </w:p>
    <w:p>
      <w:r>
        <w:t xml:space="preserve">A rough five sessions for Indian equities. </w:t>
      </w:r>
      <w:r>
        <w:rPr>
          <w:b/>
        </w:rPr>
        <w:t>Nifty 50 slid from 23,140.50 to 22,421.95, a -3.1% weekly loss</w:t>
      </w:r>
      <w:r>
        <w:t xml:space="preserve">, with every single trading day closing lower than the last — Monday opened the damage at 22,780, and by Thursday's close the index had bled another 358 points without a single green bounce in between. The dominant cause isn't mysterious: </w:t>
      </w:r>
      <w:r>
        <w:rPr>
          <w:b/>
        </w:rPr>
        <w:t>the RBI turned decisively hawkish</w:t>
      </w:r>
      <w:r>
        <w:t xml:space="preserve"> (BofA now forecasting 100 bps of repo rate hikes through H1 2027), </w:t>
      </w:r>
      <w:r>
        <w:rPr>
          <w:b/>
        </w:rPr>
        <w:t>Brent spiked above $106/bbl earlier in the week on US-Iran tensions</w:t>
      </w:r>
      <w:r>
        <w:t xml:space="preserve"> before settling at $101.18, </w:t>
      </w:r>
      <w:r>
        <w:rPr>
          <w:b/>
        </w:rPr>
        <w:t>Indian banks absorbed ~$500 million in FX losses</w:t>
      </w:r>
      <w:r>
        <w:t xml:space="preserve"> after RBI imposed position curbs on forward contracts, and the </w:t>
      </w:r>
      <w:r>
        <w:rPr>
          <w:b/>
        </w:rPr>
        <w:t>Supreme Court declined to stay the October 15 UPI MDR (Merchant Discount Rate — the fee merchants pay on digital transactions) rollout</w:t>
      </w:r>
      <w:r>
        <w:t>. Add a weak monsoon narrative and the result was textbook risk-off: breadth collapsed, rate-sensitives sold hard, and only aviation managed to stay above water.</w:t>
      </w:r>
    </w:p>
    <w:p>
      <w:pPr>
        <w:pStyle w:val="Heading2"/>
      </w:pPr>
      <w:r>
        <w:t>2. The Trend Picture</w:t>
      </w:r>
    </w:p>
    <w:p>
      <w:r>
        <w:t xml:space="preserve">The trend has clearly broken. Nifty at </w:t>
      </w:r>
      <w:r>
        <w:rPr>
          <w:b/>
        </w:rPr>
        <w:t>22,421.95 is now BELOW all three key moving averages</w:t>
      </w:r>
      <w:r>
        <w:t xml:space="preserve"> — </w:t>
      </w:r>
      <w:r>
        <w:rPr>
          <w:b/>
        </w:rPr>
        <w:t>-3.4% below its 20-day EMA</w:t>
      </w:r>
      <w:r>
        <w:t xml:space="preserve"> (Exponential Moving Average, a smoothed trend-reference line that weights recent closes more heavily) at 23,212.76, </w:t>
      </w:r>
      <w:r>
        <w:rPr>
          <w:b/>
        </w:rPr>
        <w:t>-5.1% below the 50-day EMA</w:t>
      </w:r>
      <w:r>
        <w:t xml:space="preserve"> at 23,614.94, and </w:t>
      </w:r>
      <w:r>
        <w:rPr>
          <w:b/>
        </w:rPr>
        <w:t>-7.1% below the critical 200-day EMA</w:t>
      </w:r>
      <w:r>
        <w:t xml:space="preserve"> at 24,125.01. When price is below all three, the medium-term trend is definitionally bearish.</w:t>
      </w:r>
    </w:p>
    <w:p>
      <w:r>
        <w:t xml:space="preserve">Breadth confirms it. The share of stocks trading above their 200-day EMA has </w:t>
      </w:r>
      <w:r>
        <w:rPr>
          <w:b/>
        </w:rPr>
        <w:t>compressed from 46% on Sept 23 to 33% by Oct 1</w:t>
      </w:r>
      <w:r>
        <w:t xml:space="preserve"> — in a single week, roughly one in seven Nifty-500 names fell below their long-term trend line. Daily advance/decline (A/D — the ratio of stocks rising vs. falling each day) has been ugly: </w:t>
      </w:r>
      <w:r>
        <w:rPr>
          <w:b/>
        </w:rPr>
        <w:t>Monday's 72 adv / 510 dec</w:t>
      </w:r>
      <w:r>
        <w:t xml:space="preserve"> was the worst split of the week, and </w:t>
      </w:r>
      <w:r>
        <w:rPr>
          <w:b/>
        </w:rPr>
        <w:t>New 52-week lows have surged from 8 (Sept 23) to 79 (Oct 1)</w:t>
      </w:r>
      <w:r>
        <w:t>. Not a single new 52W high was recorded on any day this week. This is a narrowing market, not a mixed one.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3 (5-day median return):</w:t>
      </w:r>
      <w:r>
        <w:t xml:space="preserve"> Aviation (+0.8%), Consumer Services (-1.5%), Industrial (-2.3%). </w:t>
      </w:r>
      <w:r>
        <w:rPr>
          <w:b/>
        </w:rPr>
        <w:t>Bottom 3:</w:t>
      </w:r>
      <w:r>
        <w:t xml:space="preserve"> Agriculture (-5.8%), Automobile (-5.0%), Metals (-4.9%). Cement (-4.7%) and FMCG (-4.6%) weren't far behind.</w:t>
      </w:r>
    </w:p>
    <w:p>
      <w:r>
        <w:rPr>
          <w:b/>
        </w:rPr>
        <w:t>Aviation was the only sector positive on the week</w:t>
      </w:r>
      <w:r>
        <w:t xml:space="preserve"> and flipped from Improving to </w:t>
      </w:r>
      <w:r>
        <w:rPr>
          <w:b/>
        </w:rPr>
        <w:t>Leading</w:t>
      </w:r>
      <w:r>
        <w:t xml:space="preserve"> in RRG terms (Relative Rotation Graph — a framework that classifies sectors into Leading / Weakening / Lagging / Improving quadrants based on relative strength and momentum). The </w:t>
      </w:r>
      <w:r>
        <w:rPr>
          <w:b/>
        </w:rPr>
        <w:t>8% weekly drop in Brent</w:t>
      </w:r>
      <w:r>
        <w:t xml:space="preserve"> directly helps aviation fuel costs — a clean cause-and-effect.</w:t>
      </w:r>
    </w:p>
    <w:p>
      <w:r>
        <w:rPr>
          <w:b/>
        </w:rPr>
        <w:t>Automobile's -5.0% is more interesting</w:t>
      </w:r>
      <w:r>
        <w:t xml:space="preserve">. Normally cheaper crude would help autos, but the </w:t>
      </w:r>
      <w:r>
        <w:rPr>
          <w:b/>
        </w:rPr>
        <w:t>Centre's ₹10/litre excise duty cut on petrol and diesel</w:t>
      </w:r>
      <w:r>
        <w:t xml:space="preserve"> (partially offset by Nayara raising retail prices by ₹5/₹3) is a mixed signal for the sector, and </w:t>
      </w:r>
      <w:r>
        <w:rPr>
          <w:b/>
        </w:rPr>
        <w:t>Maruti fell 4.9% on the day</w:t>
      </w:r>
      <w:r>
        <w:t xml:space="preserve"> of its earnings read-through despite +36% revenue growth. Auto Components also flipped from Leading to </w:t>
      </w:r>
      <w:r>
        <w:rPr>
          <w:b/>
        </w:rPr>
        <w:t>Weakening</w:t>
      </w:r>
      <w:r>
        <w:t xml:space="preserve"> — the rotation out of autos is happening in real time.</w:t>
      </w:r>
    </w:p>
    <w:p>
      <w:r>
        <w:rPr>
          <w:b/>
        </w:rPr>
        <w:t>FMCG's -4.6% ties to the hawkish RBI stance</w:t>
      </w:r>
      <w:r>
        <w:t xml:space="preserve"> — rate hikes compress consumer discretionary spend, and the group was already struggling (-19.2% YTD). </w:t>
      </w:r>
      <w:r>
        <w:rPr>
          <w:b/>
        </w:rPr>
        <w:t>Agriculture (-5.8%) despite the edible oil import duty cut</w:t>
      </w:r>
      <w:r>
        <w:t xml:space="preserve"> suggests the weak monsoon narrative is overwhelming any policy tailwind.</w:t>
      </w:r>
    </w:p>
    <w:p>
      <w:r>
        <w:t xml:space="preserve">Notable quadrant flips to watch: </w:t>
      </w:r>
      <w:r>
        <w:rPr>
          <w:b/>
        </w:rPr>
        <w:t>Metals and Realty both flipped into Leading</w:t>
      </w:r>
      <w:r>
        <w:t xml:space="preserve"> despite negative weekly returns — their relative strength is improving even as absolute prices fall, which is often a precursor to a bounce. </w:t>
      </w:r>
      <w:r>
        <w:rPr>
          <w:b/>
        </w:rPr>
        <w:t>Healthcare slipped from Leading to Weakening</w:t>
      </w:r>
      <w:r>
        <w:t xml:space="preserve"> — a loss of leadership despite the US specialty-drug tariff exemption news.</w:t>
      </w:r>
    </w:p>
    <w:p>
      <w:pPr>
        <w:pStyle w:val="Heading2"/>
      </w:pPr>
      <w:r>
        <w:t>4. Earnings Pulse</w:t>
      </w:r>
    </w:p>
    <w:p>
      <w:r>
        <w:rPr>
          <w:b/>
        </w:rPr>
        <w:t>Season: Jun 2026</w:t>
      </w:r>
      <w:r>
        <w:t xml:space="preserve"> quarter. </w:t>
      </w:r>
      <w:r>
        <w:rPr>
          <w:b/>
        </w:rPr>
        <w:t>507 stocks have reported, 33 haven't</w:t>
      </w:r>
      <w:r>
        <w:t xml:space="preserve"> — their data is excluded to avoid distortion.</w:t>
      </w:r>
    </w:p>
    <w:p>
      <w:r>
        <w:rPr>
          <w:b/>
        </w:rPr>
        <w:t>(a) Sector aggregate — strong across the board.</w:t>
      </w:r>
      <w:r>
        <w:t xml:space="preserve"> Logistics leads at </w:t>
      </w:r>
      <w:r>
        <w:rPr>
          <w:b/>
        </w:rPr>
        <w:t>+81.2% median EPS YoY</w:t>
      </w:r>
      <w:r>
        <w:t xml:space="preserve"> (small universe of 7 stocks), followed by Textiles (+49.4%), Chemicals (+34.3%), Consumer Durables (+32.0%), and Banking (+27.4%). Even the "weak" sectors — Consumer Services (+11.3%), Realty (+13.4%), Auto Components (+13.4%) — are posting double-digit growth. This is a </w:t>
      </w:r>
      <w:r>
        <w:rPr>
          <w:b/>
        </w:rPr>
        <w:t>fundamentally healthy earnings season</w:t>
      </w:r>
      <w:r>
        <w:t>, which makes the price action all the more a function of rates and macro, not corporate performance.</w:t>
      </w:r>
    </w:p>
    <w:p>
      <w:r>
        <w:rPr>
          <w:b/>
        </w:rPr>
        <w:t>(b) Extremes — colour only.</w:t>
      </w:r>
      <w:r>
        <w:t xml:space="preserve"> Biggest beats: </w:t>
      </w:r>
      <w:r>
        <w:rPr>
          <w:b/>
        </w:rPr>
        <w:t>NEULANDLAB (+963% EPS)</w:t>
      </w:r>
      <w:r>
        <w:t xml:space="preserve">, </w:t>
      </w:r>
      <w:r>
        <w:rPr>
          <w:b/>
        </w:rPr>
        <w:t>GLENMARK (+931%)</w:t>
      </w:r>
      <w:r>
        <w:t xml:space="preserve"> — both Healthcare, both likely low-base effects. Biggest miss: </w:t>
      </w:r>
      <w:r>
        <w:rPr>
          <w:b/>
        </w:rPr>
        <w:t>DELTACORP (-822% EPS)</w:t>
      </w:r>
      <w:r>
        <w:t xml:space="preserve"> and </w:t>
      </w:r>
      <w:r>
        <w:rPr>
          <w:b/>
        </w:rPr>
        <w:t>HINDPETRO (-398%)</w:t>
      </w:r>
      <w:r>
        <w:t xml:space="preserve"> — HPCL's loss reflects refining-margin compression into the Brent spike.</w:t>
      </w:r>
    </w:p>
    <w:p>
      <w:r>
        <w:rPr>
          <w:b/>
        </w:rPr>
        <w:t>(c) Bellwether read — this is where it gets interesting.</w:t>
      </w:r>
      <w:r>
        <w:t xml:space="preserve"> </w:t>
      </w:r>
      <w:r>
        <w:rPr>
          <w:b/>
        </w:rPr>
        <w:t>CRITICAL STALENESS NOTE:</w:t>
      </w:r>
      <w:r>
        <w:t xml:space="preserve"> the earnings calendar shows </w:t>
      </w:r>
      <w:r>
        <w:rPr>
          <w:b/>
        </w:rPr>
        <w:t>zero stocks declared results in the last 10 days</w:t>
      </w:r>
      <w:r>
        <w:t xml:space="preserve">. That means every bellwether EPS print below is OLD context (filed weeks ago); this week's price action is </w:t>
      </w:r>
      <w:r>
        <w:rPr>
          <w:b/>
        </w:rPr>
        <w:t>sector rotation and macro reaction, not fresh earnings catalysts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Stock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Print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5D move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TITAN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+63% EPS, +29% Rev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-6.6%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 big disconnect. Titan is one of the strongest results in the bellwether table, yet it's the worst 5D performer in that cohort. This week's move is pure sector-rotation out of premium discretionary, not an earnings reaction.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MARUTI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-9% EPS, +36% Rev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-5.0%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The revenue beat tells you volumes were fine; the EPS miss points to margin pressure. This week's drop ties to the auto rotation and uncertainty around the fuel-price pass-through.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HINDUNILVR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-3% EPS, +10% Rev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-5.0%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Weak FMCG read-through — flat earnings in a rising-rate environment is a tough combination.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RELIANCE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-22% EPS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-4.2%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The old print was already weak; this week's move is risk-off plus the UPI MDR overhang on its digital/retail arm.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INFY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+15% EPS, +14% Rev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+2.0%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 rare bellwether winner. Infosys's strong print was filed earlier; this week's gain reflects IT finding safe-haven status as the rupee weakens — a classic hedge playbook. </w:t>
            </w:r>
            <w:r>
              <w:rPr>
                <w:b/>
                <w:sz w:val="20"/>
              </w:rPr>
              <w:t>HDFC Bank (+18% EPS, 5D -1.1%)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Kotak (+22% EPS, +3.3%)</w:t>
            </w:r>
            <w:r>
              <w:rPr>
                <w:sz w:val="20"/>
              </w:rPr>
              <w:t xml:space="preserve"> held up better than peers, with Kotak the standout — a notable divergence worth tracking as the HDFC Bank MD transition to Anup Bagchi plays out.</w:t>
            </w:r>
          </w:p>
        </w:tc>
      </w:tr>
    </w:tbl>
    <w:p/>
    <w:p>
      <w:pPr>
        <w:pStyle w:val="Heading2"/>
      </w:pPr>
      <w:r>
        <w:t>5. Technical Signals This Week</w:t>
      </w:r>
    </w:p>
    <w:p>
      <w:r>
        <w:rPr>
          <w:b/>
        </w:rPr>
        <w:t>Total unique stocks firing any signal: 84.</w:t>
      </w:r>
      <w:r>
        <w:t xml:space="preserve"> The signal mix is </w:t>
      </w:r>
      <w:r>
        <w:rPr>
          <w:b/>
        </w:rPr>
        <w:t>contracting across momentum indicators, which fits the broader risk-off tape.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— a tight pivot setup that often precedes a breakout): </w:t>
      </w:r>
      <w:r>
        <w:rPr>
          <w:b/>
        </w:rPr>
        <w:t>38 unique stocks vs 37 prior week (+1)</w:t>
      </w:r>
      <w:r>
        <w:t>. Examples: JUBLPHARMA, CASTROLIND, PHOENIXLTD. The only indicator that expanded — these are coiled-spring setups waiting for a direction call.</w:t>
      </w:r>
    </w:p>
    <w:p>
      <w:pPr>
        <w:pStyle w:val="ListBullet"/>
      </w:pPr>
      <w:r>
        <w:rPr>
          <w:b/>
        </w:rPr>
        <w:t>MACD Buy</w:t>
      </w:r>
      <w:r>
        <w:t xml:space="preserve"> (Moving Average Convergence Divergence — a trend/momentum oscillator signalling positive turn): </w:t>
      </w:r>
      <w:r>
        <w:rPr>
          <w:b/>
        </w:rPr>
        <w:t>25 vs 41 (-16)</w:t>
      </w:r>
      <w:r>
        <w:t>. A big contraction. Examples: WELSPUNLIV, SOMANYCERA, LAURUSLABS. New momentum initiations are drying up.</w:t>
      </w:r>
    </w:p>
    <w:p>
      <w:pPr>
        <w:pStyle w:val="ListBullet"/>
      </w:pPr>
      <w:r>
        <w:rPr>
          <w:b/>
        </w:rPr>
        <w:t>Blue Zone Buy</w:t>
      </w:r>
      <w:r>
        <w:t xml:space="preserve"> (the dashboard's institutional-accumulation watchlist: stocks under RSI-EMA accumulation, above the 20-day EMA, within 10% of their 52W high): </w:t>
      </w:r>
      <w:r>
        <w:rPr>
          <w:b/>
        </w:rPr>
        <w:t>13 vs 18 (-5)</w:t>
      </w:r>
      <w:r>
        <w:t>. Examples: RAYMOND, WELSPUNLIV, GMMPFAUDLR. The accumulation universe is shrinking.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Minervini-style tightening range before breakout): </w:t>
      </w:r>
      <w:r>
        <w:rPr>
          <w:b/>
        </w:rPr>
        <w:t>12 vs 9 (+3)</w:t>
      </w:r>
      <w:r>
        <w:t>. Examples: RAYMOND, WELSPUNLIV, GESHIP. A small expansion — some names are quietly tightening up.</w:t>
      </w:r>
    </w:p>
    <w:p>
      <w:pPr>
        <w:pStyle w:val="ListBullet"/>
      </w:pPr>
      <w:r>
        <w:rPr>
          <w:b/>
        </w:rPr>
        <w:t>Golden Cross Strong</w:t>
      </w:r>
      <w:r>
        <w:t xml:space="preserve"> (20-day EMA crossing above 50-day EMA, a medium-term bullish trend trigger): </w:t>
      </w:r>
      <w:r>
        <w:rPr>
          <w:b/>
        </w:rPr>
        <w:t>4 vs 1 (+3)</w:t>
      </w:r>
      <w:r>
        <w:t>. Examples: DELTACORP, SUNTV, MANKIND, ABBOTINDIA.</w:t>
      </w:r>
    </w:p>
    <w:p>
      <w:pPr>
        <w:pStyle w:val="ListBullet"/>
      </w:pPr>
      <w:r>
        <w:rPr>
          <w:b/>
        </w:rPr>
        <w:t>Golden Cross Buy</w:t>
      </w:r>
      <w:r>
        <w:t xml:space="preserve">: </w:t>
      </w:r>
      <w:r>
        <w:rPr>
          <w:b/>
        </w:rPr>
        <w:t>4 vs 6 (-2)</w:t>
      </w:r>
      <w:r>
        <w:t>. GESHIP, HBLENGINE.</w:t>
      </w:r>
    </w:p>
    <w:p>
      <w:pPr>
        <w:pStyle w:val="ListBullet"/>
      </w:pPr>
      <w:r>
        <w:rPr>
          <w:b/>
        </w:rPr>
        <w:t>MACD Strong</w:t>
      </w:r>
      <w:r>
        <w:t xml:space="preserve">: </w:t>
      </w:r>
      <w:r>
        <w:rPr>
          <w:b/>
        </w:rPr>
        <w:t>3 vs 23 (-20)</w:t>
      </w:r>
      <w:r>
        <w:t xml:space="preserve"> — the sharpest contraction on the board. INDGN, LALPATHLAB. The sustained-momentum cohort has essentially collapsed.</w:t>
      </w:r>
    </w:p>
    <w:p>
      <w:pPr>
        <w:pStyle w:val="ListBullet"/>
      </w:pPr>
      <w:r>
        <w:rPr>
          <w:b/>
        </w:rPr>
        <w:t>Pullback Bounce</w:t>
      </w:r>
      <w:r>
        <w:t xml:space="preserve">: </w:t>
      </w:r>
      <w:r>
        <w:rPr>
          <w:b/>
        </w:rPr>
        <w:t>3 vs 3 (0)</w:t>
      </w:r>
      <w:r>
        <w:t>. MANINFRA, CYIENT, APARINDS.</w:t>
      </w:r>
    </w:p>
    <w:p>
      <w:pPr>
        <w:pStyle w:val="ListBullet"/>
      </w:pPr>
      <w:r>
        <w:rPr>
          <w:b/>
        </w:rPr>
        <w:t>Bull Flag Buy</w:t>
      </w:r>
      <w:r>
        <w:t xml:space="preserve">: </w:t>
      </w:r>
      <w:r>
        <w:rPr>
          <w:b/>
        </w:rPr>
        <w:t>3 vs 4 (-1)</w:t>
      </w:r>
      <w:r>
        <w:t>. GMMPFAUDLR, SYRMA, GRAPHITE.</w:t>
      </w:r>
    </w:p>
    <w:p>
      <w:pPr>
        <w:pStyle w:val="ListBullet"/>
      </w:pPr>
      <w:r>
        <w:rPr>
          <w:b/>
        </w:rPr>
        <w:t>Darvas Box</w:t>
      </w:r>
      <w:r>
        <w:t xml:space="preserve">: </w:t>
      </w:r>
      <w:r>
        <w:rPr>
          <w:b/>
        </w:rPr>
        <w:t>1 vs 3</w:t>
      </w:r>
      <w:r>
        <w:t>. ZYDUSLIFE.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0 vs 2</w:t>
      </w:r>
      <w:r>
        <w:t xml:space="preserve"> — zeroed out this week.</w:t>
      </w:r>
    </w:p>
    <w:p>
      <w:r>
        <w:rPr>
          <w:b/>
        </w:rPr>
        <w:t>Multi-signal cluster callouts (higher-conviction setups):</w:t>
      </w:r>
    </w:p>
    <w:p>
      <w:pPr>
        <w:pStyle w:val="ListBullet"/>
      </w:pPr>
      <w:r>
        <w:rPr>
          <w:b/>
        </w:rPr>
        <w:t>WELSPUNLIV</w:t>
      </w:r>
      <w:r>
        <w:t xml:space="preserve"> — 3 signals (blue_zone_buy, macd_buy, vcp_buy). The standout of the week, also sitting at </w:t>
      </w:r>
      <w:r>
        <w:rPr>
          <w:b/>
        </w:rPr>
        <w:t>RS rank #2</w:t>
      </w:r>
      <w:r>
        <w:t xml:space="preserve"> and firing a 5.0x volume breakout. Textiles sector print was +49% EPS YoY — the stock is pulling fundamentals, technicals, and volume into one picture.</w:t>
      </w:r>
    </w:p>
    <w:p>
      <w:pPr>
        <w:pStyle w:val="ListBullet"/>
      </w:pPr>
      <w:r>
        <w:rPr>
          <w:b/>
        </w:rPr>
        <w:t>RAYMOND</w:t>
      </w:r>
      <w:r>
        <w:t xml:space="preserve"> — blue_zone_buy + vcp_buy.</w:t>
      </w:r>
    </w:p>
    <w:p>
      <w:pPr>
        <w:pStyle w:val="ListBullet"/>
      </w:pPr>
      <w:r>
        <w:rPr>
          <w:b/>
        </w:rPr>
        <w:t>GMMPFAUDLR</w:t>
      </w:r>
      <w:r>
        <w:t xml:space="preserve"> — blue_zone_buy + bull_flag_buy.</w:t>
      </w:r>
    </w:p>
    <w:p>
      <w:pPr>
        <w:pStyle w:val="ListBullet"/>
      </w:pPr>
      <w:r>
        <w:rPr>
          <w:b/>
        </w:rPr>
        <w:t>SOMANYCERA</w:t>
      </w:r>
      <w:r>
        <w:t xml:space="preserve">, </w:t>
      </w:r>
      <w:r>
        <w:rPr>
          <w:b/>
        </w:rPr>
        <w:t>ENGINERSIN</w:t>
      </w:r>
      <w:r>
        <w:t xml:space="preserve">, </w:t>
      </w:r>
      <w:r>
        <w:rPr>
          <w:b/>
        </w:rPr>
        <w:t>CASTROLIND</w:t>
      </w:r>
      <w:r>
        <w:t xml:space="preserve"> — all firing 2+ indicators.</w:t>
      </w:r>
    </w:p>
    <w:p>
      <w:pPr>
        <w:pStyle w:val="ListBullet"/>
      </w:pPr>
      <w:r>
        <w:rPr>
          <w:b/>
        </w:rPr>
        <w:t>DELTACORP, SUNTV</w:t>
      </w:r>
      <w:r>
        <w:t xml:space="preserve"> — both firing golden_cross_buy AND golden_cross_strong (notable given Deltacorp also had the worst EPS miss — the technicals and fundamentals here flatly disagree).</w:t>
      </w:r>
    </w:p>
    <w:p>
      <w:r>
        <w:rPr>
          <w:b/>
        </w:rPr>
        <w:t>Signal mix reading: contracting.</w:t>
      </w:r>
      <w:r>
        <w:t xml:space="preserve"> MACD and Blue Zone — the trend-initiation indicators — are shrinking fast. Only Narrow CPR (coiled setups) and VCP (tightening) are expanding, which suggests the market is pausing to catch its breath, not breaking down into a new leg of selling.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LEMONTREE</w:t>
      </w:r>
      <w:r>
        <w:t xml:space="preserve"> — </w:t>
      </w:r>
      <w:r>
        <w:rPr>
          <w:b/>
        </w:rPr>
        <w:t>13.9x volume breakout</w:t>
      </w:r>
      <w:r>
        <w:t>, consumer services at RS #101. A huge single-day volume event in a struggling sector merits attention.</w:t>
      </w:r>
    </w:p>
    <w:p>
      <w:pPr>
        <w:pStyle w:val="ListBullet"/>
      </w:pPr>
      <w:r>
        <w:rPr>
          <w:b/>
        </w:rPr>
        <w:t>WELSPUN LIVING</w:t>
      </w:r>
      <w:r>
        <w:t xml:space="preserve"> — triple-indicator cluster + 5.0x volume + RS #2 overall. Textiles leadership personified; this is the kind of cross-confirmation that stands out in a down tape.</w:t>
      </w:r>
    </w:p>
    <w:p>
      <w:pPr>
        <w:pStyle w:val="ListBullet"/>
      </w:pPr>
      <w:r>
        <w:rPr>
          <w:b/>
        </w:rPr>
        <w:t>KOTAK BANK</w:t>
      </w:r>
      <w:r>
        <w:t xml:space="preserve"> — </w:t>
      </w:r>
      <w:r>
        <w:rPr>
          <w:b/>
        </w:rPr>
        <w:t>5.8x volume breakout, RS #32, +3.3% 5-day</w:t>
      </w:r>
      <w:r>
        <w:t>. The best-performing large-cap bank this week, outperforming peers who got hit by the FX forward-book losses. Worth tracking as a within-sector winner.</w:t>
      </w:r>
    </w:p>
    <w:p>
      <w:pPr>
        <w:pStyle w:val="ListBullet"/>
      </w:pPr>
      <w:r>
        <w:rPr>
          <w:b/>
        </w:rPr>
        <w:t>BAJAJ-AUTO</w:t>
      </w:r>
      <w:r>
        <w:t xml:space="preserve"> — 7.0x volume breakout but still ranked #463 — a volume spike in a weak-ranked stock usually marks a capitulation or a sector-wide repositioning event.</w:t>
      </w:r>
    </w:p>
    <w:p>
      <w:pPr>
        <w:pStyle w:val="ListBullet"/>
      </w:pPr>
      <w:r>
        <w:rPr>
          <w:b/>
        </w:rPr>
        <w:t>FORTIS + Healthcare cluster</w:t>
      </w:r>
      <w:r>
        <w:t xml:space="preserve"> — Fortis at 4.9x volume on the same week Natco Pharma made the rank-surge list. Two healthcare names moving unusually on the same tape is rarely coincidence; the US specialty-drug tariff exemption is the likely catalyst.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Weekly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14.46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+1.77</w:t>
            </w:r>
            <w:r>
              <w:rPr>
                <w:sz w:val="20"/>
              </w:rPr>
              <w:t xml:space="preserve"> (fear ticked up)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101.18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-3.8%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101.90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+0.69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4,210.30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-2.2%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61.41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-4.1%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MCap/GDP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121.40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-3.50</w:t>
            </w:r>
          </w:p>
        </w:tc>
      </w:tr>
    </w:tbl>
    <w:p/>
    <w:p>
      <w:r>
        <w:t xml:space="preserve">Brent fell on the week overall but spiked above $106 mid-week on US-Iran tensions, which drove Monday-Tuesday's selling. DXY firmed (+0.69), putting pressure on the rupee — RBI's </w:t>
      </w:r>
      <w:r>
        <w:rPr>
          <w:b/>
        </w:rPr>
        <w:t>$200 billion FX forward book</w:t>
      </w:r>
      <w:r>
        <w:t xml:space="preserve"> is the backstop here, but the position curbs it imposed cost banks ~$500m. Gold and silver both softened, which argues against a pure safe-haven bid globally.</w:t>
      </w:r>
    </w:p>
    <w:p>
      <w:r>
        <w:rPr>
          <w:b/>
        </w:rPr>
        <w:t>Domestic policy — the real drivers:</w:t>
      </w:r>
    </w:p>
    <w:p>
      <w:pPr>
        <w:pStyle w:val="ListBullet"/>
      </w:pPr>
      <w:r>
        <w:rPr>
          <w:b/>
        </w:rPr>
        <w:t>RBI's hawkish pivot</w:t>
      </w:r>
      <w:r>
        <w:t xml:space="preserve"> (BofA: 100 bps hikes through H1 2027) is the single most important news item of the week. Rate-sensitives (banking, autos, FMCG, realty) all took hits.</w:t>
      </w:r>
    </w:p>
    <w:p>
      <w:pPr>
        <w:pStyle w:val="ListBullet"/>
      </w:pPr>
      <w:r>
        <w:rPr>
          <w:b/>
        </w:rPr>
        <w:t>FEMA export-import rule amendments now in effect</w:t>
      </w:r>
      <w:r>
        <w:t xml:space="preserve"> — mixed read for IT/Pharma.</w:t>
      </w:r>
    </w:p>
    <w:p>
      <w:pPr>
        <w:pStyle w:val="ListBullet"/>
      </w:pPr>
      <w:r>
        <w:rPr>
          <w:b/>
        </w:rPr>
        <w:t>US specialty-drug tariff exemption</w:t>
      </w:r>
      <w:r>
        <w:t xml:space="preserve"> — bullish for pharma exporters, though healthcare still flipped to Weakening on relative basis.</w:t>
      </w:r>
    </w:p>
    <w:p>
      <w:pPr>
        <w:pStyle w:val="ListBullet"/>
      </w:pPr>
      <w:r>
        <w:rPr>
          <w:b/>
        </w:rPr>
        <w:t>Excise duty cut of ₹10/litre on petrol/diesel</w:t>
      </w:r>
      <w:r>
        <w:t xml:space="preserve"> — fiscal easing on consumer side, mixed for oil refiners (HPCL's -398% EPS already tells that story).</w:t>
      </w:r>
    </w:p>
    <w:p>
      <w:pPr>
        <w:pStyle w:val="ListBullet"/>
      </w:pPr>
      <w:r>
        <w:rPr>
          <w:b/>
        </w:rPr>
        <w:t>Edible oil import duty cut</w:t>
      </w:r>
      <w:r>
        <w:t xml:space="preserve"> continues from prior week — supports FMCG margins, but FMCG was still the second-worst sector.</w:t>
      </w:r>
    </w:p>
    <w:p>
      <w:pPr>
        <w:pStyle w:val="ListBullet"/>
      </w:pPr>
      <w:r>
        <w:rPr>
          <w:b/>
        </w:rPr>
        <w:t>Supreme Court declining to stay October 15 UPI MDR rollout</w:t>
      </w:r>
      <w:r>
        <w:t xml:space="preserve"> — bearish for fintech and digital payment plays.</w:t>
      </w:r>
    </w:p>
    <w:p>
      <w:pPr>
        <w:pStyle w:val="ListBullet"/>
      </w:pPr>
      <w:r>
        <w:rPr>
          <w:b/>
        </w:rPr>
        <w:t>India-EU FTA finalisation moving forward</w:t>
      </w:r>
      <w:r>
        <w:t xml:space="preserve"> (upcoming) — a potential tailwind for export sectors.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Levels on Nifty</w:t>
      </w:r>
      <w:r>
        <w:t xml:space="preserve">: The index is now 791 points below its 20-day EMA (23,212). A reclaim of 22,800 would be the first sign of stabilisation; a break of </w:t>
      </w:r>
      <w:r>
        <w:rPr>
          <w:b/>
        </w:rPr>
        <w:t>Thursday's 22,421 close</w:t>
      </w:r>
      <w:r>
        <w:t xml:space="preserve"> opens the door to a test of lower levels. All three EMAs now sit as overhead resistance.</w:t>
      </w:r>
    </w:p>
    <w:p>
      <w:pPr>
        <w:pStyle w:val="ListBullet"/>
      </w:pPr>
      <w:r>
        <w:rPr>
          <w:b/>
        </w:rPr>
        <w:t>India-EU FTA finalisation</w:t>
      </w:r>
      <w:r>
        <w:t xml:space="preserve"> — the only clearly upcoming event flagged in the digest, with export-oriented sectors (Pharma, IT, Auto, Textiles) as the beneficiaries.</w:t>
      </w:r>
    </w:p>
    <w:p>
      <w:pPr>
        <w:pStyle w:val="ListBullet"/>
      </w:pPr>
      <w:r>
        <w:rPr>
          <w:b/>
        </w:rPr>
        <w:t>UPI MDR rollout on October 15</w:t>
      </w:r>
      <w:r>
        <w:t xml:space="preserve"> — the Supreme Court didn't grant a stay, so this is now a confirmed date. Watch fintech and payment-processor names into and through implementation.</w:t>
      </w:r>
    </w:p>
    <w:p>
      <w:pPr>
        <w:pStyle w:val="ListBullet"/>
      </w:pPr>
      <w:r>
        <w:rPr>
          <w:b/>
        </w:rPr>
        <w:t>Continuation themes to monitor</w:t>
      </w:r>
      <w:r>
        <w:t>: whether aviation holds its newly-earned Leading status; whether the metals and realty quadrant flips translate into actual price follow-through; and whether the Narrow CPR cohort (38 coiled-spring setups) resolves up or down — that's often the first tell on which direction a tired tape chooses.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trend has broken, but earnings fundamentals remain strong.</w:t>
      </w:r>
      <w:r>
        <w:t xml:space="preserve"> Nifty is below all three EMAs with breadth at 33% — but Jun 2026 earnings show every single sector growing double-digit EPS YoY. The disconnect is pure rates-and-macro: BofA's 100 bps forecast is doing more damage than any corporate print. Watch whether the earnings backdrop reasserts itself once the RBI narrative settles.</w:t>
      </w:r>
    </w:p>
    <w:p>
      <w:pPr>
        <w:pStyle w:val="ListNumber"/>
      </w:pPr>
      <w:r>
        <w:rPr>
          <w:b/>
        </w:rPr>
        <w:t>Aviation and selective textiles are the only pockets of real strength.</w:t>
      </w:r>
      <w:r>
        <w:t xml:space="preserve"> Aviation flipped to Leading on the Brent drop; Welspun Living's triple-signal, 5x-volume breakout at RS #2 is the single most information-rich stock-level event of the week. Both setups need confirmation — a one-week leadership flip in a bad tape is a hypothesis, not a thesis.</w:t>
      </w:r>
    </w:p>
    <w:p>
      <w:pPr>
        <w:pStyle w:val="ListNumber"/>
      </w:pPr>
      <w:r>
        <w:rPr>
          <w:b/>
        </w:rPr>
        <w:t>The signal mix says pause, not break.</w:t>
      </w:r>
      <w:r>
        <w:t xml:space="preserve"> MACD and Blue Zone contracting + Narrow CPR and VCP expanding = coiled consolidation, not capitulation. If the coiled cohort resolves higher next week, this week was a shakeout. If it resolves lower, the 200-day EMA at 24,125 becomes a much more distant target. Honest caveat: with VIX at just 14.46, the market isn't actually panicking yet — which can mean either the worst is over or we haven't seen the real selling. We don't know which, and anyone claiming otherwise is guessing.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