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2026-10-03</w:t>
      </w:r>
    </w:p>
    <w:p>
      <w:pPr>
        <w:pStyle w:val="Heading2"/>
      </w:pPr>
      <w:r>
        <w:t>The Week in One Line</w:t>
      </w:r>
    </w:p>
    <w:p>
      <w:r>
        <w:t xml:space="preserve">Nifty slid </w:t>
      </w:r>
      <w:r>
        <w:rPr>
          <w:b/>
        </w:rPr>
        <w:t>-3.1%</w:t>
      </w:r>
      <w:r>
        <w:t xml:space="preserve"> to 22,422 as surging crude, hawkish RBI signals, and broad selling dragged every major sector lower.</w:t>
      </w:r>
    </w:p>
    <w:p>
      <w:pPr>
        <w:pStyle w:val="Heading2"/>
      </w:pPr>
      <w:r>
        <w:t>What's Working</w:t>
      </w:r>
    </w:p>
    <w:p>
      <w:r>
        <w:t>Nothing really "worked" this week — every top sector still lost ground, just less than the rest.</w:t>
      </w:r>
    </w:p>
    <w:p>
      <w:pPr>
        <w:pStyle w:val="ListBullet"/>
      </w:pPr>
      <w:r>
        <w:rPr>
          <w:b/>
        </w:rPr>
        <w:t>Aviation (+0.8%)</w:t>
      </w:r>
      <w:r>
        <w:t>: The only green sector. Falling jet-fuel worries eased after Brent cooled late in the week, and the sector flipped into the "Leading" quadrant on our relative-strength map (a measure of which sectors are outperforming the broad index).</w:t>
      </w:r>
    </w:p>
    <w:p>
      <w:pPr>
        <w:pStyle w:val="ListBullet"/>
      </w:pPr>
      <w:r>
        <w:rPr>
          <w:b/>
        </w:rPr>
        <w:t>Consumer Services (-1.5%)</w:t>
      </w:r>
      <w:r>
        <w:t xml:space="preserve">: Held up better than peers. Hotel bookings into the festive season kept names like Lemon Tree active (its trading volume was nearly </w:t>
      </w:r>
      <w:r>
        <w:rPr>
          <w:b/>
        </w:rPr>
        <w:t>14x</w:t>
      </w:r>
      <w:r>
        <w:t xml:space="preserve"> its normal daily average).</w:t>
      </w:r>
    </w:p>
    <w:p>
      <w:pPr>
        <w:pStyle w:val="ListBullet"/>
      </w:pPr>
      <w:r>
        <w:rPr>
          <w:b/>
        </w:rPr>
        <w:t>Industrial (-2.3%)</w:t>
      </w:r>
      <w:r>
        <w:t>: Capex-driven order books cushioned the fall, even as broader risk appetite shrank.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Agriculture (-5.8%)</w:t>
      </w:r>
      <w:r>
        <w:t xml:space="preserve">: Hit hardest. A weak monsoon narrative plus the government's </w:t>
      </w:r>
      <w:r>
        <w:rPr>
          <w:b/>
        </w:rPr>
        <w:t>edible-oil import duty cut</w:t>
      </w:r>
      <w:r>
        <w:t xml:space="preserve"> (meant to tame festive-season food inflation) squeezed domestic growers' pricing power.</w:t>
      </w:r>
    </w:p>
    <w:p>
      <w:pPr>
        <w:pStyle w:val="ListBullet"/>
      </w:pPr>
      <w:r>
        <w:rPr>
          <w:b/>
        </w:rPr>
        <w:t>Automobile (-5.0%)</w:t>
      </w:r>
      <w:r>
        <w:t xml:space="preserve">: Maruti and M&amp;M both fell ~5% as high crude threatens fuel costs and demand. Bajaj Auto saw a </w:t>
      </w:r>
      <w:r>
        <w:rPr>
          <w:b/>
        </w:rPr>
        <w:t>7x volume spike</w:t>
      </w:r>
      <w:r>
        <w:t xml:space="preserve"> — usually a sign of heavy institutional selling.</w:t>
      </w:r>
    </w:p>
    <w:p>
      <w:pPr>
        <w:pStyle w:val="ListBullet"/>
      </w:pPr>
      <w:r>
        <w:rPr>
          <w:b/>
        </w:rPr>
        <w:t>Metals (-4.9%)</w:t>
      </w:r>
      <w:r>
        <w:t>: A stronger US Dollar (the DXY rose) typically hurts commodity prices globally, and metals followed suit.</w:t>
      </w:r>
    </w:p>
    <w:p>
      <w:r>
        <w:t xml:space="preserve">Honourable mention: </w:t>
      </w:r>
      <w:r>
        <w:rPr>
          <w:b/>
        </w:rPr>
        <w:t>FMCG (-4.6%)</w:t>
      </w:r>
      <w:r>
        <w:t xml:space="preserve"> and </w:t>
      </w:r>
      <w:r>
        <w:rPr>
          <w:b/>
        </w:rPr>
        <w:t>Cement (-4.7%)</w:t>
      </w:r>
      <w:r>
        <w:t xml:space="preserve"> — both heavyweights ITC and HUL fell 4-5% as consumer-demand worries deepened.</w:t>
      </w:r>
    </w:p>
    <w:p>
      <w:pPr>
        <w:pStyle w:val="Heading2"/>
      </w:pPr>
      <w:r>
        <w:t>Notable Events</w:t>
      </w:r>
    </w:p>
    <w:p>
      <w:r>
        <w:rPr>
          <w:b/>
        </w:rPr>
        <w:t>RBI turns more hawkish.</w:t>
      </w:r>
      <w:r>
        <w:t xml:space="preserve"> Bank of America now expects the RBI to raise its policy rate by a full </w:t>
      </w:r>
      <w:r>
        <w:rPr>
          <w:b/>
        </w:rPr>
        <w:t>1 percentage point</w:t>
      </w:r>
      <w:r>
        <w:t xml:space="preserve"> through mid-2027. Rate hikes make borrowing costlier, which pressures banks, housing, and auto loans. Add in </w:t>
      </w:r>
      <w:r>
        <w:rPr>
          <w:b/>
        </w:rPr>
        <w:t>$500 million of FX losses</w:t>
      </w:r>
      <w:r>
        <w:t xml:space="preserve"> that Indian banks took after new RBI rules on forward currency contracts, and you have a rough week for financials — the sector that usually leads any rally.</w:t>
      </w:r>
    </w:p>
    <w:p>
      <w:r>
        <w:rPr>
          <w:b/>
        </w:rPr>
        <w:t>Crude oil shock.</w:t>
      </w:r>
      <w:r>
        <w:t xml:space="preserve"> Brent spiked above $106/barrel earlier in the week on US-Iran tensions before settling at </w:t>
      </w:r>
      <w:r>
        <w:rPr>
          <w:b/>
        </w:rPr>
        <w:t>$101</w:t>
      </w:r>
      <w:r>
        <w:t xml:space="preserve">. India imports ~85% of its oil, so expensive crude widens the trade deficit, weakens the rupee, and squeezes margins at paint, tyre, airline, and FMCG companies. The government responded by </w:t>
      </w:r>
      <w:r>
        <w:rPr>
          <w:b/>
        </w:rPr>
        <w:t>cutting excise duty on petrol and diesel by ₹10/litre</w:t>
      </w:r>
      <w:r>
        <w:t xml:space="preserve"> — a direct fiscal cushion for consumers, but one that costs the exchequer revenue.</w:t>
      </w:r>
    </w:p>
    <w:p>
      <w:r>
        <w:rPr>
          <w:b/>
        </w:rPr>
        <w:t>US tariff reprieve for Pharma.</w:t>
      </w:r>
      <w:r>
        <w:t xml:space="preserve"> The US exempted India from its new 100% tariff on select specialty drugs. A clear positive for pharma exporters — look for this to show up in next week's healthcare performance.</w:t>
      </w:r>
    </w:p>
    <w:p>
      <w:pPr>
        <w:pStyle w:val="Heading2"/>
      </w:pPr>
      <w:r>
        <w:t>Charts to Know</w:t>
      </w:r>
    </w:p>
    <w:p>
      <w:r>
        <w:rPr>
          <w:b/>
        </w:rPr>
        <w:t>The breadth picture is ugly.</w:t>
      </w:r>
      <w:r>
        <w:t xml:space="preserve"> "Breadth" simply means how many stocks are participating. On Monday, </w:t>
      </w:r>
      <w:r>
        <w:rPr>
          <w:b/>
        </w:rPr>
        <w:t>510 stocks fell versus only 72 that rose</w:t>
      </w:r>
      <w:r>
        <w:t xml:space="preserve"> — that's not a correction in a few names, that's broad selling. By Thursday, only </w:t>
      </w:r>
      <w:r>
        <w:rPr>
          <w:b/>
        </w:rPr>
        <w:t>33% of stocks</w:t>
      </w:r>
      <w:r>
        <w:t xml:space="preserve"> were trading above their 200-day average price trend (down from 46% a week earlier). Translation: most stocks have broken down below their long-term uptrend.</w:t>
      </w:r>
    </w:p>
    <w:p>
      <w:r>
        <w:rPr>
          <w:b/>
        </w:rPr>
        <w:t>New 52-week lows are climbing.</w:t>
      </w:r>
      <w:r>
        <w:t xml:space="preserve"> The number of stocks hitting fresh one-year lows went from </w:t>
      </w:r>
      <w:r>
        <w:rPr>
          <w:b/>
        </w:rPr>
        <w:t>8 on Sep 23 to 79 on Oct 1</w:t>
      </w:r>
      <w:r>
        <w:t>. A rising count of new lows is a classic warning sign that selling pressure is spreading, not fading.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Earnings:</w:t>
      </w:r>
      <w:r>
        <w:t xml:space="preserve"> The Jun-quarter season is winding down — Sep-quarter results begin trickling in later this month. </w:t>
      </w:r>
      <w:r>
        <w:rPr>
          <w:b/>
        </w:rPr>
        <w:t>TCS, Infosys, and HCL Tech</w:t>
      </w:r>
      <w:r>
        <w:t xml:space="preserve"> typically kick off the IT season; their commentary on US client demand will be key.</w:t>
      </w:r>
    </w:p>
    <w:p>
      <w:pPr>
        <w:pStyle w:val="ListBullet"/>
      </w:pPr>
      <w:r>
        <w:rPr>
          <w:b/>
        </w:rPr>
        <w:t>Macro:</w:t>
      </w:r>
      <w:r>
        <w:t xml:space="preserve"> Watch </w:t>
      </w:r>
      <w:r>
        <w:rPr>
          <w:b/>
        </w:rPr>
        <w:t>crude oil</w:t>
      </w:r>
      <w:r>
        <w:t xml:space="preserve"> (any move back above $105 hurts), the </w:t>
      </w:r>
      <w:r>
        <w:rPr>
          <w:b/>
        </w:rPr>
        <w:t>rupee vs dollar</w:t>
      </w:r>
      <w:r>
        <w:t xml:space="preserve">, and the </w:t>
      </w:r>
      <w:r>
        <w:rPr>
          <w:b/>
        </w:rPr>
        <w:t>UPI MDR rollout on October 15</w:t>
      </w:r>
      <w:r>
        <w:t xml:space="preserve"> — this introduces merchant fees on UPI payments above ₹2,000 and could affect fintech names.</w:t>
      </w:r>
    </w:p>
    <w:p>
      <w:pPr>
        <w:pStyle w:val="ListBullet"/>
      </w:pPr>
      <w:r>
        <w:rPr>
          <w:b/>
        </w:rPr>
        <w:t>Nifty levels:</w:t>
      </w:r>
      <w:r>
        <w:t xml:space="preserve"> The index is now </w:t>
      </w:r>
      <w:r>
        <w:rPr>
          <w:b/>
        </w:rPr>
        <w:t>3.4% below its 20-day moving average</w:t>
      </w:r>
      <w:r>
        <w:t xml:space="preserve"> (a short-term trend line) and </w:t>
      </w:r>
      <w:r>
        <w:rPr>
          <w:b/>
        </w:rPr>
        <w:t>7.1% below its 200-day average</w:t>
      </w:r>
      <w:r>
        <w:t xml:space="preserve"> (the long-term trend). First support zone is around </w:t>
      </w:r>
      <w:r>
        <w:rPr>
          <w:b/>
        </w:rPr>
        <w:t>22,200</w:t>
      </w:r>
      <w:r>
        <w:t xml:space="preserve">; a bounce needs to reclaim </w:t>
      </w:r>
      <w:r>
        <w:rPr>
          <w:b/>
        </w:rPr>
        <w:t>23,200</w:t>
      </w:r>
      <w:r>
        <w:t xml:space="preserve"> to repair the damage. Until then, treat rallies with caution.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