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864"/>
          <w:sz w:val="48"/>
        </w:rPr>
        <w:t>Cargo Trucks, Hotel Rooms, and an Oil Spike Nobody Panicked About</w:t>
      </w:r>
    </w:p>
    <w:p>
      <w:r>
        <w:rPr>
          <w:i/>
        </w:rPr>
        <w:t>Issue — Friday, 2026-09-04. A weekly read built on ranking ~1,900 US stocks by relative strength every day.</w:t>
      </w:r>
    </w:p>
    <w:p>
      <w:r>
        <w:t>Brent crude jumped almost 8% on the week as fighting flared between the US and Iran, the kind of headline that usually drags the whole tape down with it. This time the S&amp;P closed at 7,718.6, up a whisker (+0.1%) and sitting just 1.0% under its August 13 high. The fear gauges never woke up. Underneath that quiet surface, the board did plenty of moving — money left expensive software and crowded into truckers, utilities, hotels, apparel and auto parts.</w:t>
      </w:r>
    </w:p>
    <w:p>
      <w:pPr>
        <w:spacing w:before="240" w:after="80"/>
      </w:pPr>
      <w:r>
        <w:rPr>
          <w:b/>
          <w:color w:val="1F3864"/>
          <w:sz w:val="30"/>
        </w:rPr>
        <w:t>1. The oil scare that stayed in its lane</w:t>
      </w:r>
    </w:p>
    <w:p>
      <w:r>
        <w:t>The lead story of the week came from the Middle East. US–Iran fighting renewed supply-disruption fears, and Brent ran +7.8% over the week to 96.28. That's a real move, and it showed up on our board: energy names climbed hard, with APA at #15 and Antero at #16 among the strongest, and Archrock vaulting 1,693 spots into the top 200.</w:t>
      </w:r>
    </w:p>
    <w:p>
      <w:r>
        <w:t>What separates a scare from a crisis is whether the fear bleeds into anything else. It didn't. The VIX sat at 14.52, asleep. Gold, the oldest panic asset, went nowhere (-0.0% on the week). Junk bonds barely twitched (HYG -0.2%). The dollar, which bids up when money runs for cover, actually softened (-0.5%). Four separate fear channels, four shrugs.</w:t>
      </w:r>
    </w:p>
    <w:p>
      <w:r>
        <w:t>So the read is simple: an oil-supply story, contained to oil, not a broad risk-off. If gold had ripped and junk had cracked alongside crude, I'd be writing a very different issue. For now the spike is a tax on drivers and airlines and a tailwind for energy producers. Watch it, because a contained fire can jump the line, but don't confuse one loud gauge for five.</w:t>
      </w:r>
    </w:p>
    <w:p>
      <w:pPr>
        <w:spacing w:before="240" w:after="80"/>
      </w:pPr>
      <w:r>
        <w:rPr>
          <w:b/>
          <w:color w:val="1F3864"/>
          <w:sz w:val="30"/>
        </w:rPr>
        <w:t>2. Grading our June calls</w:t>
      </w:r>
    </w:p>
    <w:p>
      <w:r>
        <w:t>Three predictions from late June finally come due, and they've been sitting open longer than they should have. Let me settle them honestly.</w:t>
      </w:r>
    </w:p>
    <w:p>
      <w:r>
        <w:rPr>
          <w:b/>
        </w:rPr>
        <w:t>Health-care/biotech wave holds its rank gains — B.</w:t>
      </w:r>
      <w:r>
        <w:t xml:space="preserve"> The rotation didn't just hold, it broadened. Biotech and pharma now pepper the top of the board: Amgen at #7, argenx at #14, AbCellera at #9, AtriCure at #3, Avantor at #6, plus a wave of health-care names among the biggest weekly climbers (AdaptHealth +1,751 spots, Ardelyx +1,736, Alignment Healthcare +1,646). The theme earned its keep. I can't verify the exact June names from current inputs, so I won't claim a clean sweep.</w:t>
      </w:r>
    </w:p>
    <w:p>
      <w:r>
        <w:rPr>
          <w:b/>
        </w:rPr>
        <w:t>Semis stay in the lower half, no top-20 peer rank — A-.</w:t>
      </w:r>
      <w:r>
        <w:t xml:space="preserve"> Right call. The chip complex still sits mid-pack at best: Broadcom #160, Applied Materials #175, ASML #125, AMD #112. Our AI theme's chip-equipment link is running a 22/100 momentum score. The chip trade kept consolidating, as flagged.</w:t>
      </w:r>
    </w:p>
    <w:p>
      <w:r>
        <w:rPr>
          <w:b/>
        </w:rPr>
        <w:t>Regime stays healthy: VIX under 20, breadth above 60% — B+.</w:t>
      </w:r>
      <w:r>
        <w:t xml:space="preserve"> Both held, though breadth held by its fingernails. VIX 14.52, and 60.71% of stocks above their 200-day — over the line, but barely.</w:t>
      </w:r>
    </w:p>
    <w:p>
      <w:pPr>
        <w:spacing w:before="240" w:after="80"/>
      </w:pPr>
      <w:r>
        <w:rPr>
          <w:b/>
          <w:color w:val="1F3864"/>
          <w:sz w:val="30"/>
        </w:rPr>
        <w:t>3. The rotation the flat index is hiding</w:t>
      </w:r>
    </w:p>
    <w:p>
      <w:r>
        <w:t>The S&amp;P was flat. The board was anything but. Five sector moves stood out, and every one points the same direction: away from crowded growth, toward cyclicals and cash-flow.</w:t>
      </w:r>
    </w:p>
    <w:p>
      <w:r>
        <w:t>Cargo Ground Transportation surged from #130 to #34. Utilities went #119 to #27 and into RRG "Leading." Apparel Retail jumped #90 to #10. Auto Parts climbed #115 to #37. Hotels, Resorts &amp; Cruise Lines rocketed #85 to #8. Truckers, power companies, jeans, brake pads, cruise ships. Not one AI chip in the group.</w:t>
      </w:r>
    </w:p>
    <w:p>
      <w:r>
        <w:t>This is a market rotating toward the real economy and toward steadier earnings, not chasing the next model release. Abercrombie sits at #4 on the strength board, Airbnb at #18. The utilities move needs a caveat, though: PG&amp;E took five separate downgrades this week (Truist, BofA, Wells Fargo, Mizuho, BMO all stepped down a notch), so the sector's rank surge is being led by the group, not by its most-covered name. When the Street is trimming a utility while the sector rank leaps, lean on the breadth rather than the single stock.</w:t>
      </w:r>
    </w:p>
    <w:p>
      <w:r>
        <w:t>The climbers list backs the story: 7 of the top 25 weekly climbers were Information Technology, 6 Industrials, 4 Financials. But the IT names climbing are small and mid-cap (Adtran, ATEN, Arrow Electronics-type names), not the megacaps. This is a rotation into the parts of the market that had been left for dead, off a very low base.</w:t>
      </w:r>
    </w:p>
    <w:p>
      <w:pPr>
        <w:spacing w:before="240" w:after="80"/>
      </w:pPr>
      <w:r>
        <w:rPr>
          <w:b/>
          <w:color w:val="1F3864"/>
          <w:sz w:val="30"/>
        </w:rPr>
        <w:t>4. Rates leaned on the growth names</w:t>
      </w:r>
    </w:p>
    <w:p>
      <w:r>
        <w:t>Yields backed up this week, and it shows in what got sold. The 10-year rose 10bp to 4.77% and the 2-year rose 14bp to 4.34%, leaving the 2s10s spread at a positive 43bp. When the cost of money climbs, the stocks that hurt most are the expensive, promise-heavy ones whose payoff sits years out — long-duration growth.</w:t>
      </w:r>
    </w:p>
    <w:p>
      <w:r>
        <w:t>Look at the price damage on names that still rank well but got hit this week: Autodesk -16.4%, Axon -14.2%, Adobe -8.6%, Appian -9.7%, AppFolio -8.6%. These are top-of-the-board software names bleeding on price even as their rank holds. That's the two-clock warning in miniature. Rank is a slower clock than price, and when a leader starts losing price while rates rise, the rank often follows.</w:t>
      </w:r>
    </w:p>
    <w:p>
      <w:r>
        <w:t>Overseas told a matching story. Korea's KOSPI fell 1.5% on the week, the memory-chip complex (Samsung, SK Hynix) staying soft — a live read on Micron and US memory that lines up with our own board keeping chips mid-pack. Japan's Nikkei dropped 2.1% while the yen strengthened (USD/JPY -1.9% to 156.2), a mild whiff of carry-trade unwind that usually precedes US risk-off if it accelerates. It hasn't yet. Taiwan actually rose 0.5% and copper gained 1.8%, so the global-growth picture isn't breaking. It's just choppy under an oil headline.</w:t>
      </w:r>
    </w:p>
    <w:p>
      <w:pPr>
        <w:spacing w:before="240" w:after="80"/>
      </w:pPr>
      <w:r>
        <w:rPr>
          <w:b/>
          <w:color w:val="1F3864"/>
          <w:sz w:val="30"/>
        </w:rPr>
        <w:t>5. Theme of the Week: the AI value chain, and where the money actually sits</w:t>
      </w:r>
    </w:p>
    <w:p>
      <w:r>
        <w:t>Think of the AI build-out as a river running from raw materials up to the software you actually use. At the source: the specialty chemicals, gases and materials that make a chip possible. Downstream, the tools that etch the chips, the chips themselves, the memory that feeds them, the networking gear that lashes them together, the power and cooling that keep them alive, and finally the clouds and apps that rent it all out.</w:t>
      </w:r>
    </w:p>
    <w:p>
      <w:r>
        <w:t xml:space="preserve">Money flows to the chokepoint, the link everyone needs and few can supply, and cost flows away from it. Right now the whole river is running cooler: our AI theme's median momentum slipped to 37 from 40 a week ago. The interesting part is </w:t>
      </w:r>
      <w:r>
        <w:rPr>
          <w:i/>
        </w:rPr>
        <w:t>where</w:t>
      </w:r>
      <w:r>
        <w:t xml:space="preserve"> the money is pooling inside the chain.</w:t>
      </w:r>
    </w:p>
    <w:p>
      <w:r>
        <w:t>The hottest link isn't the glamorous one. It's Materials — the chemicals-and-gases layer (APD, Linde, DuPont, Entegris, MKS) — running a 64/100 node score, far ahead of everything downstream. Chip Equipment is at 22, AI Chips at 34, Design &amp; IP at 34. In plain terms, the market is paying up for the shovels' raw metal while cooling on the shovels and the diggers. That happens when investors want AI exposure but don't trust the near-term chip cycle, so they retreat one step upstream to the suppliers who get paid no matter which chipmaker wins.</w:t>
      </w:r>
    </w:p>
    <w:p>
      <w:r>
        <w:t>Two names to know from the chain, as education, not a nudge:</w:t>
      </w:r>
    </w:p>
    <w:p>
      <w:pPr>
        <w:pStyle w:val="ListBullet"/>
      </w:pPr>
      <w:r>
        <w:t>Networking's Arista Networks (ANET) carries the strongest single momentum in the theme at 68/100 and ranks #54 on our board — the healthiest link above the materials layer.</w:t>
      </w:r>
    </w:p>
    <w:p>
      <w:pPr>
        <w:pStyle w:val="ListBullet"/>
      </w:pPr>
      <w:r>
        <w:t>On a pure cheapness screen (again, a screen, not advice), Supermicro (SMCI) shows a price-to-sales of 0.5 against 123% year-over-year revenue growth. That combination is rare, and it usually means the market is pricing in either a blow-up or a collapse in margins. Do the homework before you decide which.</w:t>
      </w:r>
    </w:p>
    <w:p>
      <w:r>
        <w:t>One footnote worth its own line: Broadcom reported this week, and despite what the headlines called a 221% surge in AI revenue, the stock fell 3% on the week as guidance underwhelmed. Macquarie still upgraded it (Neutral to Outperform). A monster growth number that the stock sells anyway — that's the AI chip cycle in a sentence right now.</w:t>
      </w:r>
    </w:p>
    <w:p>
      <w:pPr>
        <w:spacing w:before="240" w:after="80"/>
      </w:pPr>
      <w:r>
        <w:rPr>
          <w:b/>
          <w:color w:val="1F3864"/>
          <w:sz w:val="30"/>
        </w:rPr>
        <w:t>6. Where the money is going</w:t>
      </w:r>
    </w:p>
    <w:p>
      <w:r>
        <w:t>The strongest names on the board, top ten in order:</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fill="1F3864"/>
          </w:tcPr>
          <w:p>
            <w:r>
              <w:rPr>
                <w:b/>
                <w:color w:val="FFFFFF"/>
                <w:sz w:val="19"/>
              </w:rPr>
              <w:t>#</w:t>
            </w:r>
          </w:p>
        </w:tc>
        <w:tc>
          <w:tcPr>
            <w:tcW w:type="dxa" w:w="1930"/>
            <w:shd w:val="clear" w:fill="1F3864"/>
          </w:tcPr>
          <w:p>
            <w:r>
              <w:rPr>
                <w:b/>
                <w:color w:val="FFFFFF"/>
                <w:sz w:val="19"/>
              </w:rPr>
              <w:t>Ticker</w:t>
            </w:r>
          </w:p>
        </w:tc>
        <w:tc>
          <w:tcPr>
            <w:tcW w:type="dxa" w:w="1930"/>
            <w:shd w:val="clear" w:fill="1F3864"/>
          </w:tcPr>
          <w:p>
            <w:r>
              <w:rPr>
                <w:b/>
                <w:color w:val="FFFFFF"/>
                <w:sz w:val="19"/>
              </w:rPr>
              <w:t>Company</w:t>
            </w:r>
          </w:p>
        </w:tc>
        <w:tc>
          <w:tcPr>
            <w:tcW w:type="dxa" w:w="1930"/>
            <w:shd w:val="clear" w:fill="1F3864"/>
          </w:tcPr>
          <w:p>
            <w:r>
              <w:rPr>
                <w:b/>
                <w:color w:val="FFFFFF"/>
                <w:sz w:val="19"/>
              </w:rPr>
              <w:t>Industry</w:t>
            </w:r>
          </w:p>
        </w:tc>
        <w:tc>
          <w:tcPr>
            <w:tcW w:type="dxa" w:w="1930"/>
            <w:shd w:val="clear" w:fill="1F3864"/>
          </w:tcPr>
          <w:p>
            <w:r>
              <w:rPr>
                <w:b/>
                <w:color w:val="FFFFFF"/>
                <w:sz w:val="19"/>
              </w:rPr>
              <w:t>Wk %</w:t>
            </w:r>
          </w:p>
        </w:tc>
      </w:tr>
      <w:tr>
        <w:tc>
          <w:tcPr>
            <w:tcW w:type="dxa" w:w="1930"/>
          </w:tcPr>
          <w:p>
            <w:r>
              <w:rPr>
                <w:sz w:val="19"/>
              </w:rPr>
              <w:t>1</w:t>
            </w:r>
          </w:p>
        </w:tc>
        <w:tc>
          <w:tcPr>
            <w:tcW w:type="dxa" w:w="1930"/>
          </w:tcPr>
          <w:p>
            <w:r>
              <w:rPr>
                <w:sz w:val="19"/>
              </w:rPr>
              <w:t>ASST</w:t>
            </w:r>
          </w:p>
        </w:tc>
        <w:tc>
          <w:tcPr>
            <w:tcW w:type="dxa" w:w="1930"/>
          </w:tcPr>
          <w:p>
            <w:r>
              <w:rPr>
                <w:sz w:val="19"/>
              </w:rPr>
              <w:t>Strive, Inc.</w:t>
            </w:r>
          </w:p>
        </w:tc>
        <w:tc>
          <w:tcPr>
            <w:tcW w:type="dxa" w:w="1930"/>
          </w:tcPr>
          <w:p>
            <w:r>
              <w:rPr>
                <w:sz w:val="19"/>
              </w:rPr>
              <w:t>Asset Management</w:t>
            </w:r>
          </w:p>
        </w:tc>
        <w:tc>
          <w:tcPr>
            <w:tcW w:type="dxa" w:w="1930"/>
          </w:tcPr>
          <w:p>
            <w:r>
              <w:rPr>
                <w:sz w:val="19"/>
              </w:rPr>
              <w:t>+24.8%</w:t>
            </w:r>
          </w:p>
        </w:tc>
      </w:tr>
      <w:tr>
        <w:tc>
          <w:tcPr>
            <w:tcW w:type="dxa" w:w="1930"/>
            <w:shd w:val="clear" w:fill="EEF1F7"/>
          </w:tcPr>
          <w:p>
            <w:r>
              <w:rPr>
                <w:sz w:val="19"/>
              </w:rPr>
              <w:t>2</w:t>
            </w:r>
          </w:p>
        </w:tc>
        <w:tc>
          <w:tcPr>
            <w:tcW w:type="dxa" w:w="1930"/>
            <w:shd w:val="clear" w:fill="EEF1F7"/>
          </w:tcPr>
          <w:p>
            <w:r>
              <w:rPr>
                <w:sz w:val="19"/>
              </w:rPr>
              <w:t>AMR</w:t>
            </w:r>
          </w:p>
        </w:tc>
        <w:tc>
          <w:tcPr>
            <w:tcW w:type="dxa" w:w="1930"/>
            <w:shd w:val="clear" w:fill="EEF1F7"/>
          </w:tcPr>
          <w:p>
            <w:r>
              <w:rPr>
                <w:sz w:val="19"/>
              </w:rPr>
              <w:t>Alpha Metallurgical Resources</w:t>
            </w:r>
          </w:p>
        </w:tc>
        <w:tc>
          <w:tcPr>
            <w:tcW w:type="dxa" w:w="1930"/>
            <w:shd w:val="clear" w:fill="EEF1F7"/>
          </w:tcPr>
          <w:p>
            <w:r>
              <w:rPr>
                <w:sz w:val="19"/>
              </w:rPr>
              <w:t>Steel</w:t>
            </w:r>
          </w:p>
        </w:tc>
        <w:tc>
          <w:tcPr>
            <w:tcW w:type="dxa" w:w="1930"/>
            <w:shd w:val="clear" w:fill="EEF1F7"/>
          </w:tcPr>
          <w:p>
            <w:r>
              <w:rPr>
                <w:sz w:val="19"/>
              </w:rPr>
              <w:t>-0.4%</w:t>
            </w:r>
          </w:p>
        </w:tc>
      </w:tr>
      <w:tr>
        <w:tc>
          <w:tcPr>
            <w:tcW w:type="dxa" w:w="1930"/>
          </w:tcPr>
          <w:p>
            <w:r>
              <w:rPr>
                <w:sz w:val="19"/>
              </w:rPr>
              <w:t>3</w:t>
            </w:r>
          </w:p>
        </w:tc>
        <w:tc>
          <w:tcPr>
            <w:tcW w:type="dxa" w:w="1930"/>
          </w:tcPr>
          <w:p>
            <w:r>
              <w:rPr>
                <w:sz w:val="19"/>
              </w:rPr>
              <w:t>ATRC</w:t>
            </w:r>
          </w:p>
        </w:tc>
        <w:tc>
          <w:tcPr>
            <w:tcW w:type="dxa" w:w="1930"/>
          </w:tcPr>
          <w:p>
            <w:r>
              <w:rPr>
                <w:sz w:val="19"/>
              </w:rPr>
              <w:t>AtriCure</w:t>
            </w:r>
          </w:p>
        </w:tc>
        <w:tc>
          <w:tcPr>
            <w:tcW w:type="dxa" w:w="1930"/>
          </w:tcPr>
          <w:p>
            <w:r>
              <w:rPr>
                <w:sz w:val="19"/>
              </w:rPr>
              <w:t>Medical Instruments</w:t>
            </w:r>
          </w:p>
        </w:tc>
        <w:tc>
          <w:tcPr>
            <w:tcW w:type="dxa" w:w="1930"/>
          </w:tcPr>
          <w:p>
            <w:r>
              <w:rPr>
                <w:sz w:val="19"/>
              </w:rPr>
              <w:t>+6.1%</w:t>
            </w:r>
          </w:p>
        </w:tc>
      </w:tr>
      <w:tr>
        <w:tc>
          <w:tcPr>
            <w:tcW w:type="dxa" w:w="1930"/>
            <w:shd w:val="clear" w:fill="EEF1F7"/>
          </w:tcPr>
          <w:p>
            <w:r>
              <w:rPr>
                <w:sz w:val="19"/>
              </w:rPr>
              <w:t>4</w:t>
            </w:r>
          </w:p>
        </w:tc>
        <w:tc>
          <w:tcPr>
            <w:tcW w:type="dxa" w:w="1930"/>
            <w:shd w:val="clear" w:fill="EEF1F7"/>
          </w:tcPr>
          <w:p>
            <w:r>
              <w:rPr>
                <w:sz w:val="19"/>
              </w:rPr>
              <w:t>ANF</w:t>
            </w:r>
          </w:p>
        </w:tc>
        <w:tc>
          <w:tcPr>
            <w:tcW w:type="dxa" w:w="1930"/>
            <w:shd w:val="clear" w:fill="EEF1F7"/>
          </w:tcPr>
          <w:p>
            <w:r>
              <w:rPr>
                <w:sz w:val="19"/>
              </w:rPr>
              <w:t>Abercrombie &amp; Fitch</w:t>
            </w:r>
          </w:p>
        </w:tc>
        <w:tc>
          <w:tcPr>
            <w:tcW w:type="dxa" w:w="1930"/>
            <w:shd w:val="clear" w:fill="EEF1F7"/>
          </w:tcPr>
          <w:p>
            <w:r>
              <w:rPr>
                <w:sz w:val="19"/>
              </w:rPr>
              <w:t>Apparel Retail</w:t>
            </w:r>
          </w:p>
        </w:tc>
        <w:tc>
          <w:tcPr>
            <w:tcW w:type="dxa" w:w="1930"/>
            <w:shd w:val="clear" w:fill="EEF1F7"/>
          </w:tcPr>
          <w:p>
            <w:r>
              <w:rPr>
                <w:sz w:val="19"/>
              </w:rPr>
              <w:t>+0.8%</w:t>
            </w:r>
          </w:p>
        </w:tc>
      </w:tr>
      <w:tr>
        <w:tc>
          <w:tcPr>
            <w:tcW w:type="dxa" w:w="1930"/>
          </w:tcPr>
          <w:p>
            <w:r>
              <w:rPr>
                <w:sz w:val="19"/>
              </w:rPr>
              <w:t>5</w:t>
            </w:r>
          </w:p>
        </w:tc>
        <w:tc>
          <w:tcPr>
            <w:tcW w:type="dxa" w:w="1930"/>
          </w:tcPr>
          <w:p>
            <w:r>
              <w:rPr>
                <w:sz w:val="19"/>
              </w:rPr>
              <w:t>APPN</w:t>
            </w:r>
          </w:p>
        </w:tc>
        <w:tc>
          <w:tcPr>
            <w:tcW w:type="dxa" w:w="1930"/>
          </w:tcPr>
          <w:p>
            <w:r>
              <w:rPr>
                <w:sz w:val="19"/>
              </w:rPr>
              <w:t>Appian</w:t>
            </w:r>
          </w:p>
        </w:tc>
        <w:tc>
          <w:tcPr>
            <w:tcW w:type="dxa" w:w="1930"/>
          </w:tcPr>
          <w:p>
            <w:r>
              <w:rPr>
                <w:sz w:val="19"/>
              </w:rPr>
              <w:t>Software - Infrastructure</w:t>
            </w:r>
          </w:p>
        </w:tc>
        <w:tc>
          <w:tcPr>
            <w:tcW w:type="dxa" w:w="1930"/>
          </w:tcPr>
          <w:p>
            <w:r>
              <w:rPr>
                <w:sz w:val="19"/>
              </w:rPr>
              <w:t>-9.7%</w:t>
            </w:r>
          </w:p>
        </w:tc>
      </w:tr>
      <w:tr>
        <w:tc>
          <w:tcPr>
            <w:tcW w:type="dxa" w:w="1930"/>
            <w:shd w:val="clear" w:fill="EEF1F7"/>
          </w:tcPr>
          <w:p>
            <w:r>
              <w:rPr>
                <w:sz w:val="19"/>
              </w:rPr>
              <w:t>6</w:t>
            </w:r>
          </w:p>
        </w:tc>
        <w:tc>
          <w:tcPr>
            <w:tcW w:type="dxa" w:w="1930"/>
            <w:shd w:val="clear" w:fill="EEF1F7"/>
          </w:tcPr>
          <w:p>
            <w:r>
              <w:rPr>
                <w:sz w:val="19"/>
              </w:rPr>
              <w:t>AVTR</w:t>
            </w:r>
          </w:p>
        </w:tc>
        <w:tc>
          <w:tcPr>
            <w:tcW w:type="dxa" w:w="1930"/>
            <w:shd w:val="clear" w:fill="EEF1F7"/>
          </w:tcPr>
          <w:p>
            <w:r>
              <w:rPr>
                <w:sz w:val="19"/>
              </w:rPr>
              <w:t>Avantor</w:t>
            </w:r>
          </w:p>
        </w:tc>
        <w:tc>
          <w:tcPr>
            <w:tcW w:type="dxa" w:w="1930"/>
            <w:shd w:val="clear" w:fill="EEF1F7"/>
          </w:tcPr>
          <w:p>
            <w:r>
              <w:rPr>
                <w:sz w:val="19"/>
              </w:rPr>
              <w:t>Life Sciences Tools</w:t>
            </w:r>
          </w:p>
        </w:tc>
        <w:tc>
          <w:tcPr>
            <w:tcW w:type="dxa" w:w="1930"/>
            <w:shd w:val="clear" w:fill="EEF1F7"/>
          </w:tcPr>
          <w:p>
            <w:r>
              <w:rPr>
                <w:sz w:val="19"/>
              </w:rPr>
              <w:t>+2.7%</w:t>
            </w:r>
          </w:p>
        </w:tc>
      </w:tr>
      <w:tr>
        <w:tc>
          <w:tcPr>
            <w:tcW w:type="dxa" w:w="1930"/>
          </w:tcPr>
          <w:p>
            <w:r>
              <w:rPr>
                <w:sz w:val="19"/>
              </w:rPr>
              <w:t>7</w:t>
            </w:r>
          </w:p>
        </w:tc>
        <w:tc>
          <w:tcPr>
            <w:tcW w:type="dxa" w:w="1930"/>
          </w:tcPr>
          <w:p>
            <w:r>
              <w:rPr>
                <w:sz w:val="19"/>
              </w:rPr>
              <w:t>AMGN</w:t>
            </w:r>
          </w:p>
        </w:tc>
        <w:tc>
          <w:tcPr>
            <w:tcW w:type="dxa" w:w="1930"/>
          </w:tcPr>
          <w:p>
            <w:r>
              <w:rPr>
                <w:sz w:val="19"/>
              </w:rPr>
              <w:t>Amgen</w:t>
            </w:r>
          </w:p>
        </w:tc>
        <w:tc>
          <w:tcPr>
            <w:tcW w:type="dxa" w:w="1930"/>
          </w:tcPr>
          <w:p>
            <w:r>
              <w:rPr>
                <w:sz w:val="19"/>
              </w:rPr>
              <w:t>Biotechnology</w:t>
            </w:r>
          </w:p>
        </w:tc>
        <w:tc>
          <w:tcPr>
            <w:tcW w:type="dxa" w:w="1930"/>
          </w:tcPr>
          <w:p>
            <w:r>
              <w:rPr>
                <w:sz w:val="19"/>
              </w:rPr>
              <w:t>+1.1%</w:t>
            </w:r>
          </w:p>
        </w:tc>
      </w:tr>
      <w:tr>
        <w:tc>
          <w:tcPr>
            <w:tcW w:type="dxa" w:w="1930"/>
            <w:shd w:val="clear" w:fill="EEF1F7"/>
          </w:tcPr>
          <w:p>
            <w:r>
              <w:rPr>
                <w:sz w:val="19"/>
              </w:rPr>
              <w:t>8</w:t>
            </w:r>
          </w:p>
        </w:tc>
        <w:tc>
          <w:tcPr>
            <w:tcW w:type="dxa" w:w="1930"/>
            <w:shd w:val="clear" w:fill="EEF1F7"/>
          </w:tcPr>
          <w:p>
            <w:r>
              <w:rPr>
                <w:sz w:val="19"/>
              </w:rPr>
              <w:t>AMPH</w:t>
            </w:r>
          </w:p>
        </w:tc>
        <w:tc>
          <w:tcPr>
            <w:tcW w:type="dxa" w:w="1930"/>
            <w:shd w:val="clear" w:fill="EEF1F7"/>
          </w:tcPr>
          <w:p>
            <w:r>
              <w:rPr>
                <w:sz w:val="19"/>
              </w:rPr>
              <w:t>Amphastar Pharmaceuticals</w:t>
            </w:r>
          </w:p>
        </w:tc>
        <w:tc>
          <w:tcPr>
            <w:tcW w:type="dxa" w:w="1930"/>
            <w:shd w:val="clear" w:fill="EEF1F7"/>
          </w:tcPr>
          <w:p>
            <w:r>
              <w:rPr>
                <w:sz w:val="19"/>
              </w:rPr>
              <w:t>Pharmaceuticals</w:t>
            </w:r>
          </w:p>
        </w:tc>
        <w:tc>
          <w:tcPr>
            <w:tcW w:type="dxa" w:w="1930"/>
            <w:shd w:val="clear" w:fill="EEF1F7"/>
          </w:tcPr>
          <w:p>
            <w:r>
              <w:rPr>
                <w:sz w:val="19"/>
              </w:rPr>
              <w:t>+5.3%</w:t>
            </w:r>
          </w:p>
        </w:tc>
      </w:tr>
      <w:tr>
        <w:tc>
          <w:tcPr>
            <w:tcW w:type="dxa" w:w="1930"/>
          </w:tcPr>
          <w:p>
            <w:r>
              <w:rPr>
                <w:sz w:val="19"/>
              </w:rPr>
              <w:t>9</w:t>
            </w:r>
          </w:p>
        </w:tc>
        <w:tc>
          <w:tcPr>
            <w:tcW w:type="dxa" w:w="1930"/>
          </w:tcPr>
          <w:p>
            <w:r>
              <w:rPr>
                <w:sz w:val="19"/>
              </w:rPr>
              <w:t>ABCL</w:t>
            </w:r>
          </w:p>
        </w:tc>
        <w:tc>
          <w:tcPr>
            <w:tcW w:type="dxa" w:w="1930"/>
          </w:tcPr>
          <w:p>
            <w:r>
              <w:rPr>
                <w:sz w:val="19"/>
              </w:rPr>
              <w:t>AbCellera Biologics</w:t>
            </w:r>
          </w:p>
        </w:tc>
        <w:tc>
          <w:tcPr>
            <w:tcW w:type="dxa" w:w="1930"/>
          </w:tcPr>
          <w:p>
            <w:r>
              <w:rPr>
                <w:sz w:val="19"/>
              </w:rPr>
              <w:t>Biotechnology</w:t>
            </w:r>
          </w:p>
        </w:tc>
        <w:tc>
          <w:tcPr>
            <w:tcW w:type="dxa" w:w="1930"/>
          </w:tcPr>
          <w:p>
            <w:r>
              <w:rPr>
                <w:sz w:val="19"/>
              </w:rPr>
              <w:t>+0.7%</w:t>
            </w:r>
          </w:p>
        </w:tc>
      </w:tr>
      <w:tr>
        <w:tc>
          <w:tcPr>
            <w:tcW w:type="dxa" w:w="1930"/>
            <w:shd w:val="clear" w:fill="EEF1F7"/>
          </w:tcPr>
          <w:p>
            <w:r>
              <w:rPr>
                <w:sz w:val="19"/>
              </w:rPr>
              <w:t>10</w:t>
            </w:r>
          </w:p>
        </w:tc>
        <w:tc>
          <w:tcPr>
            <w:tcW w:type="dxa" w:w="1930"/>
            <w:shd w:val="clear" w:fill="EEF1F7"/>
          </w:tcPr>
          <w:p>
            <w:r>
              <w:rPr>
                <w:sz w:val="19"/>
              </w:rPr>
              <w:t>AGCO</w:t>
            </w:r>
          </w:p>
        </w:tc>
        <w:tc>
          <w:tcPr>
            <w:tcW w:type="dxa" w:w="1930"/>
            <w:shd w:val="clear" w:fill="EEF1F7"/>
          </w:tcPr>
          <w:p>
            <w:r>
              <w:rPr>
                <w:sz w:val="19"/>
              </w:rPr>
              <w:t>AGCO</w:t>
            </w:r>
          </w:p>
        </w:tc>
        <w:tc>
          <w:tcPr>
            <w:tcW w:type="dxa" w:w="1930"/>
            <w:shd w:val="clear" w:fill="EEF1F7"/>
          </w:tcPr>
          <w:p>
            <w:r>
              <w:rPr>
                <w:sz w:val="19"/>
              </w:rPr>
              <w:t>Agricultural &amp; Farm Machinery</w:t>
            </w:r>
          </w:p>
        </w:tc>
        <w:tc>
          <w:tcPr>
            <w:tcW w:type="dxa" w:w="1930"/>
            <w:shd w:val="clear" w:fill="EEF1F7"/>
          </w:tcPr>
          <w:p>
            <w:r>
              <w:rPr>
                <w:sz w:val="19"/>
              </w:rPr>
              <w:t>+17.6%</w:t>
            </w:r>
          </w:p>
        </w:tc>
      </w:tr>
    </w:tbl>
    <w:p/>
    <w:p>
      <w:r>
        <w:t>Note the split personality: some of these are surging on price (Strive +24.8%, AGCO +17.6%, AtriCure +6.1%) while others hold their high rank even as price fell (Appian -9.7%). Rank measures relative strength over time, so a name can stay near the top for a week while its price cools. That's your early hint to watch it, not chase it. AGCO's move, by the way, came with ag-machinery upgrades across the Street this week (Deere double-upgraded by Evercore and Baird, CNH by Evercore), so the farm-equipment strength is showing up in both our board and the analyst notes.</w:t>
      </w:r>
    </w:p>
    <w:p>
      <w:r>
        <w:t>The week's biggest rank climbers, in order:</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fill="1F3864"/>
          </w:tcPr>
          <w:p>
            <w:r>
              <w:rPr>
                <w:b/>
                <w:color w:val="FFFFFF"/>
                <w:sz w:val="19"/>
              </w:rPr>
              <w:t>Ticker</w:t>
            </w:r>
          </w:p>
        </w:tc>
        <w:tc>
          <w:tcPr>
            <w:tcW w:type="dxa" w:w="1930"/>
            <w:shd w:val="clear" w:fill="1F3864"/>
          </w:tcPr>
          <w:p>
            <w:r>
              <w:rPr>
                <w:b/>
                <w:color w:val="FFFFFF"/>
                <w:sz w:val="19"/>
              </w:rPr>
              <w:t>Sector</w:t>
            </w:r>
          </w:p>
        </w:tc>
        <w:tc>
          <w:tcPr>
            <w:tcW w:type="dxa" w:w="1930"/>
            <w:shd w:val="clear" w:fill="1F3864"/>
          </w:tcPr>
          <w:p>
            <w:r>
              <w:rPr>
                <w:b/>
                <w:color w:val="FFFFFF"/>
                <w:sz w:val="19"/>
              </w:rPr>
              <w:t>Rank: week ago → now</w:t>
            </w:r>
          </w:p>
        </w:tc>
        <w:tc>
          <w:tcPr>
            <w:tcW w:type="dxa" w:w="1930"/>
            <w:shd w:val="clear" w:fill="1F3864"/>
          </w:tcPr>
          <w:p>
            <w:r>
              <w:rPr>
                <w:b/>
                <w:color w:val="FFFFFF"/>
                <w:sz w:val="19"/>
              </w:rPr>
              <w:t>Climb</w:t>
            </w:r>
          </w:p>
        </w:tc>
        <w:tc>
          <w:tcPr>
            <w:tcW w:type="dxa" w:w="1930"/>
            <w:shd w:val="clear" w:fill="1F3864"/>
          </w:tcPr>
          <w:p>
            <w:r>
              <w:rPr>
                <w:b/>
                <w:color w:val="FFFFFF"/>
                <w:sz w:val="19"/>
              </w:rPr>
              <w:t>Wk %</w:t>
            </w:r>
          </w:p>
        </w:tc>
      </w:tr>
      <w:tr>
        <w:tc>
          <w:tcPr>
            <w:tcW w:type="dxa" w:w="1930"/>
          </w:tcPr>
          <w:p>
            <w:r>
              <w:rPr>
                <w:sz w:val="19"/>
              </w:rPr>
              <w:t>AHCO</w:t>
            </w:r>
          </w:p>
        </w:tc>
        <w:tc>
          <w:tcPr>
            <w:tcW w:type="dxa" w:w="1930"/>
          </w:tcPr>
          <w:p>
            <w:r>
              <w:rPr>
                <w:sz w:val="19"/>
              </w:rPr>
              <w:t>Health Care</w:t>
            </w:r>
          </w:p>
        </w:tc>
        <w:tc>
          <w:tcPr>
            <w:tcW w:type="dxa" w:w="1930"/>
          </w:tcPr>
          <w:p>
            <w:r>
              <w:rPr>
                <w:sz w:val="19"/>
              </w:rPr>
              <w:t>1928 → 177</w:t>
            </w:r>
          </w:p>
        </w:tc>
        <w:tc>
          <w:tcPr>
            <w:tcW w:type="dxa" w:w="1930"/>
          </w:tcPr>
          <w:p>
            <w:r>
              <w:rPr>
                <w:sz w:val="19"/>
              </w:rPr>
              <w:t>+1751</w:t>
            </w:r>
          </w:p>
        </w:tc>
        <w:tc>
          <w:tcPr>
            <w:tcW w:type="dxa" w:w="1930"/>
          </w:tcPr>
          <w:p>
            <w:r>
              <w:rPr>
                <w:sz w:val="19"/>
              </w:rPr>
              <w:t>+12.1%</w:t>
            </w:r>
          </w:p>
        </w:tc>
      </w:tr>
      <w:tr>
        <w:tc>
          <w:tcPr>
            <w:tcW w:type="dxa" w:w="1930"/>
            <w:shd w:val="clear" w:fill="EEF1F7"/>
          </w:tcPr>
          <w:p>
            <w:r>
              <w:rPr>
                <w:sz w:val="19"/>
              </w:rPr>
              <w:t>AIN</w:t>
            </w:r>
          </w:p>
        </w:tc>
        <w:tc>
          <w:tcPr>
            <w:tcW w:type="dxa" w:w="1930"/>
            <w:shd w:val="clear" w:fill="EEF1F7"/>
          </w:tcPr>
          <w:p>
            <w:r>
              <w:rPr>
                <w:sz w:val="19"/>
              </w:rPr>
              <w:t>Industrials</w:t>
            </w:r>
          </w:p>
        </w:tc>
        <w:tc>
          <w:tcPr>
            <w:tcW w:type="dxa" w:w="1930"/>
            <w:shd w:val="clear" w:fill="EEF1F7"/>
          </w:tcPr>
          <w:p>
            <w:r>
              <w:rPr>
                <w:sz w:val="19"/>
              </w:rPr>
              <w:t>1919 → 174</w:t>
            </w:r>
          </w:p>
        </w:tc>
        <w:tc>
          <w:tcPr>
            <w:tcW w:type="dxa" w:w="1930"/>
            <w:shd w:val="clear" w:fill="EEF1F7"/>
          </w:tcPr>
          <w:p>
            <w:r>
              <w:rPr>
                <w:sz w:val="19"/>
              </w:rPr>
              <w:t>+1745</w:t>
            </w:r>
          </w:p>
        </w:tc>
        <w:tc>
          <w:tcPr>
            <w:tcW w:type="dxa" w:w="1930"/>
            <w:shd w:val="clear" w:fill="EEF1F7"/>
          </w:tcPr>
          <w:p>
            <w:r>
              <w:rPr>
                <w:sz w:val="19"/>
              </w:rPr>
              <w:t>+7.5%</w:t>
            </w:r>
          </w:p>
        </w:tc>
      </w:tr>
      <w:tr>
        <w:tc>
          <w:tcPr>
            <w:tcW w:type="dxa" w:w="1930"/>
          </w:tcPr>
          <w:p>
            <w:r>
              <w:rPr>
                <w:sz w:val="19"/>
              </w:rPr>
              <w:t>ARDX</w:t>
            </w:r>
          </w:p>
        </w:tc>
        <w:tc>
          <w:tcPr>
            <w:tcW w:type="dxa" w:w="1930"/>
          </w:tcPr>
          <w:p>
            <w:r>
              <w:rPr>
                <w:sz w:val="19"/>
              </w:rPr>
              <w:t>Health Care</w:t>
            </w:r>
          </w:p>
        </w:tc>
        <w:tc>
          <w:tcPr>
            <w:tcW w:type="dxa" w:w="1930"/>
          </w:tcPr>
          <w:p>
            <w:r>
              <w:rPr>
                <w:sz w:val="19"/>
              </w:rPr>
              <w:t>1933 → 197</w:t>
            </w:r>
          </w:p>
        </w:tc>
        <w:tc>
          <w:tcPr>
            <w:tcW w:type="dxa" w:w="1930"/>
          </w:tcPr>
          <w:p>
            <w:r>
              <w:rPr>
                <w:sz w:val="19"/>
              </w:rPr>
              <w:t>+1736</w:t>
            </w:r>
          </w:p>
        </w:tc>
        <w:tc>
          <w:tcPr>
            <w:tcW w:type="dxa" w:w="1930"/>
          </w:tcPr>
          <w:p>
            <w:r>
              <w:rPr>
                <w:sz w:val="19"/>
              </w:rPr>
              <w:t>-0.8%</w:t>
            </w:r>
          </w:p>
        </w:tc>
      </w:tr>
      <w:tr>
        <w:tc>
          <w:tcPr>
            <w:tcW w:type="dxa" w:w="1930"/>
            <w:shd w:val="clear" w:fill="EEF1F7"/>
          </w:tcPr>
          <w:p>
            <w:r>
              <w:rPr>
                <w:sz w:val="19"/>
              </w:rPr>
              <w:t>AAON</w:t>
            </w:r>
          </w:p>
        </w:tc>
        <w:tc>
          <w:tcPr>
            <w:tcW w:type="dxa" w:w="1930"/>
            <w:shd w:val="clear" w:fill="EEF1F7"/>
          </w:tcPr>
          <w:p>
            <w:r>
              <w:rPr>
                <w:sz w:val="19"/>
              </w:rPr>
              <w:t>Industrials</w:t>
            </w:r>
          </w:p>
        </w:tc>
        <w:tc>
          <w:tcPr>
            <w:tcW w:type="dxa" w:w="1930"/>
            <w:shd w:val="clear" w:fill="EEF1F7"/>
          </w:tcPr>
          <w:p>
            <w:r>
              <w:rPr>
                <w:sz w:val="19"/>
              </w:rPr>
              <w:t>1918 → 192</w:t>
            </w:r>
          </w:p>
        </w:tc>
        <w:tc>
          <w:tcPr>
            <w:tcW w:type="dxa" w:w="1930"/>
            <w:shd w:val="clear" w:fill="EEF1F7"/>
          </w:tcPr>
          <w:p>
            <w:r>
              <w:rPr>
                <w:sz w:val="19"/>
              </w:rPr>
              <w:t>+1726</w:t>
            </w:r>
          </w:p>
        </w:tc>
        <w:tc>
          <w:tcPr>
            <w:tcW w:type="dxa" w:w="1930"/>
            <w:shd w:val="clear" w:fill="EEF1F7"/>
          </w:tcPr>
          <w:p>
            <w:r>
              <w:rPr>
                <w:sz w:val="19"/>
              </w:rPr>
              <w:t>+4.7%</w:t>
            </w:r>
          </w:p>
        </w:tc>
      </w:tr>
      <w:tr>
        <w:tc>
          <w:tcPr>
            <w:tcW w:type="dxa" w:w="1930"/>
          </w:tcPr>
          <w:p>
            <w:r>
              <w:rPr>
                <w:sz w:val="19"/>
              </w:rPr>
              <w:t>APP</w:t>
            </w:r>
          </w:p>
        </w:tc>
        <w:tc>
          <w:tcPr>
            <w:tcW w:type="dxa" w:w="1930"/>
          </w:tcPr>
          <w:p>
            <w:r>
              <w:rPr>
                <w:sz w:val="19"/>
              </w:rPr>
              <w:t>Information Technology</w:t>
            </w:r>
          </w:p>
        </w:tc>
        <w:tc>
          <w:tcPr>
            <w:tcW w:type="dxa" w:w="1930"/>
          </w:tcPr>
          <w:p>
            <w:r>
              <w:rPr>
                <w:sz w:val="19"/>
              </w:rPr>
              <w:t>1909 → 184</w:t>
            </w:r>
          </w:p>
        </w:tc>
        <w:tc>
          <w:tcPr>
            <w:tcW w:type="dxa" w:w="1930"/>
          </w:tcPr>
          <w:p>
            <w:r>
              <w:rPr>
                <w:sz w:val="19"/>
              </w:rPr>
              <w:t>+1725</w:t>
            </w:r>
          </w:p>
        </w:tc>
        <w:tc>
          <w:tcPr>
            <w:tcW w:type="dxa" w:w="1930"/>
          </w:tcPr>
          <w:p>
            <w:r>
              <w:rPr>
                <w:sz w:val="19"/>
              </w:rPr>
              <w:t>+0.9%</w:t>
            </w:r>
          </w:p>
        </w:tc>
      </w:tr>
      <w:tr>
        <w:tc>
          <w:tcPr>
            <w:tcW w:type="dxa" w:w="1930"/>
            <w:shd w:val="clear" w:fill="EEF1F7"/>
          </w:tcPr>
          <w:p>
            <w:r>
              <w:rPr>
                <w:sz w:val="19"/>
              </w:rPr>
              <w:t>APTV</w:t>
            </w:r>
          </w:p>
        </w:tc>
        <w:tc>
          <w:tcPr>
            <w:tcW w:type="dxa" w:w="1930"/>
            <w:shd w:val="clear" w:fill="EEF1F7"/>
          </w:tcPr>
          <w:p>
            <w:r>
              <w:rPr>
                <w:sz w:val="19"/>
              </w:rPr>
              <w:t>Consumer Discretionary</w:t>
            </w:r>
          </w:p>
        </w:tc>
        <w:tc>
          <w:tcPr>
            <w:tcW w:type="dxa" w:w="1930"/>
            <w:shd w:val="clear" w:fill="EEF1F7"/>
          </w:tcPr>
          <w:p>
            <w:r>
              <w:rPr>
                <w:sz w:val="19"/>
              </w:rPr>
              <w:t>1888 → 183</w:t>
            </w:r>
          </w:p>
        </w:tc>
        <w:tc>
          <w:tcPr>
            <w:tcW w:type="dxa" w:w="1930"/>
            <w:shd w:val="clear" w:fill="EEF1F7"/>
          </w:tcPr>
          <w:p>
            <w:r>
              <w:rPr>
                <w:sz w:val="19"/>
              </w:rPr>
              <w:t>+1705</w:t>
            </w:r>
          </w:p>
        </w:tc>
        <w:tc>
          <w:tcPr>
            <w:tcW w:type="dxa" w:w="1930"/>
            <w:shd w:val="clear" w:fill="EEF1F7"/>
          </w:tcPr>
          <w:p>
            <w:r>
              <w:rPr>
                <w:sz w:val="19"/>
              </w:rPr>
              <w:t>+4.8%</w:t>
            </w:r>
          </w:p>
        </w:tc>
      </w:tr>
      <w:tr>
        <w:tc>
          <w:tcPr>
            <w:tcW w:type="dxa" w:w="1930"/>
          </w:tcPr>
          <w:p>
            <w:r>
              <w:rPr>
                <w:sz w:val="19"/>
              </w:rPr>
              <w:t>AMSF</w:t>
            </w:r>
          </w:p>
        </w:tc>
        <w:tc>
          <w:tcPr>
            <w:tcW w:type="dxa" w:w="1930"/>
          </w:tcPr>
          <w:p>
            <w:r>
              <w:rPr>
                <w:sz w:val="19"/>
              </w:rPr>
              <w:t>Financials</w:t>
            </w:r>
          </w:p>
        </w:tc>
        <w:tc>
          <w:tcPr>
            <w:tcW w:type="dxa" w:w="1930"/>
          </w:tcPr>
          <w:p>
            <w:r>
              <w:rPr>
                <w:sz w:val="19"/>
              </w:rPr>
              <w:t>1892 → 190</w:t>
            </w:r>
          </w:p>
        </w:tc>
        <w:tc>
          <w:tcPr>
            <w:tcW w:type="dxa" w:w="1930"/>
          </w:tcPr>
          <w:p>
            <w:r>
              <w:rPr>
                <w:sz w:val="19"/>
              </w:rPr>
              <w:t>+1702</w:t>
            </w:r>
          </w:p>
        </w:tc>
        <w:tc>
          <w:tcPr>
            <w:tcW w:type="dxa" w:w="1930"/>
          </w:tcPr>
          <w:p>
            <w:r>
              <w:rPr>
                <w:sz w:val="19"/>
              </w:rPr>
              <w:t>-1.0%</w:t>
            </w:r>
          </w:p>
        </w:tc>
      </w:tr>
      <w:tr>
        <w:tc>
          <w:tcPr>
            <w:tcW w:type="dxa" w:w="1930"/>
            <w:shd w:val="clear" w:fill="EEF1F7"/>
          </w:tcPr>
          <w:p>
            <w:r>
              <w:rPr>
                <w:sz w:val="19"/>
              </w:rPr>
              <w:t>AROC</w:t>
            </w:r>
          </w:p>
        </w:tc>
        <w:tc>
          <w:tcPr>
            <w:tcW w:type="dxa" w:w="1930"/>
            <w:shd w:val="clear" w:fill="EEF1F7"/>
          </w:tcPr>
          <w:p>
            <w:r>
              <w:rPr>
                <w:sz w:val="19"/>
              </w:rPr>
              <w:t>Energy</w:t>
            </w:r>
          </w:p>
        </w:tc>
        <w:tc>
          <w:tcPr>
            <w:tcW w:type="dxa" w:w="1930"/>
            <w:shd w:val="clear" w:fill="EEF1F7"/>
          </w:tcPr>
          <w:p>
            <w:r>
              <w:rPr>
                <w:sz w:val="19"/>
              </w:rPr>
              <w:t>1838 → 145</w:t>
            </w:r>
          </w:p>
        </w:tc>
        <w:tc>
          <w:tcPr>
            <w:tcW w:type="dxa" w:w="1930"/>
            <w:shd w:val="clear" w:fill="EEF1F7"/>
          </w:tcPr>
          <w:p>
            <w:r>
              <w:rPr>
                <w:sz w:val="19"/>
              </w:rPr>
              <w:t>+1693</w:t>
            </w:r>
          </w:p>
        </w:tc>
        <w:tc>
          <w:tcPr>
            <w:tcW w:type="dxa" w:w="1930"/>
            <w:shd w:val="clear" w:fill="EEF1F7"/>
          </w:tcPr>
          <w:p>
            <w:r>
              <w:rPr>
                <w:sz w:val="19"/>
              </w:rPr>
              <w:t>+4.6%</w:t>
            </w:r>
          </w:p>
        </w:tc>
      </w:tr>
      <w:tr>
        <w:tc>
          <w:tcPr>
            <w:tcW w:type="dxa" w:w="1930"/>
          </w:tcPr>
          <w:p>
            <w:r>
              <w:rPr>
                <w:sz w:val="19"/>
              </w:rPr>
              <w:t>AGX</w:t>
            </w:r>
          </w:p>
        </w:tc>
        <w:tc>
          <w:tcPr>
            <w:tcW w:type="dxa" w:w="1930"/>
          </w:tcPr>
          <w:p>
            <w:r>
              <w:rPr>
                <w:sz w:val="19"/>
              </w:rPr>
              <w:t>Industrials</w:t>
            </w:r>
          </w:p>
        </w:tc>
        <w:tc>
          <w:tcPr>
            <w:tcW w:type="dxa" w:w="1930"/>
          </w:tcPr>
          <w:p>
            <w:r>
              <w:rPr>
                <w:sz w:val="19"/>
              </w:rPr>
              <w:t>1886 → 195</w:t>
            </w:r>
          </w:p>
        </w:tc>
        <w:tc>
          <w:tcPr>
            <w:tcW w:type="dxa" w:w="1930"/>
          </w:tcPr>
          <w:p>
            <w:r>
              <w:rPr>
                <w:sz w:val="19"/>
              </w:rPr>
              <w:t>+1691</w:t>
            </w:r>
          </w:p>
        </w:tc>
        <w:tc>
          <w:tcPr>
            <w:tcW w:type="dxa" w:w="1930"/>
          </w:tcPr>
          <w:p>
            <w:r>
              <w:rPr>
                <w:sz w:val="19"/>
              </w:rPr>
              <w:t>+0.1%</w:t>
            </w:r>
          </w:p>
        </w:tc>
      </w:tr>
      <w:tr>
        <w:tc>
          <w:tcPr>
            <w:tcW w:type="dxa" w:w="1930"/>
            <w:shd w:val="clear" w:fill="EEF1F7"/>
          </w:tcPr>
          <w:p>
            <w:r>
              <w:rPr>
                <w:sz w:val="19"/>
              </w:rPr>
              <w:t>ASTE</w:t>
            </w:r>
          </w:p>
        </w:tc>
        <w:tc>
          <w:tcPr>
            <w:tcW w:type="dxa" w:w="1930"/>
            <w:shd w:val="clear" w:fill="EEF1F7"/>
          </w:tcPr>
          <w:p>
            <w:r>
              <w:rPr>
                <w:sz w:val="19"/>
              </w:rPr>
              <w:t>Industrials</w:t>
            </w:r>
          </w:p>
        </w:tc>
        <w:tc>
          <w:tcPr>
            <w:tcW w:type="dxa" w:w="1930"/>
            <w:shd w:val="clear" w:fill="EEF1F7"/>
          </w:tcPr>
          <w:p>
            <w:r>
              <w:rPr>
                <w:sz w:val="19"/>
              </w:rPr>
              <w:t>1867 → 181</w:t>
            </w:r>
          </w:p>
        </w:tc>
        <w:tc>
          <w:tcPr>
            <w:tcW w:type="dxa" w:w="1930"/>
            <w:shd w:val="clear" w:fill="EEF1F7"/>
          </w:tcPr>
          <w:p>
            <w:r>
              <w:rPr>
                <w:sz w:val="19"/>
              </w:rPr>
              <w:t>+1686</w:t>
            </w:r>
          </w:p>
        </w:tc>
        <w:tc>
          <w:tcPr>
            <w:tcW w:type="dxa" w:w="1930"/>
            <w:shd w:val="clear" w:fill="EEF1F7"/>
          </w:tcPr>
          <w:p>
            <w:r>
              <w:rPr>
                <w:sz w:val="19"/>
              </w:rPr>
              <w:t>+1.9%</w:t>
            </w:r>
          </w:p>
        </w:tc>
      </w:tr>
    </w:tbl>
    <w:p/>
    <w:p>
      <w:r>
        <w:t>Health care and industrials dominate the leaderboard. Aptiv's jump is worth a mention. It deepened an NVIDIA edge-AI tie-up this week, a reminder that the auto-parts rotation and the AI theme occasionally shake hands.</w:t>
      </w:r>
    </w:p>
    <w:p>
      <w:r>
        <w:t>Now the two-clocks check, because this is where flat indexes fool people. The index was flat, so there's no "megacaps carried it" story to tell. But the megacap chips did something odd on the board: they climbed hundreds of rank spots off a beaten-down base while still landing mid-pack. Broadcom jumped 1,527 spots to #160, Applied Materials 1,350 spots to #175, AMD 1,069 spots to #112, ARM 1,365 spots to #135. Apple sits at #41 after a +929 climb, price flat, with its product event due next week. "Mid-pack after a huge climb off the bottom" isn't leadership, it's a group clawing back from the cellar. The board isn't calling them leaders yet, and it's been the better guide than the headline bounce.</w:t>
      </w:r>
    </w:p>
    <w:p>
      <w:pPr>
        <w:spacing w:before="240" w:after="80"/>
      </w:pPr>
      <w:r>
        <w:rPr>
          <w:b/>
          <w:color w:val="1F3864"/>
          <w:sz w:val="30"/>
        </w:rPr>
        <w:t>7. A few names worth looking at</w:t>
      </w:r>
    </w:p>
    <w:p>
      <w:r>
        <w:t>These clear four filters at once: a strong sector, an improving rank, a genuine uptrend (price above a rising 20-, 50- and 200-day), and not yet stretched far above the 20-day. It's a starting point for your own research, not a buy list.</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fill="1F3864"/>
          </w:tcPr>
          <w:p>
            <w:r>
              <w:rPr>
                <w:b/>
                <w:color w:val="FFFFFF"/>
                <w:sz w:val="19"/>
              </w:rPr>
              <w:t>Ticker</w:t>
            </w:r>
          </w:p>
        </w:tc>
        <w:tc>
          <w:tcPr>
            <w:tcW w:type="dxa" w:w="1608"/>
            <w:shd w:val="clear" w:fill="1F3864"/>
          </w:tcPr>
          <w:p>
            <w:r>
              <w:rPr>
                <w:b/>
                <w:color w:val="FFFFFF"/>
                <w:sz w:val="19"/>
              </w:rPr>
              <w:t>Company</w:t>
            </w:r>
          </w:p>
        </w:tc>
        <w:tc>
          <w:tcPr>
            <w:tcW w:type="dxa" w:w="1608"/>
            <w:shd w:val="clear" w:fill="1F3864"/>
          </w:tcPr>
          <w:p>
            <w:r>
              <w:rPr>
                <w:b/>
                <w:color w:val="FFFFFF"/>
                <w:sz w:val="19"/>
              </w:rPr>
              <w:t>Sector</w:t>
            </w:r>
          </w:p>
        </w:tc>
        <w:tc>
          <w:tcPr>
            <w:tcW w:type="dxa" w:w="1608"/>
            <w:shd w:val="clear" w:fill="1F3864"/>
          </w:tcPr>
          <w:p>
            <w:r>
              <w:rPr>
                <w:b/>
                <w:color w:val="FFFFFF"/>
                <w:sz w:val="19"/>
              </w:rPr>
              <w:t>Rank (Δwk)</w:t>
            </w:r>
          </w:p>
        </w:tc>
        <w:tc>
          <w:tcPr>
            <w:tcW w:type="dxa" w:w="1608"/>
            <w:shd w:val="clear" w:fill="1F3864"/>
          </w:tcPr>
          <w:p>
            <w:r>
              <w:rPr>
                <w:b/>
                <w:color w:val="FFFFFF"/>
                <w:sz w:val="19"/>
              </w:rPr>
              <w:t>Conviction</w:t>
            </w:r>
          </w:p>
        </w:tc>
        <w:tc>
          <w:tcPr>
            <w:tcW w:type="dxa" w:w="1608"/>
            <w:shd w:val="clear" w:fill="1F3864"/>
          </w:tcPr>
          <w:p>
            <w:r>
              <w:rPr>
                <w:b/>
                <w:color w:val="FFFFFF"/>
                <w:sz w:val="19"/>
              </w:rPr>
              <w:t>% above 20d</w:t>
            </w:r>
          </w:p>
        </w:tc>
      </w:tr>
      <w:tr>
        <w:tc>
          <w:tcPr>
            <w:tcW w:type="dxa" w:w="1608"/>
          </w:tcPr>
          <w:p>
            <w:r>
              <w:rPr>
                <w:sz w:val="19"/>
              </w:rPr>
              <w:t>ATRC</w:t>
            </w:r>
          </w:p>
        </w:tc>
        <w:tc>
          <w:tcPr>
            <w:tcW w:type="dxa" w:w="1608"/>
          </w:tcPr>
          <w:p>
            <w:r>
              <w:rPr>
                <w:sz w:val="19"/>
              </w:rPr>
              <w:t>AtriCure</w:t>
            </w:r>
          </w:p>
        </w:tc>
        <w:tc>
          <w:tcPr>
            <w:tcW w:type="dxa" w:w="1608"/>
          </w:tcPr>
          <w:p>
            <w:r>
              <w:rPr>
                <w:sz w:val="19"/>
              </w:rPr>
              <w:t>Health Care</w:t>
            </w:r>
          </w:p>
        </w:tc>
        <w:tc>
          <w:tcPr>
            <w:tcW w:type="dxa" w:w="1608"/>
          </w:tcPr>
          <w:p>
            <w:r>
              <w:rPr>
                <w:sz w:val="19"/>
              </w:rPr>
              <w:t>3 (+4)</w:t>
            </w:r>
          </w:p>
        </w:tc>
        <w:tc>
          <w:tcPr>
            <w:tcW w:type="dxa" w:w="1608"/>
          </w:tcPr>
          <w:p>
            <w:r>
              <w:rPr>
                <w:sz w:val="19"/>
              </w:rPr>
              <w:t>C</w:t>
            </w:r>
          </w:p>
        </w:tc>
        <w:tc>
          <w:tcPr>
            <w:tcW w:type="dxa" w:w="1608"/>
          </w:tcPr>
          <w:p>
            <w:r>
              <w:rPr>
                <w:sz w:val="19"/>
              </w:rPr>
              <w:t>+8.8%</w:t>
            </w:r>
          </w:p>
        </w:tc>
      </w:tr>
      <w:tr>
        <w:tc>
          <w:tcPr>
            <w:tcW w:type="dxa" w:w="1608"/>
            <w:shd w:val="clear" w:fill="EEF1F7"/>
          </w:tcPr>
          <w:p>
            <w:r>
              <w:rPr>
                <w:sz w:val="19"/>
              </w:rPr>
              <w:t>AVTR</w:t>
            </w:r>
          </w:p>
        </w:tc>
        <w:tc>
          <w:tcPr>
            <w:tcW w:type="dxa" w:w="1608"/>
            <w:shd w:val="clear" w:fill="EEF1F7"/>
          </w:tcPr>
          <w:p>
            <w:r>
              <w:rPr>
                <w:sz w:val="19"/>
              </w:rPr>
              <w:t>Avantor</w:t>
            </w:r>
          </w:p>
        </w:tc>
        <w:tc>
          <w:tcPr>
            <w:tcW w:type="dxa" w:w="1608"/>
            <w:shd w:val="clear" w:fill="EEF1F7"/>
          </w:tcPr>
          <w:p>
            <w:r>
              <w:rPr>
                <w:sz w:val="19"/>
              </w:rPr>
              <w:t>Health Care</w:t>
            </w:r>
          </w:p>
        </w:tc>
        <w:tc>
          <w:tcPr>
            <w:tcW w:type="dxa" w:w="1608"/>
            <w:shd w:val="clear" w:fill="EEF1F7"/>
          </w:tcPr>
          <w:p>
            <w:r>
              <w:rPr>
                <w:sz w:val="19"/>
              </w:rPr>
              <w:t>6 (+88)</w:t>
            </w:r>
          </w:p>
        </w:tc>
        <w:tc>
          <w:tcPr>
            <w:tcW w:type="dxa" w:w="1608"/>
            <w:shd w:val="clear" w:fill="EEF1F7"/>
          </w:tcPr>
          <w:p>
            <w:r>
              <w:rPr>
                <w:sz w:val="19"/>
              </w:rPr>
              <w:t>C</w:t>
            </w:r>
          </w:p>
        </w:tc>
        <w:tc>
          <w:tcPr>
            <w:tcW w:type="dxa" w:w="1608"/>
            <w:shd w:val="clear" w:fill="EEF1F7"/>
          </w:tcPr>
          <w:p>
            <w:r>
              <w:rPr>
                <w:sz w:val="19"/>
              </w:rPr>
              <w:t>+5.6%</w:t>
            </w:r>
          </w:p>
        </w:tc>
      </w:tr>
      <w:tr>
        <w:tc>
          <w:tcPr>
            <w:tcW w:type="dxa" w:w="1608"/>
          </w:tcPr>
          <w:p>
            <w:r>
              <w:rPr>
                <w:sz w:val="19"/>
              </w:rPr>
              <w:t>AUGO</w:t>
            </w:r>
          </w:p>
        </w:tc>
        <w:tc>
          <w:tcPr>
            <w:tcW w:type="dxa" w:w="1608"/>
          </w:tcPr>
          <w:p>
            <w:r>
              <w:rPr>
                <w:sz w:val="19"/>
              </w:rPr>
              <w:t>Aura Minerals</w:t>
            </w:r>
          </w:p>
        </w:tc>
        <w:tc>
          <w:tcPr>
            <w:tcW w:type="dxa" w:w="1608"/>
          </w:tcPr>
          <w:p>
            <w:r>
              <w:rPr>
                <w:sz w:val="19"/>
              </w:rPr>
              <w:t>Materials</w:t>
            </w:r>
          </w:p>
        </w:tc>
        <w:tc>
          <w:tcPr>
            <w:tcW w:type="dxa" w:w="1608"/>
          </w:tcPr>
          <w:p>
            <w:r>
              <w:rPr>
                <w:sz w:val="19"/>
              </w:rPr>
              <w:t>11 (+13)</w:t>
            </w:r>
          </w:p>
        </w:tc>
        <w:tc>
          <w:tcPr>
            <w:tcW w:type="dxa" w:w="1608"/>
          </w:tcPr>
          <w:p>
            <w:r>
              <w:rPr>
                <w:sz w:val="19"/>
              </w:rPr>
              <w:t>B</w:t>
            </w:r>
          </w:p>
        </w:tc>
        <w:tc>
          <w:tcPr>
            <w:tcW w:type="dxa" w:w="1608"/>
          </w:tcPr>
          <w:p>
            <w:r>
              <w:rPr>
                <w:sz w:val="19"/>
              </w:rPr>
              <w:t>+5.0%</w:t>
            </w:r>
          </w:p>
        </w:tc>
      </w:tr>
      <w:tr>
        <w:tc>
          <w:tcPr>
            <w:tcW w:type="dxa" w:w="1608"/>
            <w:shd w:val="clear" w:fill="EEF1F7"/>
          </w:tcPr>
          <w:p>
            <w:r>
              <w:rPr>
                <w:sz w:val="19"/>
              </w:rPr>
              <w:t>APA</w:t>
            </w:r>
          </w:p>
        </w:tc>
        <w:tc>
          <w:tcPr>
            <w:tcW w:type="dxa" w:w="1608"/>
            <w:shd w:val="clear" w:fill="EEF1F7"/>
          </w:tcPr>
          <w:p>
            <w:r>
              <w:rPr>
                <w:sz w:val="19"/>
              </w:rPr>
              <w:t>APA Corporation</w:t>
            </w:r>
          </w:p>
        </w:tc>
        <w:tc>
          <w:tcPr>
            <w:tcW w:type="dxa" w:w="1608"/>
            <w:shd w:val="clear" w:fill="EEF1F7"/>
          </w:tcPr>
          <w:p>
            <w:r>
              <w:rPr>
                <w:sz w:val="19"/>
              </w:rPr>
              <w:t>Energy</w:t>
            </w:r>
          </w:p>
        </w:tc>
        <w:tc>
          <w:tcPr>
            <w:tcW w:type="dxa" w:w="1608"/>
            <w:shd w:val="clear" w:fill="EEF1F7"/>
          </w:tcPr>
          <w:p>
            <w:r>
              <w:rPr>
                <w:sz w:val="19"/>
              </w:rPr>
              <w:t>15 (+248)</w:t>
            </w:r>
          </w:p>
        </w:tc>
        <w:tc>
          <w:tcPr>
            <w:tcW w:type="dxa" w:w="1608"/>
            <w:shd w:val="clear" w:fill="EEF1F7"/>
          </w:tcPr>
          <w:p>
            <w:r>
              <w:rPr>
                <w:sz w:val="19"/>
              </w:rPr>
              <w:t>C</w:t>
            </w:r>
          </w:p>
        </w:tc>
        <w:tc>
          <w:tcPr>
            <w:tcW w:type="dxa" w:w="1608"/>
            <w:shd w:val="clear" w:fill="EEF1F7"/>
          </w:tcPr>
          <w:p>
            <w:r>
              <w:rPr>
                <w:sz w:val="19"/>
              </w:rPr>
              <w:t>+2.1%</w:t>
            </w:r>
          </w:p>
        </w:tc>
      </w:tr>
      <w:tr>
        <w:tc>
          <w:tcPr>
            <w:tcW w:type="dxa" w:w="1608"/>
          </w:tcPr>
          <w:p>
            <w:r>
              <w:rPr>
                <w:sz w:val="19"/>
              </w:rPr>
              <w:t>AR</w:t>
            </w:r>
          </w:p>
        </w:tc>
        <w:tc>
          <w:tcPr>
            <w:tcW w:type="dxa" w:w="1608"/>
          </w:tcPr>
          <w:p>
            <w:r>
              <w:rPr>
                <w:sz w:val="19"/>
              </w:rPr>
              <w:t>Antero Resources</w:t>
            </w:r>
          </w:p>
        </w:tc>
        <w:tc>
          <w:tcPr>
            <w:tcW w:type="dxa" w:w="1608"/>
          </w:tcPr>
          <w:p>
            <w:r>
              <w:rPr>
                <w:sz w:val="19"/>
              </w:rPr>
              <w:t>Energy</w:t>
            </w:r>
          </w:p>
        </w:tc>
        <w:tc>
          <w:tcPr>
            <w:tcW w:type="dxa" w:w="1608"/>
          </w:tcPr>
          <w:p>
            <w:r>
              <w:rPr>
                <w:sz w:val="19"/>
              </w:rPr>
              <w:t>16 (+346)</w:t>
            </w:r>
          </w:p>
        </w:tc>
        <w:tc>
          <w:tcPr>
            <w:tcW w:type="dxa" w:w="1608"/>
          </w:tcPr>
          <w:p>
            <w:r>
              <w:rPr>
                <w:sz w:val="19"/>
              </w:rPr>
              <w:t>B</w:t>
            </w:r>
          </w:p>
        </w:tc>
        <w:tc>
          <w:tcPr>
            <w:tcW w:type="dxa" w:w="1608"/>
          </w:tcPr>
          <w:p>
            <w:r>
              <w:rPr>
                <w:sz w:val="19"/>
              </w:rPr>
              <w:t>+3.6%</w:t>
            </w:r>
          </w:p>
        </w:tc>
      </w:tr>
      <w:tr>
        <w:tc>
          <w:tcPr>
            <w:tcW w:type="dxa" w:w="1608"/>
            <w:shd w:val="clear" w:fill="EEF1F7"/>
          </w:tcPr>
          <w:p>
            <w:r>
              <w:rPr>
                <w:sz w:val="19"/>
              </w:rPr>
              <w:t>ABNB</w:t>
            </w:r>
          </w:p>
        </w:tc>
        <w:tc>
          <w:tcPr>
            <w:tcW w:type="dxa" w:w="1608"/>
            <w:shd w:val="clear" w:fill="EEF1F7"/>
          </w:tcPr>
          <w:p>
            <w:r>
              <w:rPr>
                <w:sz w:val="19"/>
              </w:rPr>
              <w:t>Airbnb</w:t>
            </w:r>
          </w:p>
        </w:tc>
        <w:tc>
          <w:tcPr>
            <w:tcW w:type="dxa" w:w="1608"/>
            <w:shd w:val="clear" w:fill="EEF1F7"/>
          </w:tcPr>
          <w:p>
            <w:r>
              <w:rPr>
                <w:sz w:val="19"/>
              </w:rPr>
              <w:t>Consumer Discretionary</w:t>
            </w:r>
          </w:p>
        </w:tc>
        <w:tc>
          <w:tcPr>
            <w:tcW w:type="dxa" w:w="1608"/>
            <w:shd w:val="clear" w:fill="EEF1F7"/>
          </w:tcPr>
          <w:p>
            <w:r>
              <w:rPr>
                <w:sz w:val="19"/>
              </w:rPr>
              <w:t>18 (+57)</w:t>
            </w:r>
          </w:p>
        </w:tc>
        <w:tc>
          <w:tcPr>
            <w:tcW w:type="dxa" w:w="1608"/>
            <w:shd w:val="clear" w:fill="EEF1F7"/>
          </w:tcPr>
          <w:p>
            <w:r>
              <w:rPr>
                <w:sz w:val="19"/>
              </w:rPr>
              <w:t>C</w:t>
            </w:r>
          </w:p>
        </w:tc>
        <w:tc>
          <w:tcPr>
            <w:tcW w:type="dxa" w:w="1608"/>
            <w:shd w:val="clear" w:fill="EEF1F7"/>
          </w:tcPr>
          <w:p>
            <w:r>
              <w:rPr>
                <w:sz w:val="19"/>
              </w:rPr>
              <w:t>+0.9%</w:t>
            </w:r>
          </w:p>
        </w:tc>
      </w:tr>
      <w:tr>
        <w:tc>
          <w:tcPr>
            <w:tcW w:type="dxa" w:w="1608"/>
          </w:tcPr>
          <w:p>
            <w:r>
              <w:rPr>
                <w:sz w:val="19"/>
              </w:rPr>
              <w:t>A</w:t>
            </w:r>
          </w:p>
        </w:tc>
        <w:tc>
          <w:tcPr>
            <w:tcW w:type="dxa" w:w="1608"/>
          </w:tcPr>
          <w:p>
            <w:r>
              <w:rPr>
                <w:sz w:val="19"/>
              </w:rPr>
              <w:t>Agilent Technologies</w:t>
            </w:r>
          </w:p>
        </w:tc>
        <w:tc>
          <w:tcPr>
            <w:tcW w:type="dxa" w:w="1608"/>
          </w:tcPr>
          <w:p>
            <w:r>
              <w:rPr>
                <w:sz w:val="19"/>
              </w:rPr>
              <w:t>Health Care</w:t>
            </w:r>
          </w:p>
        </w:tc>
        <w:tc>
          <w:tcPr>
            <w:tcW w:type="dxa" w:w="1608"/>
          </w:tcPr>
          <w:p>
            <w:r>
              <w:rPr>
                <w:sz w:val="19"/>
              </w:rPr>
              <w:t>25 (+108)</w:t>
            </w:r>
          </w:p>
        </w:tc>
        <w:tc>
          <w:tcPr>
            <w:tcW w:type="dxa" w:w="1608"/>
          </w:tcPr>
          <w:p>
            <w:r>
              <w:rPr>
                <w:sz w:val="19"/>
              </w:rPr>
              <w:t>B</w:t>
            </w:r>
          </w:p>
        </w:tc>
        <w:tc>
          <w:tcPr>
            <w:tcW w:type="dxa" w:w="1608"/>
          </w:tcPr>
          <w:p>
            <w:r>
              <w:rPr>
                <w:sz w:val="19"/>
              </w:rPr>
              <w:t>+0.2%</w:t>
            </w:r>
          </w:p>
        </w:tc>
      </w:tr>
      <w:tr>
        <w:tc>
          <w:tcPr>
            <w:tcW w:type="dxa" w:w="1608"/>
            <w:shd w:val="clear" w:fill="EEF1F7"/>
          </w:tcPr>
          <w:p>
            <w:r>
              <w:rPr>
                <w:sz w:val="19"/>
              </w:rPr>
              <w:t>ARCC</w:t>
            </w:r>
          </w:p>
        </w:tc>
        <w:tc>
          <w:tcPr>
            <w:tcW w:type="dxa" w:w="1608"/>
            <w:shd w:val="clear" w:fill="EEF1F7"/>
          </w:tcPr>
          <w:p>
            <w:r>
              <w:rPr>
                <w:sz w:val="19"/>
              </w:rPr>
              <w:t>Ares Capital</w:t>
            </w:r>
          </w:p>
        </w:tc>
        <w:tc>
          <w:tcPr>
            <w:tcW w:type="dxa" w:w="1608"/>
            <w:shd w:val="clear" w:fill="EEF1F7"/>
          </w:tcPr>
          <w:p>
            <w:r>
              <w:rPr>
                <w:sz w:val="19"/>
              </w:rPr>
              <w:t>Financials</w:t>
            </w:r>
          </w:p>
        </w:tc>
        <w:tc>
          <w:tcPr>
            <w:tcW w:type="dxa" w:w="1608"/>
            <w:shd w:val="clear" w:fill="EEF1F7"/>
          </w:tcPr>
          <w:p>
            <w:r>
              <w:rPr>
                <w:sz w:val="19"/>
              </w:rPr>
              <w:t>26 (+412)</w:t>
            </w:r>
          </w:p>
        </w:tc>
        <w:tc>
          <w:tcPr>
            <w:tcW w:type="dxa" w:w="1608"/>
            <w:shd w:val="clear" w:fill="EEF1F7"/>
          </w:tcPr>
          <w:p>
            <w:r>
              <w:rPr>
                <w:sz w:val="19"/>
              </w:rPr>
              <w:t>C</w:t>
            </w:r>
          </w:p>
        </w:tc>
        <w:tc>
          <w:tcPr>
            <w:tcW w:type="dxa" w:w="1608"/>
            <w:shd w:val="clear" w:fill="EEF1F7"/>
          </w:tcPr>
          <w:p>
            <w:r>
              <w:rPr>
                <w:sz w:val="19"/>
              </w:rPr>
              <w:t>+1.1%</w:t>
            </w:r>
          </w:p>
        </w:tc>
      </w:tr>
      <w:tr>
        <w:tc>
          <w:tcPr>
            <w:tcW w:type="dxa" w:w="1608"/>
          </w:tcPr>
          <w:p>
            <w:r>
              <w:rPr>
                <w:sz w:val="19"/>
              </w:rPr>
              <w:t>ADM</w:t>
            </w:r>
          </w:p>
        </w:tc>
        <w:tc>
          <w:tcPr>
            <w:tcW w:type="dxa" w:w="1608"/>
          </w:tcPr>
          <w:p>
            <w:r>
              <w:rPr>
                <w:sz w:val="19"/>
              </w:rPr>
              <w:t>Archer Daniels Midland</w:t>
            </w:r>
          </w:p>
        </w:tc>
        <w:tc>
          <w:tcPr>
            <w:tcW w:type="dxa" w:w="1608"/>
          </w:tcPr>
          <w:p>
            <w:r>
              <w:rPr>
                <w:sz w:val="19"/>
              </w:rPr>
              <w:t>Consumer Staples</w:t>
            </w:r>
          </w:p>
        </w:tc>
        <w:tc>
          <w:tcPr>
            <w:tcW w:type="dxa" w:w="1608"/>
          </w:tcPr>
          <w:p>
            <w:r>
              <w:rPr>
                <w:sz w:val="19"/>
              </w:rPr>
              <w:t>32 (+963)</w:t>
            </w:r>
          </w:p>
        </w:tc>
        <w:tc>
          <w:tcPr>
            <w:tcW w:type="dxa" w:w="1608"/>
          </w:tcPr>
          <w:p>
            <w:r>
              <w:rPr>
                <w:sz w:val="19"/>
              </w:rPr>
              <w:t>C</w:t>
            </w:r>
          </w:p>
        </w:tc>
        <w:tc>
          <w:tcPr>
            <w:tcW w:type="dxa" w:w="1608"/>
          </w:tcPr>
          <w:p>
            <w:r>
              <w:rPr>
                <w:sz w:val="19"/>
              </w:rPr>
              <w:t>+3.6%</w:t>
            </w:r>
          </w:p>
        </w:tc>
      </w:tr>
    </w:tbl>
    <w:p/>
    <w:p>
      <w:r>
        <w:t xml:space="preserve">The way to read this: the health-care and energy names line up with the two strongest threads on the board this week, strength confirmed by the group around it. The ones sitting closest to their 20-day (Airbnb +0.9%, Agilent +0.2%, ARCC +1.1%) are the least stretched, so if you were going to do the work, they're the ones offering a lower-risk entry on a pause rather than a chase. The discipline stays the same: buy strength early on a rest, never a vertical move, and respect the trend in front of you. </w:t>
      </w:r>
      <w:r>
        <w:rPr>
          <w:i/>
        </w:rPr>
        <w:t>This is educational commentary, not advice — do your own homework.</w:t>
      </w:r>
    </w:p>
    <w:p>
      <w:pPr>
        <w:spacing w:before="240" w:after="80"/>
      </w:pPr>
      <w:r>
        <w:rPr>
          <w:b/>
          <w:color w:val="1F3864"/>
          <w:sz w:val="30"/>
        </w:rPr>
        <w:t>8. Where We Stand</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864"/>
          </w:tcPr>
          <w:p>
            <w:r>
              <w:rPr>
                <w:b/>
                <w:color w:val="FFFFFF"/>
                <w:sz w:val="19"/>
              </w:rPr>
              <w:t>Check</w:t>
            </w:r>
          </w:p>
        </w:tc>
        <w:tc>
          <w:tcPr>
            <w:tcW w:type="dxa" w:w="3216"/>
            <w:shd w:val="clear" w:fill="1F3864"/>
          </w:tcPr>
          <w:p>
            <w:r>
              <w:rPr>
                <w:b/>
                <w:color w:val="FFFFFF"/>
                <w:sz w:val="19"/>
              </w:rPr>
              <w:t>Reading</w:t>
            </w:r>
          </w:p>
        </w:tc>
        <w:tc>
          <w:tcPr>
            <w:tcW w:type="dxa" w:w="3216"/>
            <w:shd w:val="clear" w:fill="1F3864"/>
          </w:tcPr>
          <w:p>
            <w:r>
              <w:rPr>
                <w:b/>
                <w:color w:val="FFFFFF"/>
                <w:sz w:val="19"/>
              </w:rPr>
              <w:t>Note</w:t>
            </w:r>
          </w:p>
        </w:tc>
      </w:tr>
      <w:tr>
        <w:tc>
          <w:tcPr>
            <w:tcW w:type="dxa" w:w="3216"/>
          </w:tcPr>
          <w:p>
            <w:r>
              <w:rPr>
                <w:sz w:val="19"/>
              </w:rPr>
              <w:t>S&amp;P 500 level</w:t>
            </w:r>
          </w:p>
        </w:tc>
        <w:tc>
          <w:tcPr>
            <w:tcW w:type="dxa" w:w="3216"/>
          </w:tcPr>
          <w:p>
            <w:r>
              <w:rPr>
                <w:sz w:val="19"/>
              </w:rPr>
              <w:t>7,718.6</w:t>
            </w:r>
          </w:p>
        </w:tc>
        <w:tc>
          <w:tcPr>
            <w:tcW w:type="dxa" w:w="3216"/>
          </w:tcPr>
          <w:p>
            <w:r>
              <w:rPr>
                <w:sz w:val="19"/>
              </w:rPr>
              <w:t>-1.0% below the Aug 13 high</w:t>
            </w:r>
          </w:p>
        </w:tc>
      </w:tr>
      <w:tr>
        <w:tc>
          <w:tcPr>
            <w:tcW w:type="dxa" w:w="3216"/>
            <w:shd w:val="clear" w:fill="EEF1F7"/>
          </w:tcPr>
          <w:p>
            <w:r>
              <w:rPr>
                <w:sz w:val="19"/>
              </w:rPr>
              <w:t>S&amp;P vs 200-day</w:t>
            </w:r>
          </w:p>
        </w:tc>
        <w:tc>
          <w:tcPr>
            <w:tcW w:type="dxa" w:w="3216"/>
            <w:shd w:val="clear" w:fill="EEF1F7"/>
          </w:tcPr>
          <w:p>
            <w:r>
              <w:rPr>
                <w:sz w:val="19"/>
              </w:rPr>
              <w:t>ABOVE</w:t>
            </w:r>
          </w:p>
        </w:tc>
        <w:tc>
          <w:tcPr>
            <w:tcW w:type="dxa" w:w="3216"/>
            <w:shd w:val="clear" w:fill="EEF1F7"/>
          </w:tcPr>
          <w:p>
            <w:r>
              <w:rPr>
                <w:sz w:val="19"/>
              </w:rPr>
              <w:t>7,718.6 vs 7,182.56</w:t>
            </w:r>
          </w:p>
        </w:tc>
      </w:tr>
      <w:tr>
        <w:tc>
          <w:tcPr>
            <w:tcW w:type="dxa" w:w="3216"/>
          </w:tcPr>
          <w:p>
            <w:r>
              <w:rPr>
                <w:sz w:val="19"/>
              </w:rPr>
              <w:t>Stocks above 200-day</w:t>
            </w:r>
          </w:p>
        </w:tc>
        <w:tc>
          <w:tcPr>
            <w:tcW w:type="dxa" w:w="3216"/>
          </w:tcPr>
          <w:p>
            <w:r>
              <w:rPr>
                <w:sz w:val="19"/>
              </w:rPr>
              <w:t>60.71%</w:t>
            </w:r>
          </w:p>
        </w:tc>
        <w:tc>
          <w:tcPr>
            <w:tcW w:type="dxa" w:w="3216"/>
          </w:tcPr>
          <w:p>
            <w:r>
              <w:rPr>
                <w:sz w:val="19"/>
              </w:rPr>
              <w:t>broad, not booming</w:t>
            </w:r>
          </w:p>
        </w:tc>
      </w:tr>
      <w:tr>
        <w:tc>
          <w:tcPr>
            <w:tcW w:type="dxa" w:w="3216"/>
            <w:shd w:val="clear" w:fill="EEF1F7"/>
          </w:tcPr>
          <w:p>
            <w:r>
              <w:rPr>
                <w:sz w:val="19"/>
              </w:rPr>
              <w:t>Stocks above 50-day</w:t>
            </w:r>
          </w:p>
        </w:tc>
        <w:tc>
          <w:tcPr>
            <w:tcW w:type="dxa" w:w="3216"/>
            <w:shd w:val="clear" w:fill="EEF1F7"/>
          </w:tcPr>
          <w:p>
            <w:r>
              <w:rPr>
                <w:sz w:val="19"/>
              </w:rPr>
              <w:t>52.28%</w:t>
            </w:r>
          </w:p>
        </w:tc>
        <w:tc>
          <w:tcPr>
            <w:tcW w:type="dxa" w:w="3216"/>
            <w:shd w:val="clear" w:fill="EEF1F7"/>
          </w:tcPr>
          <w:p>
            <w:r>
              <w:rPr>
                <w:sz w:val="19"/>
              </w:rPr>
              <w:t>roughly split</w:t>
            </w:r>
          </w:p>
        </w:tc>
      </w:tr>
      <w:tr>
        <w:tc>
          <w:tcPr>
            <w:tcW w:type="dxa" w:w="3216"/>
          </w:tcPr>
          <w:p>
            <w:r>
              <w:rPr>
                <w:sz w:val="19"/>
              </w:rPr>
              <w:t>New highs vs lows</w:t>
            </w:r>
          </w:p>
        </w:tc>
        <w:tc>
          <w:tcPr>
            <w:tcW w:type="dxa" w:w="3216"/>
          </w:tcPr>
          <w:p>
            <w:r>
              <w:rPr>
                <w:sz w:val="19"/>
              </w:rPr>
              <w:t>0 vs 0</w:t>
            </w:r>
          </w:p>
        </w:tc>
        <w:tc>
          <w:tcPr>
            <w:tcW w:type="dxa" w:w="3216"/>
          </w:tcPr>
          <w:p>
            <w:r>
              <w:rPr>
                <w:sz w:val="19"/>
              </w:rPr>
              <w:t>quiet</w:t>
            </w:r>
          </w:p>
        </w:tc>
      </w:tr>
      <w:tr>
        <w:tc>
          <w:tcPr>
            <w:tcW w:type="dxa" w:w="3216"/>
            <w:shd w:val="clear" w:fill="EEF1F7"/>
          </w:tcPr>
          <w:p>
            <w:r>
              <w:rPr>
                <w:sz w:val="19"/>
              </w:rPr>
              <w:t>Advancers vs decliners</w:t>
            </w:r>
          </w:p>
        </w:tc>
        <w:tc>
          <w:tcPr>
            <w:tcW w:type="dxa" w:w="3216"/>
            <w:shd w:val="clear" w:fill="EEF1F7"/>
          </w:tcPr>
          <w:p>
            <w:r>
              <w:rPr>
                <w:sz w:val="19"/>
              </w:rPr>
              <w:t>105 vs 91</w:t>
            </w:r>
          </w:p>
        </w:tc>
        <w:tc>
          <w:tcPr>
            <w:tcW w:type="dxa" w:w="3216"/>
            <w:shd w:val="clear" w:fill="EEF1F7"/>
          </w:tcPr>
          <w:p>
            <w:r>
              <w:rPr>
                <w:sz w:val="19"/>
              </w:rPr>
              <w:t>mild positive</w:t>
            </w:r>
          </w:p>
        </w:tc>
      </w:tr>
      <w:tr>
        <w:tc>
          <w:tcPr>
            <w:tcW w:type="dxa" w:w="3216"/>
          </w:tcPr>
          <w:p>
            <w:r>
              <w:rPr>
                <w:sz w:val="19"/>
              </w:rPr>
              <w:t>VIX</w:t>
            </w:r>
          </w:p>
        </w:tc>
        <w:tc>
          <w:tcPr>
            <w:tcW w:type="dxa" w:w="3216"/>
          </w:tcPr>
          <w:p>
            <w:r>
              <w:rPr>
                <w:sz w:val="19"/>
              </w:rPr>
              <w:t>14.52</w:t>
            </w:r>
          </w:p>
        </w:tc>
        <w:tc>
          <w:tcPr>
            <w:tcW w:type="dxa" w:w="3216"/>
          </w:tcPr>
          <w:p>
            <w:r>
              <w:rPr>
                <w:sz w:val="19"/>
              </w:rPr>
              <w:t>calm</w:t>
            </w:r>
          </w:p>
        </w:tc>
      </w:tr>
      <w:tr>
        <w:tc>
          <w:tcPr>
            <w:tcW w:type="dxa" w:w="3216"/>
            <w:shd w:val="clear" w:fill="EEF1F7"/>
          </w:tcPr>
          <w:p>
            <w:r>
              <w:rPr>
                <w:sz w:val="19"/>
              </w:rPr>
              <w:t>Credit spreads</w:t>
            </w:r>
          </w:p>
        </w:tc>
        <w:tc>
          <w:tcPr>
            <w:tcW w:type="dxa" w:w="3216"/>
            <w:shd w:val="clear" w:fill="EEF1F7"/>
          </w:tcPr>
          <w:p>
            <w:r>
              <w:rPr>
                <w:sz w:val="19"/>
              </w:rPr>
              <w:t>n/a (FRED pending)</w:t>
            </w:r>
          </w:p>
        </w:tc>
        <w:tc>
          <w:tcPr>
            <w:tcW w:type="dxa" w:w="3216"/>
            <w:shd w:val="clear" w:fill="EEF1F7"/>
          </w:tcPr>
          <w:p>
            <w:r>
              <w:rPr>
                <w:sz w:val="19"/>
              </w:rPr>
              <w:t>not available this week</w:t>
            </w:r>
          </w:p>
        </w:tc>
      </w:tr>
      <w:tr>
        <w:tc>
          <w:tcPr>
            <w:tcW w:type="dxa" w:w="3216"/>
          </w:tcPr>
          <w:p>
            <w:r>
              <w:rPr>
                <w:sz w:val="19"/>
              </w:rPr>
              <w:t>Gold</w:t>
            </w:r>
          </w:p>
        </w:tc>
        <w:tc>
          <w:tcPr>
            <w:tcW w:type="dxa" w:w="3216"/>
          </w:tcPr>
          <w:p>
            <w:r>
              <w:rPr>
                <w:sz w:val="19"/>
              </w:rPr>
              <w:t>-0.0% wk</w:t>
            </w:r>
          </w:p>
        </w:tc>
        <w:tc>
          <w:tcPr>
            <w:tcW w:type="dxa" w:w="3216"/>
          </w:tcPr>
          <w:p>
            <w:r>
              <w:rPr>
                <w:sz w:val="19"/>
              </w:rPr>
              <w:t>no fear bid</w:t>
            </w:r>
          </w:p>
        </w:tc>
      </w:tr>
      <w:tr>
        <w:tc>
          <w:tcPr>
            <w:tcW w:type="dxa" w:w="3216"/>
            <w:shd w:val="clear" w:fill="EEF1F7"/>
          </w:tcPr>
          <w:p>
            <w:r>
              <w:rPr>
                <w:sz w:val="19"/>
              </w:rPr>
              <w:t>Junk bonds (HYG)</w:t>
            </w:r>
          </w:p>
        </w:tc>
        <w:tc>
          <w:tcPr>
            <w:tcW w:type="dxa" w:w="3216"/>
            <w:shd w:val="clear" w:fill="EEF1F7"/>
          </w:tcPr>
          <w:p>
            <w:r>
              <w:rPr>
                <w:sz w:val="19"/>
              </w:rPr>
              <w:t>-0.2% wk</w:t>
            </w:r>
          </w:p>
        </w:tc>
        <w:tc>
          <w:tcPr>
            <w:tcW w:type="dxa" w:w="3216"/>
            <w:shd w:val="clear" w:fill="EEF1F7"/>
          </w:tcPr>
          <w:p>
            <w:r>
              <w:rPr>
                <w:sz w:val="19"/>
              </w:rPr>
              <w:t>steady</w:t>
            </w:r>
          </w:p>
        </w:tc>
      </w:tr>
      <w:tr>
        <w:tc>
          <w:tcPr>
            <w:tcW w:type="dxa" w:w="3216"/>
          </w:tcPr>
          <w:p>
            <w:r>
              <w:rPr>
                <w:sz w:val="19"/>
              </w:rPr>
              <w:t>Dollar (DXY)</w:t>
            </w:r>
          </w:p>
        </w:tc>
        <w:tc>
          <w:tcPr>
            <w:tcW w:type="dxa" w:w="3216"/>
          </w:tcPr>
          <w:p>
            <w:r>
              <w:rPr>
                <w:sz w:val="19"/>
              </w:rPr>
              <w:t>-0.5% wk</w:t>
            </w:r>
          </w:p>
        </w:tc>
        <w:tc>
          <w:tcPr>
            <w:tcW w:type="dxa" w:w="3216"/>
          </w:tcPr>
          <w:p>
            <w:r>
              <w:rPr>
                <w:sz w:val="19"/>
              </w:rPr>
              <w:t>soft, risk-on</w:t>
            </w:r>
          </w:p>
        </w:tc>
      </w:tr>
    </w:tbl>
    <w:p/>
    <w:p>
      <w:r>
        <w:t>The cross-asset panel is the story here. An oil shock hit, and the market's fear channels stayed shut: VIX calm, gold flat, junk steady, dollar soft. That's a tape treating a scary headline as a supply issue, not a systemic one. The one blemish is breadth. At 60.71% above the 200-day and a barely-positive advance/decline, participation is adequate rather than strong. Credit spreads are unavailable this week, so I'm flying with one fewer instrument than usual, worth noting rather than papering over.</w:t>
      </w:r>
    </w:p>
    <w:p>
      <w:r>
        <w:t>Scenarios for the weeks ahead:</w:t>
      </w:r>
    </w:p>
    <w:p>
      <w:pPr>
        <w:pStyle w:val="ListBullet"/>
      </w:pPr>
      <w:r>
        <w:rPr>
          <w:b/>
        </w:rPr>
        <w:t>Base case (55%):</w:t>
      </w:r>
      <w:r>
        <w:t xml:space="preserve"> The rotation keeps running — energy, industrials, health care and cyclicals lead while expensive software cools. Index chops sideways-to-up near its record. Oil stays a headline, not a contagion.</w:t>
      </w:r>
    </w:p>
    <w:p>
      <w:pPr>
        <w:pStyle w:val="ListBullet"/>
      </w:pPr>
      <w:r>
        <w:rPr>
          <w:b/>
        </w:rPr>
        <w:t>Bull case (25%):</w:t>
      </w:r>
      <w:r>
        <w:t xml:space="preserve"> Oil calms, yields stop backing up, and the beaten-down chip names that just climbed off the floor turn their rank recovery into real leadership. Breadth widens back above the mid-60s and the record falls.</w:t>
      </w:r>
    </w:p>
    <w:p>
      <w:pPr>
        <w:pStyle w:val="ListBullet"/>
      </w:pPr>
      <w:r>
        <w:rPr>
          <w:b/>
        </w:rPr>
        <w:t>Bear case (20%):</w:t>
      </w:r>
      <w:r>
        <w:t xml:space="preserve"> The oil spike keeps going and drags junk and the dollar with it, or rising yields (10-year already at 4.77%) keep punishing growth until the selling broadens. Breadth is thin enough that it wouldn't take much.</w:t>
      </w:r>
    </w:p>
    <w:p>
      <w:r>
        <w:t>Stance: constructive but selective. Lean where the board is leading, cyclicals and health care, and treat the megacap-chip bounce as unproven until the rank confirms it.</w:t>
      </w:r>
    </w:p>
    <w:p>
      <w:pPr>
        <w:spacing w:before="240" w:after="80"/>
      </w:pPr>
      <w:r>
        <w:rPr>
          <w:b/>
          <w:color w:val="1F3864"/>
          <w:sz w:val="30"/>
        </w:rPr>
        <w:t>9. The Algo (educational paper track record)</w:t>
      </w:r>
    </w:p>
    <w:p>
      <w:r>
        <w:t>No sugar-coating this one. The paper strategy's equity sits at $7,452 — down 85.1% since its May 27 inception — against the S&amp;P at +2.6% and QQQ at -1.6% over the same stretch. Week-over-week it dropped another 85.2%, which points to a data or accounting break in the sleeve as much as market losses. Either way, the honest number is ugly and it stays on the page. Across all 66 closed trades the win rate is 32% (21 winners), averaging -1.2% and -0.16R per trade.</w:t>
      </w:r>
    </w:p>
    <w:p>
      <w:r>
        <w:t>What it closed this week fits the rotation. The two winners were trailed out for gains — ADUS +5.4% (+1.04R) and WEX +3.3% (+0.43R). The four stops were the tell: Agilent -5.3%, Blackstone -6.5%, and both precious-metals names Wheaton -7.1% and Newmont -7.2%. Getting stopped out of gold miners the same week gold went nowhere and energy led is the system doing what it's built to do, cutting the laggards. The open book still leans energy (MPC, PSX, DINO, CRGY) and financials (JPM, MA, SEIC, WTW), which lines up with where the board's strength is.</w:t>
      </w:r>
    </w:p>
    <w:p>
      <w:r>
        <w:rPr>
          <w:i/>
        </w:rPr>
        <w:t>Methodology. The Algo is a long-only, rules-based paper strategy on a $50,000 notional sleeve, trading the same ~1,900-stock universe. A name is bought only if it clears every gate: its sector ranks near the top of the board with broad participation, earnings are growing year-over-year in both revenue and profit, it isn't already held, and it's past a 21-day cooldown. Qualifying setups are sorted into four conviction tiers by how many independent signals fire — from T1 (multiple 'strong' chart patterns, risked at 1.5% of the sleeve) down to T4 (relative-strength acceleration, 0.5%). Size is set by risk, not dollars: each trade is sized so a stop 2×ATR below entry costs only that tier's risk budget, capped at $2,000–$6,000. Exits are mechanical — scale out a third at +2R and a third at +4R (1R = the initial stop distance), trail the remainder by 2×ATR, book some after a +25% spike, and time out positions left flat after 25 trading days. New entries pause if the book is down 2% on the day or 8% from its peak. Signals are generated after the close and filled the next session at the live price plus 0.15% slippage. These are educational paper results — not advice, and not a live account.</w:t>
      </w:r>
    </w:p>
    <w:p>
      <w:pPr>
        <w:spacing w:before="240" w:after="80"/>
      </w:pPr>
      <w:r>
        <w:rPr>
          <w:b/>
          <w:color w:val="1F3864"/>
          <w:sz w:val="30"/>
        </w:rPr>
        <w:t>10. Key events next week</w:t>
      </w:r>
    </w:p>
    <w:p>
      <w:pPr>
        <w:pStyle w:val="ListBullet"/>
      </w:pPr>
      <w:r>
        <w:rPr>
          <w:b/>
        </w:rPr>
        <w:t>Oracle earnings (Sep 10).</w:t>
      </w:r>
      <w:r>
        <w:t xml:space="preserve"> The real tell: cloud-backlog and AI-infrastructure bookings. Oracle has become a proxy for whether hyperscaler AI demand is still accelerating or starting to digest. A soft print would echo Broadcom's guidance stumble.</w:t>
      </w:r>
    </w:p>
    <w:p>
      <w:pPr>
        <w:pStyle w:val="ListBullet"/>
      </w:pPr>
      <w:r>
        <w:rPr>
          <w:b/>
        </w:rPr>
        <w:t>Adobe earnings (Sep 10).</w:t>
      </w:r>
      <w:r>
        <w:t xml:space="preserve"> The real tell: whether AI is adding revenue or just adding cost. Adobe fell 8.6% on price this week despite holding a top-20 rank; the report decides which clock is right.</w:t>
      </w:r>
    </w:p>
    <w:p>
      <w:pPr>
        <w:pStyle w:val="ListBullet"/>
      </w:pPr>
      <w:r>
        <w:rPr>
          <w:b/>
        </w:rPr>
        <w:t>Apple product event (Sep 9).</w:t>
      </w:r>
      <w:r>
        <w:t xml:space="preserve"> Not an earnings report, but the market's watching for a foldable iPhone and the iPhone 18 line. Apple sits at #41 on the board with flat price, a catalyst that could move the rank either way.</w:t>
      </w:r>
    </w:p>
    <w:p>
      <w:pPr>
        <w:pStyle w:val="ListBullet"/>
      </w:pPr>
      <w:r>
        <w:rPr>
          <w:b/>
        </w:rPr>
        <w:t>Initial jobless claims (Sep 10).</w:t>
      </w:r>
      <w:r>
        <w:t xml:space="preserve"> The real tell: any crack in a labor market that still shows 4.1% unemployment. With yields backing up, a soft claims number would give the "cut coming" crowd fresh ammo.</w:t>
      </w:r>
    </w:p>
    <w:p>
      <w:pPr>
        <w:pStyle w:val="ListBullet"/>
      </w:pPr>
      <w:r>
        <w:rPr>
          <w:b/>
        </w:rPr>
        <w:t>Kroger (Sep 11), Chewy, Casey's, Macy's, Copart (Sep 8–10).</w:t>
      </w:r>
      <w:r>
        <w:t xml:space="preserve"> The consumer read. With apparel and hotels leading the board, these tell you whether the cyclical-consumer rotation has legs or is just a rank blip.</w:t>
      </w:r>
    </w:p>
    <w:p>
      <w:pPr>
        <w:spacing w:before="240" w:after="80"/>
      </w:pPr>
      <w:r>
        <w:rPr>
          <w:b/>
          <w:color w:val="1F3864"/>
          <w:sz w:val="30"/>
        </w:rPr>
        <w:t>11. Glossary</w:t>
      </w:r>
    </w:p>
    <w:p>
      <w:pPr>
        <w:pStyle w:val="ListBullet"/>
      </w:pPr>
      <w:r>
        <w:rPr>
          <w:b/>
        </w:rPr>
        <w:t>Our rank / the board:</w:t>
      </w:r>
      <w:r>
        <w:t xml:space="preserve"> we rank every US stock we track by relative strength, #1 strongest. "#8 in our system" means 8th-strongest of ~1,900.</w:t>
      </w:r>
    </w:p>
    <w:p>
      <w:pPr>
        <w:pStyle w:val="ListBullet"/>
      </w:pPr>
      <w:r>
        <w:rPr>
          <w:b/>
        </w:rPr>
        <w:t>Relative strength (RS):</w:t>
      </w:r>
      <w:r>
        <w:t xml:space="preserve"> performance versus the rest of the market, not in isolation. Rising RS = outperforming.</w:t>
      </w:r>
    </w:p>
    <w:p>
      <w:pPr>
        <w:pStyle w:val="ListBullet"/>
      </w:pPr>
      <w:r>
        <w:rPr>
          <w:b/>
        </w:rPr>
        <w:t>Moving averages (20/50/200-day):</w:t>
      </w:r>
      <w:r>
        <w:t xml:space="preserve"> the trend lines. A healthy uptrend has price above a rising 20-day, itself above the 200-day. "Extended" means far above the 20-day and prone to a pullback.</w:t>
      </w:r>
    </w:p>
    <w:p>
      <w:pPr>
        <w:pStyle w:val="ListBullet"/>
      </w:pPr>
      <w:r>
        <w:rPr>
          <w:b/>
        </w:rPr>
        <w:t>VIX:</w:t>
      </w:r>
      <w:r>
        <w:t xml:space="preserve"> the fear gauge. Below 20 = calm, above 20 = stress.</w:t>
      </w:r>
    </w:p>
    <w:p>
      <w:pPr>
        <w:pStyle w:val="ListBullet"/>
      </w:pPr>
      <w:r>
        <w:rPr>
          <w:b/>
        </w:rPr>
        <w:t>Credit spreads:</w:t>
      </w:r>
      <w:r>
        <w:t xml:space="preserve"> the extra yield investors demand on risky corporate bonds over safe government bonds. Widening = early warning; tight = calm.</w:t>
      </w:r>
    </w:p>
    <w:p>
      <w:pPr>
        <w:pStyle w:val="ListBullet"/>
      </w:pPr>
      <w:r>
        <w:rPr>
          <w:b/>
        </w:rPr>
        <w:t>Treasury yields / 2s10s:</w:t>
      </w:r>
      <w:r>
        <w:t xml:space="preserve"> the 10-year minus the 2-year. A rising 10-year yield pressures expensive, long-duration stocks; a negative ("inverted") spread has historically warned of recession.</w:t>
      </w:r>
    </w:p>
    <w:p>
      <w:pPr>
        <w:pStyle w:val="ListBullet"/>
      </w:pPr>
      <w:r>
        <w:rPr>
          <w:b/>
        </w:rPr>
        <w:t>Breadth:</w:t>
      </w:r>
      <w:r>
        <w:t xml:space="preserve"> how many stocks participate. Most stocks above their 200-day and new highs beating new lows = a broad, healthy rally.</w:t>
      </w:r>
    </w:p>
    <w:p>
      <w:pPr>
        <w:pStyle w:val="ListBullet"/>
      </w:pPr>
      <w:r>
        <w:rPr>
          <w:b/>
        </w:rPr>
        <w:t>Junk bonds:</w:t>
      </w:r>
      <w:r>
        <w:t xml:space="preserve"> bonds from riskier companies. Investors sell them first when scared, so a falling junk price is an early credit-stress signal.</w:t>
      </w:r>
    </w:p>
    <w:p>
      <w:pPr>
        <w:pStyle w:val="ListBullet"/>
      </w:pPr>
      <w:r>
        <w:rPr>
          <w:b/>
        </w:rPr>
        <w:t>Safe havens (gold, the dollar):</w:t>
      </w:r>
      <w:r>
        <w:t xml:space="preserve"> where money runs when afraid. A rally in either during a shock means the fear is real; flat through a scary headline means the market shrugged.</w:t>
      </w:r>
    </w:p>
    <w:p>
      <w:pPr>
        <w:pStyle w:val="ListBullet"/>
      </w:pPr>
      <w:r>
        <w:rPr>
          <w:b/>
        </w:rPr>
        <w:t>Node momentum:</w:t>
      </w:r>
      <w:r>
        <w:t xml:space="preserve"> the platform's 0-100 composite for a value-chain link (RS level and trend, EMA slopes, price vs the 50-day). 50 is the middle of the universe.</w:t>
      </w:r>
    </w:p>
    <w:p>
      <w:r>
        <w:t>Oil shocked the headlines but not the fear gauges, and while the index sat still, money quietly walked out of expensive software and into truckers, utilities, hotels and energy. Stay with what the board is leading, treat the chip bounce as unproven until the rank agrees, and remember none of this is advice — do your own homework. Stay invested, stay selective, and we'll see you next Sunday.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