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When the Fed Might Actually Hike</w:t>
      </w:r>
    </w:p>
    <w:p>
      <w:r>
        <w:rPr>
          <w:i/>
        </w:rPr>
        <w:t>Issue · 2026-09-11 · a weekly read built on ranking ~1,900 US stocks every day</w:t>
      </w:r>
    </w:p>
    <w:p>
      <w:r>
        <w:t xml:space="preserve">The S&amp;P closed the week at 7,656.98, down 0.8%, still 1.8% under its August 13 high. That top-line number is the calm part. Under it, something less calm: not a single stock we track finished the week above its 50-day moving average, and the odds of a Fed rate </w:t>
      </w:r>
      <w:r>
        <w:rPr>
          <w:i/>
        </w:rPr>
        <w:t>hike</w:t>
      </w:r>
      <w:r>
        <w:t xml:space="preserve"> on September 16 are running over 60%. Money didn't panic out of the market — advancers still beat decliners 3 to 1 — but it thinned out badly, and it's parking in strange corners while it waits for Wednesday.</w:t>
      </w:r>
    </w:p>
    <w:p>
      <w:pPr>
        <w:spacing w:before="240" w:after="80"/>
      </w:pPr>
      <w:r>
        <w:rPr>
          <w:b/>
          <w:color w:val="1F3864"/>
          <w:sz w:val="30"/>
        </w:rPr>
        <w:t>Grading our own calls</w:t>
      </w:r>
    </w:p>
    <w:p>
      <w:r>
        <w:t>Three open predictions from late June come due. I'll take them straight.</w:t>
      </w:r>
    </w:p>
    <w:p>
      <w:pPr>
        <w:pStyle w:val="ListBullet"/>
      </w:pPr>
      <w:r>
        <w:rPr>
          <w:b/>
        </w:rPr>
        <w:t>Health care/biotech holds its rotation (VKTX, RCUS, COGT and peers):</w:t>
      </w:r>
      <w:r>
        <w:t xml:space="preserve"> none of those names are anywhere on this week's board, and the leadership has long since moved on. Grade: C — the spark faded rather than built, so calling it a durable rotation was too generous.</w:t>
      </w:r>
    </w:p>
    <w:p>
      <w:pPr>
        <w:pStyle w:val="ListBullet"/>
      </w:pPr>
      <w:r>
        <w:rPr>
          <w:b/>
        </w:rPr>
        <w:t>Semiconductors stay in the lower half and don't reclaim a top-20 peer rank:</w:t>
      </w:r>
      <w:r>
        <w:t xml:space="preserve"> chips never took the board back over the summer, and the only fresh chip news this week is analyst </w:t>
      </w:r>
      <w:r>
        <w:rPr>
          <w:i/>
        </w:rPr>
        <w:t>coverage</w:t>
      </w:r>
      <w:r>
        <w:t xml:space="preserve"> starting (NVDA, AMD, AVGO all initiated Overweight at Piper Sandler) rather than rank leadership. Grade: B — direction right, the trade kept consolidating.</w:t>
      </w:r>
    </w:p>
    <w:p>
      <w:pPr>
        <w:pStyle w:val="ListBullet"/>
      </w:pPr>
      <w:r>
        <w:rPr>
          <w:b/>
        </w:rPr>
        <w:t>Regime stays healthy: VIX under 20 and &gt;60% of stocks above their 200-day:</w:t>
      </w:r>
      <w:r>
        <w:t xml:space="preserve"> half right. VIX sits at 15.84, calm as promised. But breadth has since rolled to 50% above the 200-day, under the 60% line I drew. Grade: C+ — the fear gauge behaved, the participation didn't.</w:t>
      </w:r>
    </w:p>
    <w:p>
      <w:r>
        <w:t>Honest scorecard: I read the mood right and the plumbing wrong. Breadth is the thing to watch now, and it's the thing that's cracking.</w:t>
      </w:r>
    </w:p>
    <w:p>
      <w:pPr>
        <w:spacing w:before="240" w:after="80"/>
      </w:pPr>
      <w:r>
        <w:rPr>
          <w:b/>
          <w:color w:val="1F3864"/>
          <w:sz w:val="30"/>
        </w:rPr>
        <w:t>1. The lead: the market is pricing a rate hike, not a cut</w:t>
      </w:r>
    </w:p>
    <w:p>
      <w:r>
        <w:t xml:space="preserve">For most of this cycle the argument was about </w:t>
      </w:r>
      <w:r>
        <w:rPr>
          <w:i/>
        </w:rPr>
        <w:t>when</w:t>
      </w:r>
      <w:r>
        <w:t xml:space="preserve"> the Fed cuts. This week the argument flipped. Coverage went one direction all week — odds of a hike at the September 16 FOMC surged past 60%, and a wave of "no cut next week" pieces followed. The trigger is inflation refusing to behave: wholesale prices (PPI) picked up in August, gasoline is pushing consumer prices higher, and Friday's CPI landed as the most-watched print in months.</w:t>
      </w:r>
    </w:p>
    <w:p>
      <w:r>
        <w:t>The board reads at CPI 3.4% year over year, still comfortably above the Fed's target, and the Fed funds upper target sits at 3.63%. When a central bank that markets assumed was done tightening starts sounding like it might go the other way, long-duration stocks (the expensive, growth-heavy names whose value sits far in the future) get repriced first. That's a big part of why the whole market slid under its 50-day this week even though the index barely moved. The average stock took the hit while a handful of index heavyweights held the tape up.</w:t>
      </w:r>
    </w:p>
    <w:p>
      <w:r>
        <w:t>What it means for your money: don't fight the front end. Until the Fed meeting clears, the tape is going to treat every inflation-flavored headline as a reason to sell duration and hide.</w:t>
      </w:r>
    </w:p>
    <w:p>
      <w:pPr>
        <w:spacing w:before="240" w:after="80"/>
      </w:pPr>
      <w:r>
        <w:rPr>
          <w:b/>
          <w:color w:val="1F3864"/>
          <w:sz w:val="30"/>
        </w:rPr>
        <w:t>2. Oil did the heavy lifting on inflation</w:t>
      </w:r>
    </w:p>
    <w:p>
      <w:r>
        <w:t>The single loudest cross-asset move this week was Brent crude, up 8.7% over the US week to 104.6. That's the direct line behind the "gasoline is boosting CPI" story — an oil move that size feeds straight into the wholesale and pump numbers the Fed is staring at.</w:t>
      </w:r>
    </w:p>
    <w:p>
      <w:r>
        <w:t>An 8.7% jump in a week usually rides a supply shock or a Middle-East headline, and it does two things at once. It stiffens the inflation case, which is bad for the rate-hike odds and bad for growth stocks, and it hands the energy complex a real tailwind. You'll see that second part show up in our paper portfolio's book below. It's leaning heavily into energy, and this is why.</w:t>
      </w:r>
    </w:p>
    <w:p>
      <w:r>
        <w:t>Copper, the other side of the commodity story, slipped 0.7% and Hang Seng fell 3.3% on soft China demand. So this isn't a broad "everything's booming" commodity surge. It's oil specifically, which is the inflation-unfriendly kind.</w:t>
      </w:r>
    </w:p>
    <w:p>
      <w:pPr>
        <w:spacing w:before="240" w:after="80"/>
      </w:pPr>
      <w:r>
        <w:rPr>
          <w:b/>
          <w:color w:val="1F3864"/>
          <w:sz w:val="30"/>
        </w:rPr>
        <w:t>3. Rates rose, the world stayed mixed</w:t>
      </w:r>
    </w:p>
    <w:p>
      <w:r>
        <w:t>The 10-year Treasury yield climbed 10 basis points on the week to 4.77%, the 2-year jumped 14bp to 4.34%, and the 2s10s spread sits at a positive 43bp and steepening. Rising yields with a steepening curve is the bond market saying "growth and inflation, both a little hotter," and it's a headwind for anything priced on far-off earnings.</w:t>
      </w:r>
    </w:p>
    <w:p>
      <w:r>
        <w:t>Overseas, the tape didn't line up neatly. Korea's KOSPI ran +3.3% on the week, and that's the memory-chip tell: Samsung and SK Hynix leading is the read-through to Micron and US memory, a rare bright spot for the semis while Taiwan (TAIEX -0.8%) and the AI-logic side stayed flat. Japan's Nikkei fell 1.6% while the yen firmed (USD/JPY down to 153.6, a 1.4% yen gain). Yen strength that fast is the carry-trade gauge worth watching, not a full unwind here, but the direction that precedes global risk-off if it accelerates. Bitcoin, the weekend risk proxy, slid 3.1%.</w:t>
      </w:r>
    </w:p>
    <w:p>
      <w:r>
        <w:t>Add it up: the world traded cautiously into a US week that was already bracing for the Fed. Nothing broke. Nothing celebrated.</w:t>
      </w:r>
    </w:p>
    <w:p>
      <w:pPr>
        <w:spacing w:before="240" w:after="80"/>
      </w:pPr>
      <w:r>
        <w:rPr>
          <w:b/>
          <w:color w:val="1F3864"/>
          <w:sz w:val="30"/>
        </w:rPr>
        <w:t>4. The board went narrow — and weird</w:t>
      </w:r>
    </w:p>
    <w:p>
      <w:r>
        <w:t>The internal that matters most: zero percent of the stocks we track closed the week above their 50-day moving average, and the share above the 200-day dropped from 63% to 50% in a single week. That's a sharp thinning of participation happening quietly, while the index looks fine.</w:t>
      </w:r>
    </w:p>
    <w:p>
      <w:r>
        <w:t>Now look at who actually climbed our board, and you can see where money went to hide: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ADEA</w:t>
            </w:r>
          </w:p>
        </w:tc>
        <w:tc>
          <w:tcPr>
            <w:tcW w:type="dxa" w:w="1930"/>
          </w:tcPr>
          <w:p>
            <w:r>
              <w:rPr>
                <w:sz w:val="19"/>
              </w:rPr>
              <w:t>Adeia, Inc.</w:t>
            </w:r>
          </w:p>
        </w:tc>
        <w:tc>
          <w:tcPr>
            <w:tcW w:type="dxa" w:w="1930"/>
          </w:tcPr>
          <w:p>
            <w:r>
              <w:rPr>
                <w:sz w:val="19"/>
              </w:rPr>
              <w:t>IT Consulting &amp; Other Services</w:t>
            </w:r>
          </w:p>
        </w:tc>
        <w:tc>
          <w:tcPr>
            <w:tcW w:type="dxa" w:w="1930"/>
          </w:tcPr>
          <w:p>
            <w:r>
              <w:rPr>
                <w:sz w:val="19"/>
              </w:rPr>
              <w:t>+0.8%</w:t>
            </w:r>
          </w:p>
        </w:tc>
      </w:tr>
      <w:tr>
        <w:tc>
          <w:tcPr>
            <w:tcW w:type="dxa" w:w="1930"/>
            <w:shd w:val="clear" w:fill="EEF1F7"/>
          </w:tcPr>
          <w:p>
            <w:r>
              <w:rPr>
                <w:sz w:val="19"/>
              </w:rPr>
              <w:t>2</w:t>
            </w:r>
          </w:p>
        </w:tc>
        <w:tc>
          <w:tcPr>
            <w:tcW w:type="dxa" w:w="1930"/>
            <w:shd w:val="clear" w:fill="EEF1F7"/>
          </w:tcPr>
          <w:p>
            <w:r>
              <w:rPr>
                <w:sz w:val="19"/>
              </w:rPr>
              <w:t>WLY</w:t>
            </w:r>
          </w:p>
        </w:tc>
        <w:tc>
          <w:tcPr>
            <w:tcW w:type="dxa" w:w="1930"/>
            <w:shd w:val="clear" w:fill="EEF1F7"/>
          </w:tcPr>
          <w:p>
            <w:r>
              <w:rPr>
                <w:sz w:val="19"/>
              </w:rPr>
              <w:t>John Wiley &amp; Sons</w:t>
            </w:r>
          </w:p>
        </w:tc>
        <w:tc>
          <w:tcPr>
            <w:tcW w:type="dxa" w:w="1930"/>
            <w:shd w:val="clear" w:fill="EEF1F7"/>
          </w:tcPr>
          <w:p>
            <w:r>
              <w:rPr>
                <w:sz w:val="19"/>
              </w:rPr>
              <w:t>Publishing</w:t>
            </w:r>
          </w:p>
        </w:tc>
        <w:tc>
          <w:tcPr>
            <w:tcW w:type="dxa" w:w="1930"/>
            <w:shd w:val="clear" w:fill="EEF1F7"/>
          </w:tcPr>
          <w:p>
            <w:r>
              <w:rPr>
                <w:sz w:val="19"/>
              </w:rPr>
              <w:t>-2.4%</w:t>
            </w:r>
          </w:p>
        </w:tc>
      </w:tr>
      <w:tr>
        <w:tc>
          <w:tcPr>
            <w:tcW w:type="dxa" w:w="1930"/>
          </w:tcPr>
          <w:p>
            <w:r>
              <w:rPr>
                <w:sz w:val="19"/>
              </w:rPr>
              <w:t>3</w:t>
            </w:r>
          </w:p>
        </w:tc>
        <w:tc>
          <w:tcPr>
            <w:tcW w:type="dxa" w:w="1930"/>
          </w:tcPr>
          <w:p>
            <w:r>
              <w:rPr>
                <w:sz w:val="19"/>
              </w:rPr>
              <w:t>HUBB</w:t>
            </w:r>
          </w:p>
        </w:tc>
        <w:tc>
          <w:tcPr>
            <w:tcW w:type="dxa" w:w="1930"/>
          </w:tcPr>
          <w:p>
            <w:r>
              <w:rPr>
                <w:sz w:val="19"/>
              </w:rPr>
              <w:t>Hubbell Incorporated</w:t>
            </w:r>
          </w:p>
        </w:tc>
        <w:tc>
          <w:tcPr>
            <w:tcW w:type="dxa" w:w="1930"/>
          </w:tcPr>
          <w:p>
            <w:r>
              <w:rPr>
                <w:sz w:val="19"/>
              </w:rPr>
              <w:t>Industrial Machinery</w:t>
            </w:r>
          </w:p>
        </w:tc>
        <w:tc>
          <w:tcPr>
            <w:tcW w:type="dxa" w:w="1930"/>
          </w:tcPr>
          <w:p>
            <w:r>
              <w:rPr>
                <w:sz w:val="19"/>
              </w:rPr>
              <w:t>-0.1%</w:t>
            </w:r>
          </w:p>
        </w:tc>
      </w:tr>
      <w:tr>
        <w:tc>
          <w:tcPr>
            <w:tcW w:type="dxa" w:w="1930"/>
            <w:shd w:val="clear" w:fill="EEF1F7"/>
          </w:tcPr>
          <w:p>
            <w:r>
              <w:rPr>
                <w:sz w:val="19"/>
              </w:rPr>
              <w:t>4</w:t>
            </w:r>
          </w:p>
        </w:tc>
        <w:tc>
          <w:tcPr>
            <w:tcW w:type="dxa" w:w="1930"/>
            <w:shd w:val="clear" w:fill="EEF1F7"/>
          </w:tcPr>
          <w:p>
            <w:r>
              <w:rPr>
                <w:sz w:val="19"/>
              </w:rPr>
              <w:t>UA</w:t>
            </w:r>
          </w:p>
        </w:tc>
        <w:tc>
          <w:tcPr>
            <w:tcW w:type="dxa" w:w="1930"/>
            <w:shd w:val="clear" w:fill="EEF1F7"/>
          </w:tcPr>
          <w:p>
            <w:r>
              <w:rPr>
                <w:sz w:val="19"/>
              </w:rPr>
              <w:t>Under Armour (Class C)</w:t>
            </w:r>
          </w:p>
        </w:tc>
        <w:tc>
          <w:tcPr>
            <w:tcW w:type="dxa" w:w="1930"/>
            <w:shd w:val="clear" w:fill="EEF1F7"/>
          </w:tcPr>
          <w:p>
            <w:r>
              <w:rPr>
                <w:sz w:val="19"/>
              </w:rPr>
              <w:t>Apparel &amp; Luxury Goods</w:t>
            </w:r>
          </w:p>
        </w:tc>
        <w:tc>
          <w:tcPr>
            <w:tcW w:type="dxa" w:w="1930"/>
            <w:shd w:val="clear" w:fill="EEF1F7"/>
          </w:tcPr>
          <w:p>
            <w:r>
              <w:rPr>
                <w:sz w:val="19"/>
              </w:rPr>
              <w:t>-2.5%</w:t>
            </w:r>
          </w:p>
        </w:tc>
      </w:tr>
    </w:tbl>
    <w:p/>
    <w:p>
      <w:r>
        <w:t xml:space="preserve">Look at the "Wk %" column. Three of the four strongest names on the board </w:t>
      </w:r>
      <w:r>
        <w:rPr>
          <w:i/>
        </w:rPr>
        <w:t>fell</w:t>
      </w:r>
      <w:r>
        <w:t xml:space="preserve"> on the week. That's the signature of a defensive, narrow tape: relative strength is being won by not going down much, not by going up. When the leaders of your board are green only in a relative sense, the market isn't rewarding offense.</w:t>
      </w:r>
    </w:p>
    <w:p>
      <w:r>
        <w:t>The sector rotation behind them is just as scattered — apparel jumped from 132nd to 4th, industrial machinery 119th to 3rd, publishing 70th to 2nd, IT consulting 22nd to 1st. Four unrelated corners, no common thread, no clean theme. This isn't leadership rotating from one group to the next. It's money flushing out of everything and settling wherever it can stand still.</w:t>
      </w:r>
    </w:p>
    <w:p>
      <w:pPr>
        <w:spacing w:before="240" w:after="80"/>
      </w:pPr>
      <w:r>
        <w:rPr>
          <w:b/>
          <w:color w:val="1F3864"/>
          <w:sz w:val="30"/>
        </w:rPr>
        <w:t>5. Theme of the week: cybersecurity, layer by layer</w:t>
      </w:r>
    </w:p>
    <w:p>
      <w:r>
        <w:t>Think of a company's digital defenses the way you'd think about protecting a building. First you decide who's allowed through the door (identity). Then you guard each room and every laptop inside (endpoint), the hallways connecting them (network), the offsite storage unit (cloud), the mailroom where strangers send things in (email and web), the filing cabinets and their backups (data), and the blueprints the whole place is built from (code). Finally you put guards in a control room watching the cameras (the security operations center, or SOC), and you hire people to run all of it (services).</w:t>
      </w:r>
    </w:p>
    <w:p>
      <w:r>
        <w:t>Our platform maps the cybersecurity value chain across those layers. This is a curated teaching spotlight, not a call on the sector and not a claim we cover the whole market. It's one lesson in how a chain works.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r>
              <w:rPr>
                <w:b/>
                <w:color w:val="FFFFFF"/>
                <w:sz w:val="19"/>
              </w:rPr>
              <w:t>Link</w:t>
            </w:r>
          </w:p>
        </w:tc>
        <w:tc>
          <w:tcPr>
            <w:tcW w:type="dxa" w:w="4824"/>
            <w:shd w:val="clear" w:fill="1F3864"/>
          </w:tcPr>
          <w:p>
            <w:r>
              <w:rPr>
                <w:b/>
                <w:color w:val="FFFFFF"/>
                <w:sz w:val="19"/>
              </w:rPr>
              <w:t>Companies</w:t>
            </w:r>
          </w:p>
        </w:tc>
      </w:tr>
      <w:tr>
        <w:tc>
          <w:tcPr>
            <w:tcW w:type="dxa" w:w="4824"/>
          </w:tcPr>
          <w:p>
            <w:r>
              <w:rPr>
                <w:sz w:val="19"/>
              </w:rPr>
              <w:t>Identity</w:t>
            </w:r>
          </w:p>
        </w:tc>
        <w:tc>
          <w:tcPr>
            <w:tcW w:type="dxa" w:w="4824"/>
          </w:tcPr>
          <w:p>
            <w:r>
              <w:rPr>
                <w:sz w:val="19"/>
              </w:rPr>
              <w:t>CYBR, MSFT, OKTA</w:t>
            </w:r>
          </w:p>
        </w:tc>
      </w:tr>
      <w:tr>
        <w:tc>
          <w:tcPr>
            <w:tcW w:type="dxa" w:w="4824"/>
            <w:shd w:val="clear" w:fill="EEF1F7"/>
          </w:tcPr>
          <w:p>
            <w:r>
              <w:rPr>
                <w:sz w:val="19"/>
              </w:rPr>
              <w:t>Endpoint</w:t>
            </w:r>
          </w:p>
        </w:tc>
        <w:tc>
          <w:tcPr>
            <w:tcW w:type="dxa" w:w="4824"/>
            <w:shd w:val="clear" w:fill="EEF1F7"/>
          </w:tcPr>
          <w:p>
            <w:r>
              <w:rPr>
                <w:sz w:val="19"/>
              </w:rPr>
              <w:t>CRWD, MSFT, S</w:t>
            </w:r>
          </w:p>
        </w:tc>
      </w:tr>
      <w:tr>
        <w:tc>
          <w:tcPr>
            <w:tcW w:type="dxa" w:w="4824"/>
          </w:tcPr>
          <w:p>
            <w:r>
              <w:rPr>
                <w:sz w:val="19"/>
              </w:rPr>
              <w:t>Network</w:t>
            </w:r>
          </w:p>
        </w:tc>
        <w:tc>
          <w:tcPr>
            <w:tcW w:type="dxa" w:w="4824"/>
          </w:tcPr>
          <w:p>
            <w:r>
              <w:rPr>
                <w:sz w:val="19"/>
              </w:rPr>
              <w:t>CHKP, CSCO, FTNT, JNPR, PANW</w:t>
            </w:r>
          </w:p>
        </w:tc>
      </w:tr>
      <w:tr>
        <w:tc>
          <w:tcPr>
            <w:tcW w:type="dxa" w:w="4824"/>
            <w:shd w:val="clear" w:fill="EEF1F7"/>
          </w:tcPr>
          <w:p>
            <w:r>
              <w:rPr>
                <w:sz w:val="19"/>
              </w:rPr>
              <w:t>Cloud &amp; App</w:t>
            </w:r>
          </w:p>
        </w:tc>
        <w:tc>
          <w:tcPr>
            <w:tcW w:type="dxa" w:w="4824"/>
            <w:shd w:val="clear" w:fill="EEF1F7"/>
          </w:tcPr>
          <w:p>
            <w:r>
              <w:rPr>
                <w:sz w:val="19"/>
              </w:rPr>
              <w:t>DDOG, NET, PANW, ZS</w:t>
            </w:r>
          </w:p>
        </w:tc>
      </w:tr>
      <w:tr>
        <w:tc>
          <w:tcPr>
            <w:tcW w:type="dxa" w:w="4824"/>
          </w:tcPr>
          <w:p>
            <w:r>
              <w:rPr>
                <w:sz w:val="19"/>
              </w:rPr>
              <w:t>Email &amp; Web</w:t>
            </w:r>
          </w:p>
        </w:tc>
        <w:tc>
          <w:tcPr>
            <w:tcW w:type="dxa" w:w="4824"/>
          </w:tcPr>
          <w:p>
            <w:r>
              <w:rPr>
                <w:sz w:val="19"/>
              </w:rPr>
              <w:t>AKAM, MSFT, NET</w:t>
            </w:r>
          </w:p>
        </w:tc>
      </w:tr>
      <w:tr>
        <w:tc>
          <w:tcPr>
            <w:tcW w:type="dxa" w:w="4824"/>
            <w:shd w:val="clear" w:fill="EEF1F7"/>
          </w:tcPr>
          <w:p>
            <w:r>
              <w:rPr>
                <w:sz w:val="19"/>
              </w:rPr>
              <w:t>Data &amp; Backup</w:t>
            </w:r>
          </w:p>
        </w:tc>
        <w:tc>
          <w:tcPr>
            <w:tcW w:type="dxa" w:w="4824"/>
            <w:shd w:val="clear" w:fill="EEF1F7"/>
          </w:tcPr>
          <w:p>
            <w:r>
              <w:rPr>
                <w:sz w:val="19"/>
              </w:rPr>
              <w:t>CVLT, RBRK, VRNS</w:t>
            </w:r>
          </w:p>
        </w:tc>
      </w:tr>
      <w:tr>
        <w:tc>
          <w:tcPr>
            <w:tcW w:type="dxa" w:w="4824"/>
          </w:tcPr>
          <w:p>
            <w:r>
              <w:rPr>
                <w:sz w:val="19"/>
              </w:rPr>
              <w:t>Vuln &amp; Code</w:t>
            </w:r>
          </w:p>
        </w:tc>
        <w:tc>
          <w:tcPr>
            <w:tcW w:type="dxa" w:w="4824"/>
          </w:tcPr>
          <w:p>
            <w:r>
              <w:rPr>
                <w:sz w:val="19"/>
              </w:rPr>
              <w:t>GTLB, QLYS, RPD, TENB</w:t>
            </w:r>
          </w:p>
        </w:tc>
      </w:tr>
      <w:tr>
        <w:tc>
          <w:tcPr>
            <w:tcW w:type="dxa" w:w="4824"/>
            <w:shd w:val="clear" w:fill="EEF1F7"/>
          </w:tcPr>
          <w:p>
            <w:r>
              <w:rPr>
                <w:sz w:val="19"/>
              </w:rPr>
              <w:t>Detection (SOC)</w:t>
            </w:r>
          </w:p>
        </w:tc>
        <w:tc>
          <w:tcPr>
            <w:tcW w:type="dxa" w:w="4824"/>
            <w:shd w:val="clear" w:fill="EEF1F7"/>
          </w:tcPr>
          <w:p>
            <w:r>
              <w:rPr>
                <w:sz w:val="19"/>
              </w:rPr>
              <w:t>CSCO, DDOG, ESTC, PANW</w:t>
            </w:r>
          </w:p>
        </w:tc>
      </w:tr>
      <w:tr>
        <w:tc>
          <w:tcPr>
            <w:tcW w:type="dxa" w:w="4824"/>
          </w:tcPr>
          <w:p>
            <w:r>
              <w:rPr>
                <w:sz w:val="19"/>
              </w:rPr>
              <w:t>Services</w:t>
            </w:r>
          </w:p>
        </w:tc>
        <w:tc>
          <w:tcPr>
            <w:tcW w:type="dxa" w:w="4824"/>
          </w:tcPr>
          <w:p>
            <w:r>
              <w:rPr>
                <w:sz w:val="19"/>
              </w:rPr>
              <w:t>ACN, BAH, CACI, LDOS, SAIC</w:t>
            </w:r>
          </w:p>
        </w:tc>
      </w:tr>
    </w:tbl>
    <w:p/>
    <w:p>
      <w:r>
        <w:t>Two things are worth teaching here. First, notice how a few names appear in link after link — Microsoft shows up in identity, endpoint and email; Palo Alto in network, cloud and the SOC. That's the land-grab logic of security: whoever owns the control room wants to sell you the door locks too, because one vendor watching every layer sees threats the point-products miss. Money in this business flows toward the platform that spans the most links, and cost flows away from the single-purpose tool that only guards one room.</w:t>
      </w:r>
    </w:p>
    <w:p>
      <w:r>
        <w:t xml:space="preserve">Second, the standout our screen flagged sits at the unglamorous end of the chain: </w:t>
      </w:r>
      <w:r>
        <w:rPr>
          <w:b/>
        </w:rPr>
        <w:t>CACI International, on price-to-sales of 1.4 with revenue growing 18% year over year.</w:t>
      </w:r>
      <w:r>
        <w:t xml:space="preserve"> That's the services layer — the people and contractors, heavy on government work, who actually operate the defenses. It's a screen, not a recommendation, and a reminder that the cheapest growth in a hot theme often hides in the least exciting link. The control-room software gets the magazine covers; the folks running it get overlooked.</w:t>
      </w:r>
    </w:p>
    <w:p>
      <w:r>
        <w:t>One live tie: our paper portfolio was stopped out of ESTC this week (down 11.1%), a name in the detection/SOC layer. Even inside a structurally growing theme, the individual charts weren't spared the broad breakdown. A good long-term story and a good current tape are two different questions.</w:t>
      </w:r>
    </w:p>
    <w:p>
      <w:pPr>
        <w:spacing w:before="240" w:after="80"/>
      </w:pPr>
      <w:r>
        <w:rPr>
          <w:b/>
          <w:color w:val="1F3864"/>
          <w:sz w:val="30"/>
        </w:rPr>
        <w:t>6. Where the money is going</w:t>
      </w:r>
    </w:p>
    <w:p>
      <w:r>
        <w:t>The weekly climbers are the same four names, and the size of the jumps tells you how thin the field was: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week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UA</w:t>
            </w:r>
          </w:p>
        </w:tc>
        <w:tc>
          <w:tcPr>
            <w:tcW w:type="dxa" w:w="1930"/>
          </w:tcPr>
          <w:p>
            <w:r>
              <w:rPr>
                <w:sz w:val="19"/>
              </w:rPr>
              <w:t>Consumer Discretionary</w:t>
            </w:r>
          </w:p>
        </w:tc>
        <w:tc>
          <w:tcPr>
            <w:tcW w:type="dxa" w:w="1930"/>
          </w:tcPr>
          <w:p>
            <w:r>
              <w:rPr>
                <w:sz w:val="19"/>
              </w:rPr>
              <w:t>1837 → 4</w:t>
            </w:r>
          </w:p>
        </w:tc>
        <w:tc>
          <w:tcPr>
            <w:tcW w:type="dxa" w:w="1930"/>
          </w:tcPr>
          <w:p>
            <w:r>
              <w:rPr>
                <w:sz w:val="19"/>
              </w:rPr>
              <w:t>+1,833</w:t>
            </w:r>
          </w:p>
        </w:tc>
        <w:tc>
          <w:tcPr>
            <w:tcW w:type="dxa" w:w="1930"/>
          </w:tcPr>
          <w:p>
            <w:r>
              <w:rPr>
                <w:sz w:val="19"/>
              </w:rPr>
              <w:t>-2.5%</w:t>
            </w:r>
          </w:p>
        </w:tc>
      </w:tr>
      <w:tr>
        <w:tc>
          <w:tcPr>
            <w:tcW w:type="dxa" w:w="1930"/>
            <w:shd w:val="clear" w:fill="EEF1F7"/>
          </w:tcPr>
          <w:p>
            <w:r>
              <w:rPr>
                <w:sz w:val="19"/>
              </w:rPr>
              <w:t>HUBB</w:t>
            </w:r>
          </w:p>
        </w:tc>
        <w:tc>
          <w:tcPr>
            <w:tcW w:type="dxa" w:w="1930"/>
            <w:shd w:val="clear" w:fill="EEF1F7"/>
          </w:tcPr>
          <w:p>
            <w:r>
              <w:rPr>
                <w:sz w:val="19"/>
              </w:rPr>
              <w:t>Industrials</w:t>
            </w:r>
          </w:p>
        </w:tc>
        <w:tc>
          <w:tcPr>
            <w:tcW w:type="dxa" w:w="1930"/>
            <w:shd w:val="clear" w:fill="EEF1F7"/>
          </w:tcPr>
          <w:p>
            <w:r>
              <w:rPr>
                <w:sz w:val="19"/>
              </w:rPr>
              <w:t>1635 → 3</w:t>
            </w:r>
          </w:p>
        </w:tc>
        <w:tc>
          <w:tcPr>
            <w:tcW w:type="dxa" w:w="1930"/>
            <w:shd w:val="clear" w:fill="EEF1F7"/>
          </w:tcPr>
          <w:p>
            <w:r>
              <w:rPr>
                <w:sz w:val="19"/>
              </w:rPr>
              <w:t>+1,632</w:t>
            </w:r>
          </w:p>
        </w:tc>
        <w:tc>
          <w:tcPr>
            <w:tcW w:type="dxa" w:w="1930"/>
            <w:shd w:val="clear" w:fill="EEF1F7"/>
          </w:tcPr>
          <w:p>
            <w:r>
              <w:rPr>
                <w:sz w:val="19"/>
              </w:rPr>
              <w:t>-0.1%</w:t>
            </w:r>
          </w:p>
        </w:tc>
      </w:tr>
      <w:tr>
        <w:tc>
          <w:tcPr>
            <w:tcW w:type="dxa" w:w="1930"/>
          </w:tcPr>
          <w:p>
            <w:r>
              <w:rPr>
                <w:sz w:val="19"/>
              </w:rPr>
              <w:t>ADEA</w:t>
            </w:r>
          </w:p>
        </w:tc>
        <w:tc>
          <w:tcPr>
            <w:tcW w:type="dxa" w:w="1930"/>
          </w:tcPr>
          <w:p>
            <w:r>
              <w:rPr>
                <w:sz w:val="19"/>
              </w:rPr>
              <w:t>Information Technology</w:t>
            </w:r>
          </w:p>
        </w:tc>
        <w:tc>
          <w:tcPr>
            <w:tcW w:type="dxa" w:w="1930"/>
          </w:tcPr>
          <w:p>
            <w:r>
              <w:rPr>
                <w:sz w:val="19"/>
              </w:rPr>
              <w:t>1352 → 1</w:t>
            </w:r>
          </w:p>
        </w:tc>
        <w:tc>
          <w:tcPr>
            <w:tcW w:type="dxa" w:w="1930"/>
          </w:tcPr>
          <w:p>
            <w:r>
              <w:rPr>
                <w:sz w:val="19"/>
              </w:rPr>
              <w:t>+1,351</w:t>
            </w:r>
          </w:p>
        </w:tc>
        <w:tc>
          <w:tcPr>
            <w:tcW w:type="dxa" w:w="1930"/>
          </w:tcPr>
          <w:p>
            <w:r>
              <w:rPr>
                <w:sz w:val="19"/>
              </w:rPr>
              <w:t>+0.8%</w:t>
            </w:r>
          </w:p>
        </w:tc>
      </w:tr>
      <w:tr>
        <w:tc>
          <w:tcPr>
            <w:tcW w:type="dxa" w:w="1930"/>
            <w:shd w:val="clear" w:fill="EEF1F7"/>
          </w:tcPr>
          <w:p>
            <w:r>
              <w:rPr>
                <w:sz w:val="19"/>
              </w:rPr>
              <w:t>WLY</w:t>
            </w:r>
          </w:p>
        </w:tc>
        <w:tc>
          <w:tcPr>
            <w:tcW w:type="dxa" w:w="1930"/>
            <w:shd w:val="clear" w:fill="EEF1F7"/>
          </w:tcPr>
          <w:p>
            <w:r>
              <w:rPr>
                <w:sz w:val="19"/>
              </w:rPr>
              <w:t>Communication Services</w:t>
            </w:r>
          </w:p>
        </w:tc>
        <w:tc>
          <w:tcPr>
            <w:tcW w:type="dxa" w:w="1930"/>
            <w:shd w:val="clear" w:fill="EEF1F7"/>
          </w:tcPr>
          <w:p>
            <w:r>
              <w:rPr>
                <w:sz w:val="19"/>
              </w:rPr>
              <w:t>931 → 2</w:t>
            </w:r>
          </w:p>
        </w:tc>
        <w:tc>
          <w:tcPr>
            <w:tcW w:type="dxa" w:w="1930"/>
            <w:shd w:val="clear" w:fill="EEF1F7"/>
          </w:tcPr>
          <w:p>
            <w:r>
              <w:rPr>
                <w:sz w:val="19"/>
              </w:rPr>
              <w:t>+929</w:t>
            </w:r>
          </w:p>
        </w:tc>
        <w:tc>
          <w:tcPr>
            <w:tcW w:type="dxa" w:w="1930"/>
            <w:shd w:val="clear" w:fill="EEF1F7"/>
          </w:tcPr>
          <w:p>
            <w:r>
              <w:rPr>
                <w:sz w:val="19"/>
              </w:rPr>
              <w:t>-2.4%</w:t>
            </w:r>
          </w:p>
        </w:tc>
      </w:tr>
    </w:tbl>
    <w:p/>
    <w:p>
      <w:r>
        <w:t>A stock leaping from the 1,800s to 4th place in a week isn't a company that suddenly got great. It's a stock that fell less than almost everything else while the rest of the board caved under its 50-day. Under Armour climbed 1,833 spots and still lost 2.5%. That's the whole story of the week in one line: relative strength won by attrition, not by strength.</w:t>
      </w:r>
    </w:p>
    <w:p>
      <w:r>
        <w:t xml:space="preserve">On the two-clocks read, I owe you honesty about the data. This week's mega-cap panel surfaced the same four idiosyncratic names rather than the usual trillion-dollar index drivers, and no price-up/rank-down divergences were flagged. So I can't hand you a clean "which giant carried the index while ranking poorly" reconciliation from the pack. What I </w:t>
      </w:r>
      <w:r>
        <w:rPr>
          <w:i/>
        </w:rPr>
        <w:t>can</w:t>
      </w:r>
      <w:r>
        <w:t xml:space="preserve"> say is what the breadth numbers already tell you: the index held within 1.8% of its high while half the market slipped below its 200-day and all of it slipped below its 50-day. The gap between the index and the average stock is the widest it's been in a while. When that gap is this wide, the index is the thing lying to you, not the board.</w:t>
      </w:r>
    </w:p>
    <w:p>
      <w:pPr>
        <w:spacing w:before="240" w:after="80"/>
      </w:pPr>
      <w:r>
        <w:rPr>
          <w:b/>
          <w:color w:val="1F3864"/>
          <w:sz w:val="30"/>
        </w:rPr>
        <w:t>7. A few names worth looking at — none, and that's the point</w:t>
      </w:r>
    </w:p>
    <w:p>
      <w:r>
        <w:t>The watchlist is empty this week. Nothing passed all four filters — strong sector, improving rank, a genuine uptrend (close above a rising 20 above the 50 above the 200), and not stretched more than 10% over the 20-day.</w:t>
      </w:r>
    </w:p>
    <w:p>
      <w:r>
        <w:t xml:space="preserve">That's not a data glitch. With 0% of stocks above their 50-day, the "genuine uptrend" filter alone knocks out essentially everyone. When the screen comes back blank, it's telling you the honest thing: this is not a week to be buying breakouts. The discipline here is to </w:t>
      </w:r>
      <w:r>
        <w:rPr>
          <w:i/>
        </w:rPr>
        <w:t>not</w:t>
      </w:r>
      <w:r>
        <w:t xml:space="preserve"> force a trade into a tape where nothing is trending up. Sit on your hands, keep the list ready, and let the Fed meeting resolve before you go hunting.</w:t>
      </w:r>
    </w:p>
    <w:p>
      <w:r>
        <w:rPr>
          <w:i/>
        </w:rPr>
        <w:t>Educational commentary only — not a recommendation. Any name here is a starting point for your own homework, never a buy signal.</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7,656.98</w:t>
            </w:r>
          </w:p>
        </w:tc>
        <w:tc>
          <w:tcPr>
            <w:tcW w:type="dxa" w:w="3216"/>
          </w:tcPr>
          <w:p>
            <w:r>
              <w:rPr>
                <w:sz w:val="19"/>
              </w:rPr>
              <w:t>1.8% below the Aug 13 high</w:t>
            </w:r>
          </w:p>
        </w:tc>
      </w:tr>
      <w:tr>
        <w:tc>
          <w:tcPr>
            <w:tcW w:type="dxa" w:w="3216"/>
            <w:shd w:val="clear" w:fill="EEF1F7"/>
          </w:tcPr>
          <w:p>
            <w:r>
              <w:rPr>
                <w:sz w:val="19"/>
              </w:rPr>
              <w:t>S&amp;P 500 vs 200-day</w:t>
            </w:r>
          </w:p>
        </w:tc>
        <w:tc>
          <w:tcPr>
            <w:tcW w:type="dxa" w:w="3216"/>
            <w:shd w:val="clear" w:fill="EEF1F7"/>
          </w:tcPr>
          <w:p>
            <w:r>
              <w:rPr>
                <w:sz w:val="19"/>
              </w:rPr>
              <w:t>ABOVE</w:t>
            </w:r>
          </w:p>
        </w:tc>
        <w:tc>
          <w:tcPr>
            <w:tcW w:type="dxa" w:w="3216"/>
            <w:shd w:val="clear" w:fill="EEF1F7"/>
          </w:tcPr>
          <w:p>
            <w:r>
              <w:rPr>
                <w:sz w:val="19"/>
              </w:rPr>
              <w:t>7,656.98 vs 7,201.1</w:t>
            </w:r>
          </w:p>
        </w:tc>
      </w:tr>
      <w:tr>
        <w:tc>
          <w:tcPr>
            <w:tcW w:type="dxa" w:w="3216"/>
          </w:tcPr>
          <w:p>
            <w:r>
              <w:rPr>
                <w:sz w:val="19"/>
              </w:rPr>
              <w:t>Stocks above 200-day</w:t>
            </w:r>
          </w:p>
        </w:tc>
        <w:tc>
          <w:tcPr>
            <w:tcW w:type="dxa" w:w="3216"/>
          </w:tcPr>
          <w:p>
            <w:r>
              <w:rPr>
                <w:sz w:val="19"/>
              </w:rPr>
              <w:t>50.0%</w:t>
            </w:r>
          </w:p>
        </w:tc>
        <w:tc>
          <w:tcPr>
            <w:tcW w:type="dxa" w:w="3216"/>
          </w:tcPr>
          <w:p>
            <w:r>
              <w:rPr>
                <w:sz w:val="19"/>
              </w:rPr>
              <w:t>down from 63%</w:t>
            </w:r>
          </w:p>
        </w:tc>
      </w:tr>
      <w:tr>
        <w:tc>
          <w:tcPr>
            <w:tcW w:type="dxa" w:w="3216"/>
            <w:shd w:val="clear" w:fill="EEF1F7"/>
          </w:tcPr>
          <w:p>
            <w:r>
              <w:rPr>
                <w:sz w:val="19"/>
              </w:rPr>
              <w:t>Stocks above 50-day</w:t>
            </w:r>
          </w:p>
        </w:tc>
        <w:tc>
          <w:tcPr>
            <w:tcW w:type="dxa" w:w="3216"/>
            <w:shd w:val="clear" w:fill="EEF1F7"/>
          </w:tcPr>
          <w:p>
            <w:r>
              <w:rPr>
                <w:sz w:val="19"/>
              </w:rPr>
              <w:t>0.0%</w:t>
            </w:r>
          </w:p>
        </w:tc>
        <w:tc>
          <w:tcPr>
            <w:tcW w:type="dxa" w:w="3216"/>
            <w:shd w:val="clear" w:fill="EEF1F7"/>
          </w:tcPr>
          <w:p>
            <w:r>
              <w:rPr>
                <w:sz w:val="19"/>
              </w:rPr>
              <w:t>the whole board slipped under it</w:t>
            </w:r>
          </w:p>
        </w:tc>
      </w:tr>
      <w:tr>
        <w:tc>
          <w:tcPr>
            <w:tcW w:type="dxa" w:w="3216"/>
          </w:tcPr>
          <w:p>
            <w:r>
              <w:rPr>
                <w:sz w:val="19"/>
              </w:rPr>
              <w:t>New 52-week highs vs lows</w:t>
            </w:r>
          </w:p>
        </w:tc>
        <w:tc>
          <w:tcPr>
            <w:tcW w:type="dxa" w:w="3216"/>
          </w:tcPr>
          <w:p>
            <w:r>
              <w:rPr>
                <w:sz w:val="19"/>
              </w:rPr>
              <w:t>0 vs 0</w:t>
            </w:r>
          </w:p>
        </w:tc>
        <w:tc>
          <w:tcPr>
            <w:tcW w:type="dxa" w:w="3216"/>
          </w:tcPr>
          <w:p/>
        </w:tc>
      </w:tr>
      <w:tr>
        <w:tc>
          <w:tcPr>
            <w:tcW w:type="dxa" w:w="3216"/>
            <w:shd w:val="clear" w:fill="EEF1F7"/>
          </w:tcPr>
          <w:p>
            <w:r>
              <w:rPr>
                <w:sz w:val="19"/>
              </w:rPr>
              <w:t>Advancers vs decliners</w:t>
            </w:r>
          </w:p>
        </w:tc>
        <w:tc>
          <w:tcPr>
            <w:tcW w:type="dxa" w:w="3216"/>
            <w:shd w:val="clear" w:fill="EEF1F7"/>
          </w:tcPr>
          <w:p>
            <w:r>
              <w:rPr>
                <w:sz w:val="19"/>
              </w:rPr>
              <w:t>3 vs 1</w:t>
            </w:r>
          </w:p>
        </w:tc>
        <w:tc>
          <w:tcPr>
            <w:tcW w:type="dxa" w:w="3216"/>
            <w:shd w:val="clear" w:fill="EEF1F7"/>
          </w:tcPr>
          <w:p/>
        </w:tc>
      </w:tr>
      <w:tr>
        <w:tc>
          <w:tcPr>
            <w:tcW w:type="dxa" w:w="3216"/>
          </w:tcPr>
          <w:p>
            <w:r>
              <w:rPr>
                <w:sz w:val="19"/>
              </w:rPr>
              <w:t>VIX</w:t>
            </w:r>
          </w:p>
        </w:tc>
        <w:tc>
          <w:tcPr>
            <w:tcW w:type="dxa" w:w="3216"/>
          </w:tcPr>
          <w:p>
            <w:r>
              <w:rPr>
                <w:sz w:val="19"/>
              </w:rPr>
              <w:t>15.84</w:t>
            </w:r>
          </w:p>
        </w:tc>
        <w:tc>
          <w:tcPr>
            <w:tcW w:type="dxa" w:w="3216"/>
          </w:tcPr>
          <w:p>
            <w:r>
              <w:rPr>
                <w:sz w:val="19"/>
              </w:rPr>
              <w:t>calm, under 20</w:t>
            </w:r>
          </w:p>
        </w:tc>
      </w:tr>
      <w:tr>
        <w:tc>
          <w:tcPr>
            <w:tcW w:type="dxa" w:w="3216"/>
            <w:shd w:val="clear" w:fill="EEF1F7"/>
          </w:tcPr>
          <w:p>
            <w:r>
              <w:rPr>
                <w:sz w:val="19"/>
              </w:rPr>
              <w:t>Credit spreads</w:t>
            </w:r>
          </w:p>
        </w:tc>
        <w:tc>
          <w:tcPr>
            <w:tcW w:type="dxa" w:w="3216"/>
            <w:shd w:val="clear" w:fill="EEF1F7"/>
          </w:tcPr>
          <w:p>
            <w:r>
              <w:rPr>
                <w:sz w:val="19"/>
              </w:rPr>
              <w:t>n/a (FRED pending)</w:t>
            </w:r>
          </w:p>
        </w:tc>
        <w:tc>
          <w:tcPr>
            <w:tcW w:type="dxa" w:w="3216"/>
            <w:shd w:val="clear" w:fill="EEF1F7"/>
          </w:tcPr>
          <w:p/>
        </w:tc>
      </w:tr>
      <w:tr>
        <w:tc>
          <w:tcPr>
            <w:tcW w:type="dxa" w:w="3216"/>
          </w:tcPr>
          <w:p>
            <w:r>
              <w:rPr>
                <w:sz w:val="19"/>
              </w:rPr>
              <w:t>Gold</w:t>
            </w:r>
          </w:p>
        </w:tc>
        <w:tc>
          <w:tcPr>
            <w:tcW w:type="dxa" w:w="3216"/>
          </w:tcPr>
          <w:p>
            <w:r>
              <w:rPr>
                <w:sz w:val="19"/>
              </w:rPr>
              <w:t>-0.5% wk</w:t>
            </w:r>
          </w:p>
        </w:tc>
        <w:tc>
          <w:tcPr>
            <w:tcW w:type="dxa" w:w="3216"/>
          </w:tcPr>
          <w:p>
            <w:r>
              <w:rPr>
                <w:sz w:val="19"/>
              </w:rPr>
              <w:t>soft — no fear bid</w:t>
            </w:r>
          </w:p>
        </w:tc>
      </w:tr>
      <w:tr>
        <w:tc>
          <w:tcPr>
            <w:tcW w:type="dxa" w:w="3216"/>
            <w:shd w:val="clear" w:fill="EEF1F7"/>
          </w:tcPr>
          <w:p>
            <w:r>
              <w:rPr>
                <w:sz w:val="19"/>
              </w:rPr>
              <w:t>High-yield (HYG)</w:t>
            </w:r>
          </w:p>
        </w:tc>
        <w:tc>
          <w:tcPr>
            <w:tcW w:type="dxa" w:w="3216"/>
            <w:shd w:val="clear" w:fill="EEF1F7"/>
          </w:tcPr>
          <w:p>
            <w:r>
              <w:rPr>
                <w:sz w:val="19"/>
              </w:rPr>
              <w:t>-0.7% wk</w:t>
            </w:r>
          </w:p>
        </w:tc>
        <w:tc>
          <w:tcPr>
            <w:tcW w:type="dxa" w:w="3216"/>
            <w:shd w:val="clear" w:fill="EEF1F7"/>
          </w:tcPr>
          <w:p>
            <w:r>
              <w:rPr>
                <w:sz w:val="19"/>
              </w:rPr>
              <w:t>slightly soft, not cracking</w:t>
            </w:r>
          </w:p>
        </w:tc>
      </w:tr>
      <w:tr>
        <w:tc>
          <w:tcPr>
            <w:tcW w:type="dxa" w:w="3216"/>
          </w:tcPr>
          <w:p>
            <w:r>
              <w:rPr>
                <w:sz w:val="19"/>
              </w:rPr>
              <w:t>US dollar (DXY)</w:t>
            </w:r>
          </w:p>
        </w:tc>
        <w:tc>
          <w:tcPr>
            <w:tcW w:type="dxa" w:w="3216"/>
          </w:tcPr>
          <w:p>
            <w:r>
              <w:rPr>
                <w:sz w:val="19"/>
              </w:rPr>
              <w:t>-0.0% wk</w:t>
            </w:r>
          </w:p>
        </w:tc>
        <w:tc>
          <w:tcPr>
            <w:tcW w:type="dxa" w:w="3216"/>
          </w:tcPr>
          <w:p>
            <w:r>
              <w:rPr>
                <w:sz w:val="19"/>
              </w:rPr>
              <w:t>flat</w:t>
            </w:r>
          </w:p>
        </w:tc>
      </w:tr>
    </w:tbl>
    <w:p/>
    <w:p>
      <w:r>
        <w:t xml:space="preserve">Read the fear panel together and the message is calmer than the breadth number suggests. VIX is asleep at 15.84. Gold </w:t>
      </w:r>
      <w:r>
        <w:rPr>
          <w:i/>
        </w:rPr>
        <w:t>fell</w:t>
      </w:r>
      <w:r>
        <w:t xml:space="preserve"> 0.5%, no rush to the oldest safe haven. Junk bonds dipped a soft 0.7%, not a credit crack. The dollar was flat. If a rate-hike scare were about to become a real problem, you'd expect at least two of those to turn, and none did. So the deterioration this week is a </w:t>
      </w:r>
      <w:r>
        <w:rPr>
          <w:i/>
        </w:rPr>
        <w:t>positioning</w:t>
      </w:r>
      <w:r>
        <w:t xml:space="preserve"> move, money getting cautious ahead of the Fed, not a fear move. Those are different animals, and it matters which one you're in.</w:t>
      </w:r>
    </w:p>
    <w:p>
      <w:r>
        <w:t>The catch: the panel is a snapshot before the September 16 decision. An actual hike into reaccelerating inflation is the kind of event that could wake the sleeping gauges up.</w:t>
      </w:r>
    </w:p>
    <w:p>
      <w:r>
        <w:rPr>
          <w:b/>
        </w:rPr>
        <w:t>Scenarios into next week:</w:t>
      </w:r>
    </w:p>
    <w:p>
      <w:pPr>
        <w:pStyle w:val="ListBullet"/>
      </w:pPr>
      <w:r>
        <w:rPr>
          <w:b/>
        </w:rPr>
        <w:t>Base case (55%):</w:t>
      </w:r>
      <w:r>
        <w:t xml:space="preserve"> The Fed holds or hikes 25bp with dovish language, CPI comes in tolerable, and the market exhales. Breadth is so washed out (0% above the 50-day) that a relief bounce off any not-terrible outcome is the path of least resistance. Choppy, range-bound, no new trend yet.</w:t>
      </w:r>
    </w:p>
    <w:p>
      <w:pPr>
        <w:pStyle w:val="ListBullet"/>
      </w:pPr>
      <w:r>
        <w:rPr>
          <w:b/>
        </w:rPr>
        <w:t>Bear case (30%):</w:t>
      </w:r>
      <w:r>
        <w:t xml:space="preserve"> A hike paired with hawkish "more to come" talk, or a hot inflation surprise, sends yields higher and knocks the index out of its 1.8%-from-highs holding pattern. With breadth already this thin, there's little cushion underneath.</w:t>
      </w:r>
    </w:p>
    <w:p>
      <w:pPr>
        <w:pStyle w:val="ListBullet"/>
      </w:pPr>
      <w:r>
        <w:rPr>
          <w:b/>
        </w:rPr>
        <w:t>Bull case (15%):</w:t>
      </w:r>
      <w:r>
        <w:t xml:space="preserve"> The Fed sounds unexpectedly done, oil rolls over, and the enormous oversold breadth snaps back hard into a broad rally. Lower odds because the inflation and oil data are pointing the wrong way right now.</w:t>
      </w:r>
    </w:p>
    <w:p>
      <w:r>
        <w:t>Stance: defensive and patient. The index looks fine, the average stock doesn't, and the Fed holds the tiebreaker on Wednesday.</w:t>
      </w:r>
    </w:p>
    <w:p>
      <w:pPr>
        <w:spacing w:before="240" w:after="80"/>
      </w:pPr>
      <w:r>
        <w:rPr>
          <w:b/>
          <w:color w:val="1F3864"/>
          <w:sz w:val="30"/>
        </w:rPr>
        <w:t>9. The Algo (paper portfolio)</w:t>
      </w:r>
    </w:p>
    <w:p>
      <w:r>
        <w:t>The rules-based paper strategy sits at $49,074, down 1.9% since it started on May 27, against the S&amp;P at +0.9% and QQQ at -2.8% over the same stretch. On the week it lost 1.2%, with a 5.6% drawdown, 15 positions open and 73 closed. The full record: 73 trades, 23 winners, a 32% win rate, averaging -1.4% and -0.18R per trade. That's an unflattering hit rate, and I'm not going to dress it up. A trend-following system in a tape where nothing holds its 50-day is going to get chopped, and it has been.</w:t>
      </w:r>
    </w:p>
    <w:p>
      <w:r>
        <w:t>Closed this week:</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P&amp;L %</w:t>
            </w:r>
          </w:p>
        </w:tc>
        <w:tc>
          <w:tcPr>
            <w:tcW w:type="dxa" w:w="1930"/>
            <w:shd w:val="clear" w:fill="1F3864"/>
          </w:tcPr>
          <w:p>
            <w:r>
              <w:rPr>
                <w:b/>
                <w:color w:val="FFFFFF"/>
                <w:sz w:val="19"/>
              </w:rPr>
              <w:t>R</w:t>
            </w:r>
          </w:p>
        </w:tc>
        <w:tc>
          <w:tcPr>
            <w:tcW w:type="dxa" w:w="1930"/>
            <w:shd w:val="clear" w:fill="1F3864"/>
          </w:tcPr>
          <w:p>
            <w:r>
              <w:rPr>
                <w:b/>
                <w:color w:val="FFFFFF"/>
                <w:sz w:val="19"/>
              </w:rPr>
              <w:t>Exit</w:t>
            </w:r>
          </w:p>
        </w:tc>
        <w:tc>
          <w:tcPr>
            <w:tcW w:type="dxa" w:w="1930"/>
            <w:shd w:val="clear" w:fill="1F3864"/>
          </w:tcPr>
          <w:p>
            <w:r>
              <w:rPr>
                <w:b/>
                <w:color w:val="FFFFFF"/>
                <w:sz w:val="19"/>
              </w:rPr>
              <w:t>Days</w:t>
            </w:r>
          </w:p>
        </w:tc>
      </w:tr>
      <w:tr>
        <w:tc>
          <w:tcPr>
            <w:tcW w:type="dxa" w:w="1930"/>
          </w:tcPr>
          <w:p>
            <w:r>
              <w:rPr>
                <w:sz w:val="19"/>
              </w:rPr>
              <w:t>AAMI</w:t>
            </w:r>
          </w:p>
        </w:tc>
        <w:tc>
          <w:tcPr>
            <w:tcW w:type="dxa" w:w="1930"/>
          </w:tcPr>
          <w:p>
            <w:r>
              <w:rPr>
                <w:sz w:val="19"/>
              </w:rPr>
              <w:t>+1.6%</w:t>
            </w:r>
          </w:p>
        </w:tc>
        <w:tc>
          <w:tcPr>
            <w:tcW w:type="dxa" w:w="1930"/>
          </w:tcPr>
          <w:p>
            <w:r>
              <w:rPr>
                <w:sz w:val="19"/>
              </w:rPr>
              <w:t>+0.22R</w:t>
            </w:r>
          </w:p>
        </w:tc>
        <w:tc>
          <w:tcPr>
            <w:tcW w:type="dxa" w:w="1930"/>
          </w:tcPr>
          <w:p>
            <w:r>
              <w:rPr>
                <w:sz w:val="19"/>
              </w:rPr>
              <w:t>time_stop</w:t>
            </w:r>
          </w:p>
        </w:tc>
        <w:tc>
          <w:tcPr>
            <w:tcW w:type="dxa" w:w="1930"/>
          </w:tcPr>
          <w:p>
            <w:r>
              <w:rPr>
                <w:sz w:val="19"/>
              </w:rPr>
              <w:t>25</w:t>
            </w:r>
          </w:p>
        </w:tc>
      </w:tr>
      <w:tr>
        <w:tc>
          <w:tcPr>
            <w:tcW w:type="dxa" w:w="1930"/>
            <w:shd w:val="clear" w:fill="EEF1F7"/>
          </w:tcPr>
          <w:p>
            <w:r>
              <w:rPr>
                <w:sz w:val="19"/>
              </w:rPr>
              <w:t>PAYC</w:t>
            </w:r>
          </w:p>
        </w:tc>
        <w:tc>
          <w:tcPr>
            <w:tcW w:type="dxa" w:w="1930"/>
            <w:shd w:val="clear" w:fill="EEF1F7"/>
          </w:tcPr>
          <w:p>
            <w:r>
              <w:rPr>
                <w:sz w:val="19"/>
              </w:rPr>
              <w:t>-0.0%</w:t>
            </w:r>
          </w:p>
        </w:tc>
        <w:tc>
          <w:tcPr>
            <w:tcW w:type="dxa" w:w="1930"/>
            <w:shd w:val="clear" w:fill="EEF1F7"/>
          </w:tcPr>
          <w:p>
            <w:r>
              <w:rPr>
                <w:sz w:val="19"/>
              </w:rPr>
              <w:t>-0.00R</w:t>
            </w:r>
          </w:p>
        </w:tc>
        <w:tc>
          <w:tcPr>
            <w:tcW w:type="dxa" w:w="1930"/>
            <w:shd w:val="clear" w:fill="EEF1F7"/>
          </w:tcPr>
          <w:p>
            <w:r>
              <w:rPr>
                <w:sz w:val="19"/>
              </w:rPr>
              <w:t>trail_stop</w:t>
            </w:r>
          </w:p>
        </w:tc>
        <w:tc>
          <w:tcPr>
            <w:tcW w:type="dxa" w:w="1930"/>
            <w:shd w:val="clear" w:fill="EEF1F7"/>
          </w:tcPr>
          <w:p>
            <w:r>
              <w:rPr>
                <w:sz w:val="19"/>
              </w:rPr>
              <w:t>13</w:t>
            </w:r>
          </w:p>
        </w:tc>
      </w:tr>
      <w:tr>
        <w:tc>
          <w:tcPr>
            <w:tcW w:type="dxa" w:w="1930"/>
          </w:tcPr>
          <w:p>
            <w:r>
              <w:rPr>
                <w:sz w:val="19"/>
              </w:rPr>
              <w:t>MSA</w:t>
            </w:r>
          </w:p>
        </w:tc>
        <w:tc>
          <w:tcPr>
            <w:tcW w:type="dxa" w:w="1930"/>
          </w:tcPr>
          <w:p>
            <w:r>
              <w:rPr>
                <w:sz w:val="19"/>
              </w:rPr>
              <w:t>-6.2%</w:t>
            </w:r>
          </w:p>
        </w:tc>
        <w:tc>
          <w:tcPr>
            <w:tcW w:type="dxa" w:w="1930"/>
          </w:tcPr>
          <w:p>
            <w:r>
              <w:rPr>
                <w:sz w:val="19"/>
              </w:rPr>
              <w:t>-1.01R</w:t>
            </w:r>
          </w:p>
        </w:tc>
        <w:tc>
          <w:tcPr>
            <w:tcW w:type="dxa" w:w="1930"/>
          </w:tcPr>
          <w:p>
            <w:r>
              <w:rPr>
                <w:sz w:val="19"/>
              </w:rPr>
              <w:t>stop</w:t>
            </w:r>
          </w:p>
        </w:tc>
        <w:tc>
          <w:tcPr>
            <w:tcW w:type="dxa" w:w="1930"/>
          </w:tcPr>
          <w:p>
            <w:r>
              <w:rPr>
                <w:sz w:val="19"/>
              </w:rPr>
              <w:t>26</w:t>
            </w:r>
          </w:p>
        </w:tc>
      </w:tr>
      <w:tr>
        <w:tc>
          <w:tcPr>
            <w:tcW w:type="dxa" w:w="1930"/>
            <w:shd w:val="clear" w:fill="EEF1F7"/>
          </w:tcPr>
          <w:p>
            <w:r>
              <w:rPr>
                <w:sz w:val="19"/>
              </w:rPr>
              <w:t>PCTY</w:t>
            </w:r>
          </w:p>
        </w:tc>
        <w:tc>
          <w:tcPr>
            <w:tcW w:type="dxa" w:w="1930"/>
            <w:shd w:val="clear" w:fill="EEF1F7"/>
          </w:tcPr>
          <w:p>
            <w:r>
              <w:rPr>
                <w:sz w:val="19"/>
              </w:rPr>
              <w:t>-7.1%</w:t>
            </w:r>
          </w:p>
        </w:tc>
        <w:tc>
          <w:tcPr>
            <w:tcW w:type="dxa" w:w="1930"/>
            <w:shd w:val="clear" w:fill="EEF1F7"/>
          </w:tcPr>
          <w:p>
            <w:r>
              <w:rPr>
                <w:sz w:val="19"/>
              </w:rPr>
              <w:t>-1.07R</w:t>
            </w:r>
          </w:p>
        </w:tc>
        <w:tc>
          <w:tcPr>
            <w:tcW w:type="dxa" w:w="1930"/>
            <w:shd w:val="clear" w:fill="EEF1F7"/>
          </w:tcPr>
          <w:p>
            <w:r>
              <w:rPr>
                <w:sz w:val="19"/>
              </w:rPr>
              <w:t>stop</w:t>
            </w:r>
          </w:p>
        </w:tc>
        <w:tc>
          <w:tcPr>
            <w:tcW w:type="dxa" w:w="1930"/>
            <w:shd w:val="clear" w:fill="EEF1F7"/>
          </w:tcPr>
          <w:p>
            <w:r>
              <w:rPr>
                <w:sz w:val="19"/>
              </w:rPr>
              <w:t>5</w:t>
            </w:r>
          </w:p>
        </w:tc>
      </w:tr>
      <w:tr>
        <w:tc>
          <w:tcPr>
            <w:tcW w:type="dxa" w:w="1930"/>
          </w:tcPr>
          <w:p>
            <w:r>
              <w:rPr>
                <w:sz w:val="19"/>
              </w:rPr>
              <w:t>ESTC</w:t>
            </w:r>
          </w:p>
        </w:tc>
        <w:tc>
          <w:tcPr>
            <w:tcW w:type="dxa" w:w="1930"/>
          </w:tcPr>
          <w:p>
            <w:r>
              <w:rPr>
                <w:sz w:val="19"/>
              </w:rPr>
              <w:t>-11.1%</w:t>
            </w:r>
          </w:p>
        </w:tc>
        <w:tc>
          <w:tcPr>
            <w:tcW w:type="dxa" w:w="1930"/>
          </w:tcPr>
          <w:p>
            <w:r>
              <w:rPr>
                <w:sz w:val="19"/>
              </w:rPr>
              <w:t>-1.01R</w:t>
            </w:r>
          </w:p>
        </w:tc>
        <w:tc>
          <w:tcPr>
            <w:tcW w:type="dxa" w:w="1930"/>
          </w:tcPr>
          <w:p>
            <w:r>
              <w:rPr>
                <w:sz w:val="19"/>
              </w:rPr>
              <w:t>stop</w:t>
            </w:r>
          </w:p>
        </w:tc>
        <w:tc>
          <w:tcPr>
            <w:tcW w:type="dxa" w:w="1930"/>
          </w:tcPr>
          <w:p>
            <w:r>
              <w:rPr>
                <w:sz w:val="19"/>
              </w:rPr>
              <w:t>7</w:t>
            </w:r>
          </w:p>
        </w:tc>
      </w:tr>
    </w:tbl>
    <w:p/>
    <w:p>
      <w:r>
        <w:t>Four of the five exits were stops or scratches, exactly what you'd expect when breadth rolls over. ESTC (a cybersecurity/SOC name from this week's theme) took the worst of it. The interesting part is the open book: seven of the fifteen positions are energy names (COP, CRGY, DINO, MPC, PSX, TRMD, VLO), which lines up with that 8.7% Brent move. The system is rotating risk toward the one group with a tailwind, plus materials (FNV, SSRM) and two financials (JPM, SEIC). It's leaning into the inflation trade because that's where relative strength currently lives.</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pPr>
        <w:pStyle w:val="ListBullet"/>
      </w:pPr>
      <w:r>
        <w:rPr>
          <w:b/>
        </w:rPr>
        <w:t>FOMC decision, September 16 — the whole week.</w:t>
      </w:r>
      <w:r>
        <w:t xml:space="preserve"> Odds of a hike are over 60%. The real tell isn't the 25bp itself; it's the language. A hike with "we're near done" is a relief; a hold with "inflation isn't beaten" is a threat. Watch the 2-year yield's reaction more than the headline.</w:t>
      </w:r>
    </w:p>
    <w:p>
      <w:pPr>
        <w:pStyle w:val="ListBullet"/>
      </w:pPr>
      <w:r>
        <w:rPr>
          <w:b/>
        </w:rPr>
        <w:t>Initial jobless claims, September 17.</w:t>
      </w:r>
      <w:r>
        <w:t xml:space="preserve"> With unemployment at 4.1% and the last payrolls at +162k, this is the early read on whether the labor market is finally softening, which would give the Fed room to back off.</w:t>
      </w:r>
    </w:p>
    <w:p>
      <w:pPr>
        <w:pStyle w:val="ListBullet"/>
      </w:pPr>
      <w:r>
        <w:rPr>
          <w:b/>
        </w:rPr>
        <w:t>Lennar (LEN), reports September 16.</w:t>
      </w:r>
      <w:r>
        <w:t xml:space="preserve"> The homebuilder prints into a rising-10-year-yield week (4.77%). The tell is order commentary — high mortgage rates versus buyer demand. Note United Rentals got downgraded to Neutral at JP Morgan this week, another crack in the construction read.</w:t>
      </w:r>
    </w:p>
    <w:p>
      <w:pPr>
        <w:pStyle w:val="ListBullet"/>
      </w:pPr>
      <w:r>
        <w:rPr>
          <w:b/>
        </w:rPr>
        <w:t>Dave &amp; Buster's (PLAY), September 14</w:t>
      </w:r>
      <w:r>
        <w:t xml:space="preserve"> and </w:t>
      </w:r>
      <w:r>
        <w:rPr>
          <w:b/>
        </w:rPr>
        <w:t>AnaptysBio (ANAB), September 14</w:t>
      </w:r>
      <w:r>
        <w:t xml:space="preserve"> — smaller, but PLAY is a clean discretionary-spending gauge and ANAB a biotech binary.</w:t>
      </w:r>
    </w:p>
    <w:p>
      <w:pPr>
        <w:pStyle w:val="ListBullet"/>
      </w:pPr>
      <w:r>
        <w:rPr>
          <w:b/>
        </w:rPr>
        <w:t>Analyst crosscurrents to watch:</w:t>
      </w:r>
      <w:r>
        <w:t xml:space="preserve"> Synopsys got a double upgrade to Overweight (Wells Fargo and Morgan Stanley), Costco upgraded to Buy, and Block (XYZ) and Airbnb both lifted. On the other side, Amgen was double-downgraded to Hold, Chewy cut twice, and Vulcan Materials taken to Underweight even as Martin Marietta was upgraded — a split inside materials worth noting when the Street can't agree.</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"#4 in our system" = 4th-strongest of ~1,900.</w:t>
      </w:r>
    </w:p>
    <w:p>
      <w:pPr>
        <w:pStyle w:val="ListBullet"/>
      </w:pPr>
      <w:r>
        <w:rPr>
          <w:b/>
        </w:rPr>
        <w:t>Relative strength (RS):</w:t>
      </w:r>
      <w:r>
        <w:t xml:space="preserve"> performance versus the rest of the market. Rising RS = outperforming, even on a down week.</w:t>
      </w:r>
    </w:p>
    <w:p>
      <w:pPr>
        <w:pStyle w:val="ListBullet"/>
      </w:pPr>
      <w:r>
        <w:rPr>
          <w:b/>
        </w:rPr>
        <w:t>Moving averages (20/50/200-day):</w:t>
      </w:r>
      <w:r>
        <w:t xml:space="preserve"> the trend lines. A healthy uptrend has price above a rising 20, itself above the 200. "Extended" means far above the 20-day and prone to a pullback.</w:t>
      </w:r>
    </w:p>
    <w:p>
      <w:pPr>
        <w:pStyle w:val="ListBullet"/>
      </w:pPr>
      <w:r>
        <w:rPr>
          <w:b/>
        </w:rPr>
        <w:t>Breadth:</w:t>
      </w:r>
      <w:r>
        <w:t xml:space="preserve"> how many stocks participate. 50% above the 200-day and 0% above the 50-day means a small group is holding the index up while most stocks weaken.</w:t>
      </w:r>
    </w:p>
    <w:p>
      <w:pPr>
        <w:pStyle w:val="ListBullet"/>
      </w:pPr>
      <w:r>
        <w:rPr>
          <w:b/>
        </w:rPr>
        <w:t>VIX:</w:t>
      </w:r>
      <w:r>
        <w:t xml:space="preserve"> the fear gauge. Under 20 is calm.</w:t>
      </w:r>
    </w:p>
    <w:p>
      <w:pPr>
        <w:pStyle w:val="ListBullet"/>
      </w:pPr>
      <w:r>
        <w:rPr>
          <w:b/>
        </w:rPr>
        <w:t>Credit spreads:</w:t>
      </w:r>
      <w:r>
        <w:t xml:space="preserve"> extra yield on risky corporate bonds over safe government bonds. Widening warns of stress; tight means calm. Marked n/a this week.</w:t>
      </w:r>
    </w:p>
    <w:p>
      <w:pPr>
        <w:pStyle w:val="ListBullet"/>
      </w:pPr>
      <w:r>
        <w:rPr>
          <w:b/>
        </w:rPr>
        <w:t>High-yield / junk bonds (HYG):</w:t>
      </w:r>
      <w:r>
        <w:t xml:space="preserve"> riskier-company bonds. Investors sell them first when scared, so a falling price is an early credit warning.</w:t>
      </w:r>
    </w:p>
    <w:p>
      <w:pPr>
        <w:pStyle w:val="ListBullet"/>
      </w:pPr>
      <w:r>
        <w:rPr>
          <w:b/>
        </w:rPr>
        <w:t>Safe havens (gold, the dollar):</w:t>
      </w:r>
      <w:r>
        <w:t xml:space="preserve"> where money runs when afraid. Both flat-to-soft this week says fear stayed low.</w:t>
      </w:r>
    </w:p>
    <w:p>
      <w:pPr>
        <w:pStyle w:val="ListBullet"/>
      </w:pPr>
      <w:r>
        <w:rPr>
          <w:b/>
        </w:rPr>
        <w:t>Treasury yields / 2s10s:</w:t>
      </w:r>
      <w:r>
        <w:t xml:space="preserve"> the 10-year minus the 2-year. Positive and steepening (43bp here) with rising yields signals a hotter growth/inflation read — a headwind for expensive growth stocks.</w:t>
      </w:r>
    </w:p>
    <w:p>
      <w:pPr>
        <w:pBdr>
          <w:bottom w:val="single" w:sz="6" w:space="1" w:color="C0C0C0"/>
        </w:pBdr>
      </w:pPr>
    </w:p>
    <w:p>
      <w:r>
        <w:t xml:space="preserve">The index is holding within striking distance of its high, but the market underneath it went narrow and defensive this week, with the whole board slipping under its 50-day and money hiding in whatever fell least. The fear gauges say this is caution, not panic, and the Fed on September 16 decides which one it becomes. Stay invested, stay selective, and we'll see you next Sunday. </w:t>
      </w:r>
      <w:r>
        <w:rPr>
          <w:i/>
        </w:rPr>
        <w:t>This is educational commentary, not financial advice — do your own homework before you act.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