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The Index Went Up. Most Stocks Went Down.</w:t>
      </w:r>
    </w:p>
    <w:p>
      <w:r>
        <w:rPr>
          <w:i/>
        </w:rPr>
        <w:t>Weekly Market Newsletter · August 28, 2026</w:t>
      </w:r>
    </w:p>
    <w:p>
      <w:r>
        <w:t>The S&amp;P added 0.5% on the week and finished at 7711.76, about 1.1% under the record it set on August 13. Sounds fine. Then you look under the hood and find 1,214 stocks fell while only 708 rose. A green tape carried by a handful of giants while the average stock quietly slides — that's the tension this week, and the issue is about where the money went while the index looked calm. Our read of ~1,900 US names by relative strength says it left drug makers, sporting-goods retail and computer hardware, and turned up in financials, parts of health care, precious metals and, at the speculative edge, crypto.</w:t>
      </w:r>
    </w:p>
    <w:p>
      <w:pPr>
        <w:spacing w:before="240" w:after="80"/>
      </w:pPr>
      <w:r>
        <w:rPr>
          <w:b/>
          <w:color w:val="1F3864"/>
          <w:sz w:val="30"/>
        </w:rPr>
        <w:t>1. The lead story: a thin rally</w:t>
      </w:r>
    </w:p>
    <w:p>
      <w:r>
        <w:t>MSFT rose 6.3% and climbed to #66 on our board, up 70 spots. META rose 5.1%. AAPL added 3.3%. Those moves, plus a few more, are most of your index gain. That's the mega-cap engine doing its usual trick: a small number of trillion-dollar names lift the cap-weighted average while the median stock does nothing good.</w:t>
      </w:r>
    </w:p>
    <w:p>
      <w:r>
        <w:t>The breadth tells the truer story. Only 49.85% of stocks sit above their 50-day line, a coin flip. Advancers lost to decliners by a wide margin. So the index printing near a record is real, but it's narrow, and narrow rallies live or die on whether leadership broadens out or the generals roll over. Right now the generals are carrying, and the troops are split by sector.</w:t>
      </w:r>
    </w:p>
    <w:p>
      <w:pPr>
        <w:spacing w:before="240" w:after="80"/>
      </w:pPr>
      <w:r>
        <w:rPr>
          <w:b/>
          <w:color w:val="1F3864"/>
          <w:sz w:val="30"/>
        </w:rPr>
        <w:t>2. Grading last time's calls</w:t>
      </w:r>
    </w:p>
    <w:p>
      <w:r>
        <w:t>Three predictions came due. Honest scorecard.</w:t>
      </w:r>
    </w:p>
    <w:p>
      <w:r>
        <w:rPr>
          <w:b/>
        </w:rPr>
        <w:t>Semis stay in the lower half, no top-20 peer rank — Grade: A.</w:t>
      </w:r>
      <w:r>
        <w:t xml:space="preserve"> Computer Hardware just fell from #64 to #108 on the sector board this week, and the big chips still rank deep: NVDA at #704, Broadcom at #1,687, TSM at #951. The chip trade never reclaimed leadership. The call held.</w:t>
      </w:r>
    </w:p>
    <w:p>
      <w:r>
        <w:rPr>
          <w:b/>
        </w:rPr>
        <w:t>Regime stays healthy: VIX under 20, breadth above 60% — Grade: A.</w:t>
      </w:r>
      <w:r>
        <w:t xml:space="preserve"> VIX sits at 14.42 and 64.38% of stocks are above their 200-day. Both lines held with room to spare.</w:t>
      </w:r>
    </w:p>
    <w:p>
      <w:r>
        <w:rPr>
          <w:b/>
        </w:rPr>
        <w:t>Health Care / biotech rotation is real, not a one-week spark — Grade: B.</w:t>
      </w:r>
      <w:r>
        <w:t xml:space="preserve"> Two months on, the biotech bid is still alive: our current top 20 is thick with names like Xencor (#8), Repligen (#19), AbCellera (#20) and Bio-Rad (#11). I can't relive the exact early-July week these were written for, so I won't claim a clean win. But the durable point, that health care was rotating in rather than flickering, has aged well.</w:t>
      </w:r>
    </w:p>
    <w:p>
      <w:pPr>
        <w:spacing w:before="240" w:after="80"/>
      </w:pPr>
      <w:r>
        <w:rPr>
          <w:b/>
          <w:color w:val="1F3864"/>
          <w:sz w:val="30"/>
        </w:rPr>
        <w:t>3. The Fed talks tough, the jobs number wobbles</w:t>
      </w:r>
    </w:p>
    <w:p>
      <w:r>
        <w:t>Jackson Hole was the macro event, and the message from Fed chair Warsh was not what a rate-cut crowd wanted: "we have work to do on inflation," with the Fed's preferred PCE gauge described as sticky and rate-hike expectations edging up rather than down. CPI is still running 3.4% year over year. The Fed-funds target upper bound sits at 3.63%.</w:t>
      </w:r>
    </w:p>
    <w:p>
      <w:r>
        <w:t>A hawkish Fed is a headwind for the most expensive, longest-duration corners of the market, part of why chips and hardware keep lagging even as software earnings land well. When the discount rate might go up instead of down, the market pays less for far-off growth.</w:t>
      </w:r>
    </w:p>
    <w:p>
      <w:r>
        <w:t xml:space="preserve">The jobs picture muddies it. The last nonfarm payrolls print was </w:t>
      </w:r>
      <w:r>
        <w:rPr>
          <w:i/>
        </w:rPr>
        <w:t>negative 23,000</w:t>
      </w:r>
      <w:r>
        <w:t>, an outright drop, yet weekly jobless claims slipped to around 203,000, which is low, and unemployment holds at 4.1%. The labor market is cooling at the hiring margin without cracking on layoffs. The 10-year yield barely moved (4.67%, down 2bp), the 2-year ticked up to 4.2%, and the 2s10s curve stayed positive at 47bp. No stress in rates. Next Friday's jobs report is the release that settles which of those two signals the Fed leans on.</w:t>
      </w:r>
    </w:p>
    <w:p>
      <w:pPr>
        <w:spacing w:before="240" w:after="80"/>
      </w:pPr>
      <w:r>
        <w:rPr>
          <w:b/>
          <w:color w:val="1F3864"/>
          <w:sz w:val="30"/>
        </w:rPr>
        <w:t>4. Oil falls, and the rotation shows its hand</w:t>
      </w:r>
    </w:p>
    <w:p>
      <w:r>
        <w:t>Brent crude dropped 6.7% on the week to 88.10. No Middle-East shock drove it. The headlines are about soft demand and stabilizing supply, the kind of decline that helps the consumer and pressures energy producers. Cheaper fuel is a quiet tailwind under retail and travel, and a headwind for the drillers.</w:t>
      </w:r>
    </w:p>
    <w:p>
      <w:r>
        <w:t>On the board, the rotation was sharp and specific. Drug Manufacturers – Specialty &amp; Generic fell from #28 to #77. Leisure Facilities dropped from #52 to #99. Computer Hardware slid #64 to #108. Moving the other way: Education Services surged #89 to #42, and Fertilizers &amp; Agricultural Chemicals jumped #68 to #25.</w:t>
      </w:r>
    </w:p>
    <w:p>
      <w:r>
        <w:t>The retail earnings this week split the same way the tape did. Abercrombie &amp; Fitch jumped 36% after reporting, and Gap rose 19%. But Dick's Sporting Goods fell 26% on its print, Burlington dropped 16%, and Best Buy slipped 4% even after raising full-year guidance and naming a new CEO. That's not a sector you buy as a block. It's a stock-picker's aisle right now, winners and losers within the same week.</w:t>
      </w:r>
    </w:p>
    <w:p>
      <w:r>
        <w:t>Software, by contrast, mostly delivered. Salesforce rose 22% on earnings, CrowdStrike 14%, Elastic 16%, Box 6%. Which brings up a wrinkle worth flagging.</w:t>
      </w:r>
    </w:p>
    <w:p>
      <w:pPr>
        <w:spacing w:before="240" w:after="80"/>
      </w:pPr>
      <w:r>
        <w:rPr>
          <w:b/>
          <w:color w:val="1F3864"/>
          <w:sz w:val="30"/>
        </w:rPr>
        <w:t>5. Theme of the Week: how to own the crypto economy</w:t>
      </w:r>
    </w:p>
    <w:p>
      <w:r>
        <w:t>Our rotating teaching spotlight this week is Crypto &amp; Blockchain, a narrow, high-beta slice of the market that the platform maps as a value chain. This is a lesson in how the chain works, not a call to pile in and not a claim about the whole market.</w:t>
      </w:r>
    </w:p>
    <w:p>
      <w:r>
        <w:t>Think of the crypto economy as a supply chain for digital money, same as oil has wellheads, pipelines and gas stations. At the raw end sits compute, the power-hungry data centers and bitcoin miners that secure the network (CORZ, IREN, APLD; the miners WULF, MARA, RIOT, CLSK, CIFR). Money flows to the chokepoint and away from the commodity end, and right now the commodity end is cold: our node-momentum score has compute at 27 out of 100 and miners at 33. IREN even reported this week and fell 15%. Being the picks-and-shovels layer doesn't help when the shovels are a commodity.</w:t>
      </w:r>
    </w:p>
    <w:p>
      <w:r>
        <w:t>Move down the chain to the exchanges and brokers, the toll booths where people actually trade (COIN, HOOD, GLXY), and momentum jumps to 80. Coinbase climbed 429 rank spots this week to #361 even though its price slipped. Toll booths get paid on volume, and volume is back.</w:t>
      </w:r>
    </w:p>
    <w:p>
      <w:r>
        <w:t xml:space="preserve">The hottest links are at the money end. Treasuries, companies that hold crypto on their balance sheet, led by Strategy (MSTR), score 94, and MSTR rocketed 527 spots to #184. And the single strongest node is </w:t>
      </w:r>
      <w:r>
        <w:rPr>
          <w:b/>
        </w:rPr>
        <w:t>stablecoins</w:t>
      </w:r>
      <w:r>
        <w:t>, at 96, where Circle (CRCL) sits at RS #121 of ~1,900. Stablecoins are the plumbing that turns blockchain into an actual payments rail, and that's where the concentration is: money flows to the chokepoint, which right now is the thing that moves dollars around, not the thing that mines them.</w:t>
      </w:r>
    </w:p>
    <w:p>
      <w:r>
        <w:t>The screen also flags APLD as cheapest on growth-adjusted sales, price-to-sales of 11.8 against 407% year-over-year revenue growth. That is not a recommendation; it's a reminder that "cheap" and "safe" are different words. This whole theme is early, thin and volatile. Treat it as an education in where value concentrates in a chain, then do your own homework before you touch any of it.</w:t>
      </w:r>
    </w:p>
    <w:p>
      <w:pPr>
        <w:spacing w:before="240" w:after="80"/>
      </w:pPr>
      <w:r>
        <w:rPr>
          <w:b/>
          <w:color w:val="1F3864"/>
          <w:sz w:val="30"/>
        </w:rPr>
        <w:t>6. Where the money is going</w:t>
      </w:r>
    </w:p>
    <w:p>
      <w:r>
        <w:t>The constructive half. Here's the top of the board, a straight run from #1, the strongest name we track, down to #10.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HTFL</w:t>
            </w:r>
          </w:p>
        </w:tc>
        <w:tc>
          <w:tcPr>
            <w:tcW w:type="dxa" w:w="1930"/>
          </w:tcPr>
          <w:p>
            <w:r>
              <w:rPr>
                <w:sz w:val="19"/>
              </w:rPr>
              <w:t>Heartflow</w:t>
            </w:r>
          </w:p>
        </w:tc>
        <w:tc>
          <w:tcPr>
            <w:tcW w:type="dxa" w:w="1930"/>
          </w:tcPr>
          <w:p>
            <w:r>
              <w:rPr>
                <w:sz w:val="19"/>
              </w:rPr>
              <w:t>Health Information Services</w:t>
            </w:r>
          </w:p>
        </w:tc>
        <w:tc>
          <w:tcPr>
            <w:tcW w:type="dxa" w:w="1930"/>
          </w:tcPr>
          <w:p>
            <w:r>
              <w:rPr>
                <w:sz w:val="19"/>
              </w:rPr>
              <w:t>-4.0%</w:t>
            </w:r>
          </w:p>
        </w:tc>
      </w:tr>
      <w:tr>
        <w:tc>
          <w:tcPr>
            <w:tcW w:type="dxa" w:w="1930"/>
            <w:shd w:val="clear" w:fill="EEF1F7"/>
          </w:tcPr>
          <w:p>
            <w:r>
              <w:rPr>
                <w:sz w:val="19"/>
              </w:rPr>
              <w:t>2</w:t>
            </w:r>
          </w:p>
        </w:tc>
        <w:tc>
          <w:tcPr>
            <w:tcW w:type="dxa" w:w="1930"/>
            <w:shd w:val="clear" w:fill="EEF1F7"/>
          </w:tcPr>
          <w:p>
            <w:r>
              <w:rPr>
                <w:sz w:val="19"/>
              </w:rPr>
              <w:t>PAYC</w:t>
            </w:r>
          </w:p>
        </w:tc>
        <w:tc>
          <w:tcPr>
            <w:tcW w:type="dxa" w:w="1930"/>
            <w:shd w:val="clear" w:fill="EEF1F7"/>
          </w:tcPr>
          <w:p>
            <w:r>
              <w:rPr>
                <w:sz w:val="19"/>
              </w:rPr>
              <w:t>Paycom</w:t>
            </w:r>
          </w:p>
        </w:tc>
        <w:tc>
          <w:tcPr>
            <w:tcW w:type="dxa" w:w="1930"/>
            <w:shd w:val="clear" w:fill="EEF1F7"/>
          </w:tcPr>
          <w:p>
            <w:r>
              <w:rPr>
                <w:sz w:val="19"/>
              </w:rPr>
              <w:t>HR &amp; Employment Services</w:t>
            </w:r>
          </w:p>
        </w:tc>
        <w:tc>
          <w:tcPr>
            <w:tcW w:type="dxa" w:w="1930"/>
            <w:shd w:val="clear" w:fill="EEF1F7"/>
          </w:tcPr>
          <w:p>
            <w:r>
              <w:rPr>
                <w:sz w:val="19"/>
              </w:rPr>
              <w:t>+4.3%</w:t>
            </w:r>
          </w:p>
        </w:tc>
      </w:tr>
      <w:tr>
        <w:tc>
          <w:tcPr>
            <w:tcW w:type="dxa" w:w="1930"/>
          </w:tcPr>
          <w:p>
            <w:r>
              <w:rPr>
                <w:sz w:val="19"/>
              </w:rPr>
              <w:t>3</w:t>
            </w:r>
          </w:p>
        </w:tc>
        <w:tc>
          <w:tcPr>
            <w:tcW w:type="dxa" w:w="1930"/>
          </w:tcPr>
          <w:p>
            <w:r>
              <w:rPr>
                <w:sz w:val="19"/>
              </w:rPr>
              <w:t>HZO</w:t>
            </w:r>
          </w:p>
        </w:tc>
        <w:tc>
          <w:tcPr>
            <w:tcW w:type="dxa" w:w="1930"/>
          </w:tcPr>
          <w:p>
            <w:r>
              <w:rPr>
                <w:sz w:val="19"/>
              </w:rPr>
              <w:t>MarineMax</w:t>
            </w:r>
          </w:p>
        </w:tc>
        <w:tc>
          <w:tcPr>
            <w:tcW w:type="dxa" w:w="1930"/>
          </w:tcPr>
          <w:p>
            <w:r>
              <w:rPr>
                <w:sz w:val="19"/>
              </w:rPr>
              <w:t>Specialty Stores</w:t>
            </w:r>
          </w:p>
        </w:tc>
        <w:tc>
          <w:tcPr>
            <w:tcW w:type="dxa" w:w="1930"/>
          </w:tcPr>
          <w:p>
            <w:r>
              <w:rPr>
                <w:sz w:val="19"/>
              </w:rPr>
              <w:t>-0.0%</w:t>
            </w:r>
          </w:p>
        </w:tc>
      </w:tr>
      <w:tr>
        <w:tc>
          <w:tcPr>
            <w:tcW w:type="dxa" w:w="1930"/>
            <w:shd w:val="clear" w:fill="EEF1F7"/>
          </w:tcPr>
          <w:p>
            <w:r>
              <w:rPr>
                <w:sz w:val="19"/>
              </w:rPr>
              <w:t>4</w:t>
            </w:r>
          </w:p>
        </w:tc>
        <w:tc>
          <w:tcPr>
            <w:tcW w:type="dxa" w:w="1930"/>
            <w:shd w:val="clear" w:fill="EEF1F7"/>
          </w:tcPr>
          <w:p>
            <w:r>
              <w:rPr>
                <w:sz w:val="19"/>
              </w:rPr>
              <w:t>AMR</w:t>
            </w:r>
          </w:p>
        </w:tc>
        <w:tc>
          <w:tcPr>
            <w:tcW w:type="dxa" w:w="1930"/>
            <w:shd w:val="clear" w:fill="EEF1F7"/>
          </w:tcPr>
          <w:p>
            <w:r>
              <w:rPr>
                <w:sz w:val="19"/>
              </w:rPr>
              <w:t>Alpha Metallurgical Resources</w:t>
            </w:r>
          </w:p>
        </w:tc>
        <w:tc>
          <w:tcPr>
            <w:tcW w:type="dxa" w:w="1930"/>
            <w:shd w:val="clear" w:fill="EEF1F7"/>
          </w:tcPr>
          <w:p>
            <w:r>
              <w:rPr>
                <w:sz w:val="19"/>
              </w:rPr>
              <w:t>Steel</w:t>
            </w:r>
          </w:p>
        </w:tc>
        <w:tc>
          <w:tcPr>
            <w:tcW w:type="dxa" w:w="1930"/>
            <w:shd w:val="clear" w:fill="EEF1F7"/>
          </w:tcPr>
          <w:p>
            <w:r>
              <w:rPr>
                <w:sz w:val="19"/>
              </w:rPr>
              <w:t>+7.7%</w:t>
            </w:r>
          </w:p>
        </w:tc>
      </w:tr>
      <w:tr>
        <w:tc>
          <w:tcPr>
            <w:tcW w:type="dxa" w:w="1930"/>
          </w:tcPr>
          <w:p>
            <w:r>
              <w:rPr>
                <w:sz w:val="19"/>
              </w:rPr>
              <w:t>5</w:t>
            </w:r>
          </w:p>
        </w:tc>
        <w:tc>
          <w:tcPr>
            <w:tcW w:type="dxa" w:w="1930"/>
          </w:tcPr>
          <w:p>
            <w:r>
              <w:rPr>
                <w:sz w:val="19"/>
              </w:rPr>
              <w:t>TEAM</w:t>
            </w:r>
          </w:p>
        </w:tc>
        <w:tc>
          <w:tcPr>
            <w:tcW w:type="dxa" w:w="1930"/>
          </w:tcPr>
          <w:p>
            <w:r>
              <w:rPr>
                <w:sz w:val="19"/>
              </w:rPr>
              <w:t>Atlassian</w:t>
            </w:r>
          </w:p>
        </w:tc>
        <w:tc>
          <w:tcPr>
            <w:tcW w:type="dxa" w:w="1930"/>
          </w:tcPr>
          <w:p>
            <w:r>
              <w:rPr>
                <w:sz w:val="19"/>
              </w:rPr>
              <w:t>Software - Application</w:t>
            </w:r>
          </w:p>
        </w:tc>
        <w:tc>
          <w:tcPr>
            <w:tcW w:type="dxa" w:w="1930"/>
          </w:tcPr>
          <w:p>
            <w:r>
              <w:rPr>
                <w:sz w:val="19"/>
              </w:rPr>
              <w:t>+10.8%</w:t>
            </w:r>
          </w:p>
        </w:tc>
      </w:tr>
      <w:tr>
        <w:tc>
          <w:tcPr>
            <w:tcW w:type="dxa" w:w="1930"/>
            <w:shd w:val="clear" w:fill="EEF1F7"/>
          </w:tcPr>
          <w:p>
            <w:r>
              <w:rPr>
                <w:sz w:val="19"/>
              </w:rPr>
              <w:t>6</w:t>
            </w:r>
          </w:p>
        </w:tc>
        <w:tc>
          <w:tcPr>
            <w:tcW w:type="dxa" w:w="1930"/>
            <w:shd w:val="clear" w:fill="EEF1F7"/>
          </w:tcPr>
          <w:p>
            <w:r>
              <w:rPr>
                <w:sz w:val="19"/>
              </w:rPr>
              <w:t>ATRC</w:t>
            </w:r>
          </w:p>
        </w:tc>
        <w:tc>
          <w:tcPr>
            <w:tcW w:type="dxa" w:w="1930"/>
            <w:shd w:val="clear" w:fill="EEF1F7"/>
          </w:tcPr>
          <w:p>
            <w:r>
              <w:rPr>
                <w:sz w:val="19"/>
              </w:rPr>
              <w:t>AtriCure</w:t>
            </w:r>
          </w:p>
        </w:tc>
        <w:tc>
          <w:tcPr>
            <w:tcW w:type="dxa" w:w="1930"/>
            <w:shd w:val="clear" w:fill="EEF1F7"/>
          </w:tcPr>
          <w:p>
            <w:r>
              <w:rPr>
                <w:sz w:val="19"/>
              </w:rPr>
              <w:t>Medical Instruments</w:t>
            </w:r>
          </w:p>
        </w:tc>
        <w:tc>
          <w:tcPr>
            <w:tcW w:type="dxa" w:w="1930"/>
            <w:shd w:val="clear" w:fill="EEF1F7"/>
          </w:tcPr>
          <w:p>
            <w:r>
              <w:rPr>
                <w:sz w:val="19"/>
              </w:rPr>
              <w:t>-0.9%</w:t>
            </w:r>
          </w:p>
        </w:tc>
      </w:tr>
      <w:tr>
        <w:tc>
          <w:tcPr>
            <w:tcW w:type="dxa" w:w="1930"/>
          </w:tcPr>
          <w:p>
            <w:r>
              <w:rPr>
                <w:sz w:val="19"/>
              </w:rPr>
              <w:t>7</w:t>
            </w:r>
          </w:p>
        </w:tc>
        <w:tc>
          <w:tcPr>
            <w:tcW w:type="dxa" w:w="1930"/>
          </w:tcPr>
          <w:p>
            <w:r>
              <w:rPr>
                <w:sz w:val="19"/>
              </w:rPr>
              <w:t>ASST</w:t>
            </w:r>
          </w:p>
        </w:tc>
        <w:tc>
          <w:tcPr>
            <w:tcW w:type="dxa" w:w="1930"/>
          </w:tcPr>
          <w:p>
            <w:r>
              <w:rPr>
                <w:sz w:val="19"/>
              </w:rPr>
              <w:t>Strive</w:t>
            </w:r>
          </w:p>
        </w:tc>
        <w:tc>
          <w:tcPr>
            <w:tcW w:type="dxa" w:w="1930"/>
          </w:tcPr>
          <w:p>
            <w:r>
              <w:rPr>
                <w:sz w:val="19"/>
              </w:rPr>
              <w:t>Asset Management</w:t>
            </w:r>
          </w:p>
        </w:tc>
        <w:tc>
          <w:tcPr>
            <w:tcW w:type="dxa" w:w="1930"/>
          </w:tcPr>
          <w:p>
            <w:r>
              <w:rPr>
                <w:sz w:val="19"/>
              </w:rPr>
              <w:t>+19.3%</w:t>
            </w:r>
          </w:p>
        </w:tc>
      </w:tr>
      <w:tr>
        <w:tc>
          <w:tcPr>
            <w:tcW w:type="dxa" w:w="1930"/>
            <w:shd w:val="clear" w:fill="EEF1F7"/>
          </w:tcPr>
          <w:p>
            <w:r>
              <w:rPr>
                <w:sz w:val="19"/>
              </w:rPr>
              <w:t>8</w:t>
            </w:r>
          </w:p>
        </w:tc>
        <w:tc>
          <w:tcPr>
            <w:tcW w:type="dxa" w:w="1930"/>
            <w:shd w:val="clear" w:fill="EEF1F7"/>
          </w:tcPr>
          <w:p>
            <w:r>
              <w:rPr>
                <w:sz w:val="19"/>
              </w:rPr>
              <w:t>XNCR</w:t>
            </w:r>
          </w:p>
        </w:tc>
        <w:tc>
          <w:tcPr>
            <w:tcW w:type="dxa" w:w="1930"/>
            <w:shd w:val="clear" w:fill="EEF1F7"/>
          </w:tcPr>
          <w:p>
            <w:r>
              <w:rPr>
                <w:sz w:val="19"/>
              </w:rPr>
              <w:t>Xencor</w:t>
            </w:r>
          </w:p>
        </w:tc>
        <w:tc>
          <w:tcPr>
            <w:tcW w:type="dxa" w:w="1930"/>
            <w:shd w:val="clear" w:fill="EEF1F7"/>
          </w:tcPr>
          <w:p>
            <w:r>
              <w:rPr>
                <w:sz w:val="19"/>
              </w:rPr>
              <w:t>Biotechnology</w:t>
            </w:r>
          </w:p>
        </w:tc>
        <w:tc>
          <w:tcPr>
            <w:tcW w:type="dxa" w:w="1930"/>
            <w:shd w:val="clear" w:fill="EEF1F7"/>
          </w:tcPr>
          <w:p>
            <w:r>
              <w:rPr>
                <w:sz w:val="19"/>
              </w:rPr>
              <w:t>-6.3%</w:t>
            </w:r>
          </w:p>
        </w:tc>
      </w:tr>
      <w:tr>
        <w:tc>
          <w:tcPr>
            <w:tcW w:type="dxa" w:w="1930"/>
          </w:tcPr>
          <w:p>
            <w:r>
              <w:rPr>
                <w:sz w:val="19"/>
              </w:rPr>
              <w:t>9</w:t>
            </w:r>
          </w:p>
        </w:tc>
        <w:tc>
          <w:tcPr>
            <w:tcW w:type="dxa" w:w="1930"/>
          </w:tcPr>
          <w:p>
            <w:r>
              <w:rPr>
                <w:sz w:val="19"/>
              </w:rPr>
              <w:t>HAE</w:t>
            </w:r>
          </w:p>
        </w:tc>
        <w:tc>
          <w:tcPr>
            <w:tcW w:type="dxa" w:w="1930"/>
          </w:tcPr>
          <w:p>
            <w:r>
              <w:rPr>
                <w:sz w:val="19"/>
              </w:rPr>
              <w:t>Haemonetics</w:t>
            </w:r>
          </w:p>
        </w:tc>
        <w:tc>
          <w:tcPr>
            <w:tcW w:type="dxa" w:w="1930"/>
          </w:tcPr>
          <w:p>
            <w:r>
              <w:rPr>
                <w:sz w:val="19"/>
              </w:rPr>
              <w:t>Health Care Supplies</w:t>
            </w:r>
          </w:p>
        </w:tc>
        <w:tc>
          <w:tcPr>
            <w:tcW w:type="dxa" w:w="1930"/>
          </w:tcPr>
          <w:p>
            <w:r>
              <w:rPr>
                <w:sz w:val="19"/>
              </w:rPr>
              <w:t>-4.4%</w:t>
            </w:r>
          </w:p>
        </w:tc>
      </w:tr>
      <w:tr>
        <w:tc>
          <w:tcPr>
            <w:tcW w:type="dxa" w:w="1930"/>
            <w:shd w:val="clear" w:fill="EEF1F7"/>
          </w:tcPr>
          <w:p>
            <w:r>
              <w:rPr>
                <w:sz w:val="19"/>
              </w:rPr>
              <w:t>10</w:t>
            </w:r>
          </w:p>
        </w:tc>
        <w:tc>
          <w:tcPr>
            <w:tcW w:type="dxa" w:w="1930"/>
            <w:shd w:val="clear" w:fill="EEF1F7"/>
          </w:tcPr>
          <w:p>
            <w:r>
              <w:rPr>
                <w:sz w:val="19"/>
              </w:rPr>
              <w:t>CHYM</w:t>
            </w:r>
          </w:p>
        </w:tc>
        <w:tc>
          <w:tcPr>
            <w:tcW w:type="dxa" w:w="1930"/>
            <w:shd w:val="clear" w:fill="EEF1F7"/>
          </w:tcPr>
          <w:p>
            <w:r>
              <w:rPr>
                <w:sz w:val="19"/>
              </w:rPr>
              <w:t>Chime Financial</w:t>
            </w:r>
          </w:p>
        </w:tc>
        <w:tc>
          <w:tcPr>
            <w:tcW w:type="dxa" w:w="1930"/>
            <w:shd w:val="clear" w:fill="EEF1F7"/>
          </w:tcPr>
          <w:p>
            <w:r>
              <w:rPr>
                <w:sz w:val="19"/>
              </w:rPr>
              <w:t>Software - Application</w:t>
            </w:r>
          </w:p>
        </w:tc>
        <w:tc>
          <w:tcPr>
            <w:tcW w:type="dxa" w:w="1930"/>
            <w:shd w:val="clear" w:fill="EEF1F7"/>
          </w:tcPr>
          <w:p>
            <w:r>
              <w:rPr>
                <w:sz w:val="19"/>
              </w:rPr>
              <w:t>+1.3%</w:t>
            </w:r>
          </w:p>
        </w:tc>
      </w:tr>
    </w:tbl>
    <w:p/>
    <w:p>
      <w:r>
        <w:t xml:space="preserve">Two clusters dominate the leadership: medical names (Heartflow, AtriCure, Xencor, Haemonetics, and just below, Bio-Rad, BioLife, Integer, Repligen) and application software (Atlassian, Appian at #13, Sprinklr at #17, UiPath at #18). Note how many of the strongest names actually </w:t>
      </w:r>
      <w:r>
        <w:rPr>
          <w:i/>
        </w:rPr>
        <w:t>fell</w:t>
      </w:r>
      <w:r>
        <w:t xml:space="preserve"> on price this week — Heartflow down 4%, Xencor down 6.3% — and still hold their rank. That's what leadership looks like on a pullback: the group loses a little price but doesn't lose its place.</w:t>
      </w:r>
    </w:p>
    <w:p>
      <w:r>
        <w:t>The weekly climbers show where fresh money moved: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week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VIR</w:t>
            </w:r>
          </w:p>
        </w:tc>
        <w:tc>
          <w:tcPr>
            <w:tcW w:type="dxa" w:w="1930"/>
          </w:tcPr>
          <w:p>
            <w:r>
              <w:rPr>
                <w:sz w:val="19"/>
              </w:rPr>
              <w:t>Health Care</w:t>
            </w:r>
          </w:p>
        </w:tc>
        <w:tc>
          <w:tcPr>
            <w:tcW w:type="dxa" w:w="1930"/>
          </w:tcPr>
          <w:p>
            <w:r>
              <w:rPr>
                <w:sz w:val="19"/>
              </w:rPr>
              <w:t>810 → 172</w:t>
            </w:r>
          </w:p>
        </w:tc>
        <w:tc>
          <w:tcPr>
            <w:tcW w:type="dxa" w:w="1930"/>
          </w:tcPr>
          <w:p>
            <w:r>
              <w:rPr>
                <w:sz w:val="19"/>
              </w:rPr>
              <w:t>+638</w:t>
            </w:r>
          </w:p>
        </w:tc>
        <w:tc>
          <w:tcPr>
            <w:tcW w:type="dxa" w:w="1930"/>
          </w:tcPr>
          <w:p>
            <w:r>
              <w:rPr>
                <w:sz w:val="19"/>
              </w:rPr>
              <w:t>+10.7%</w:t>
            </w:r>
          </w:p>
        </w:tc>
      </w:tr>
      <w:tr>
        <w:tc>
          <w:tcPr>
            <w:tcW w:type="dxa" w:w="1930"/>
            <w:shd w:val="clear" w:fill="EEF1F7"/>
          </w:tcPr>
          <w:p>
            <w:r>
              <w:rPr>
                <w:sz w:val="19"/>
              </w:rPr>
              <w:t>CNXC</w:t>
            </w:r>
          </w:p>
        </w:tc>
        <w:tc>
          <w:tcPr>
            <w:tcW w:type="dxa" w:w="1930"/>
            <w:shd w:val="clear" w:fill="EEF1F7"/>
          </w:tcPr>
          <w:p>
            <w:r>
              <w:rPr>
                <w:sz w:val="19"/>
              </w:rPr>
              <w:t>Info Tech</w:t>
            </w:r>
          </w:p>
        </w:tc>
        <w:tc>
          <w:tcPr>
            <w:tcW w:type="dxa" w:w="1930"/>
            <w:shd w:val="clear" w:fill="EEF1F7"/>
          </w:tcPr>
          <w:p>
            <w:r>
              <w:rPr>
                <w:sz w:val="19"/>
              </w:rPr>
              <w:t>883 → 343</w:t>
            </w:r>
          </w:p>
        </w:tc>
        <w:tc>
          <w:tcPr>
            <w:tcW w:type="dxa" w:w="1930"/>
            <w:shd w:val="clear" w:fill="EEF1F7"/>
          </w:tcPr>
          <w:p>
            <w:r>
              <w:rPr>
                <w:sz w:val="19"/>
              </w:rPr>
              <w:t>+540</w:t>
            </w:r>
          </w:p>
        </w:tc>
        <w:tc>
          <w:tcPr>
            <w:tcW w:type="dxa" w:w="1930"/>
            <w:shd w:val="clear" w:fill="EEF1F7"/>
          </w:tcPr>
          <w:p>
            <w:r>
              <w:rPr>
                <w:sz w:val="19"/>
              </w:rPr>
              <w:t>+15.7%</w:t>
            </w:r>
          </w:p>
        </w:tc>
      </w:tr>
      <w:tr>
        <w:tc>
          <w:tcPr>
            <w:tcW w:type="dxa" w:w="1930"/>
          </w:tcPr>
          <w:p>
            <w:r>
              <w:rPr>
                <w:sz w:val="19"/>
              </w:rPr>
              <w:t>TMC</w:t>
            </w:r>
          </w:p>
        </w:tc>
        <w:tc>
          <w:tcPr>
            <w:tcW w:type="dxa" w:w="1930"/>
          </w:tcPr>
          <w:p>
            <w:r>
              <w:rPr>
                <w:sz w:val="19"/>
              </w:rPr>
              <w:t>Materials</w:t>
            </w:r>
          </w:p>
        </w:tc>
        <w:tc>
          <w:tcPr>
            <w:tcW w:type="dxa" w:w="1930"/>
          </w:tcPr>
          <w:p>
            <w:r>
              <w:rPr>
                <w:sz w:val="19"/>
              </w:rPr>
              <w:t>881 → 341</w:t>
            </w:r>
          </w:p>
        </w:tc>
        <w:tc>
          <w:tcPr>
            <w:tcW w:type="dxa" w:w="1930"/>
          </w:tcPr>
          <w:p>
            <w:r>
              <w:rPr>
                <w:sz w:val="19"/>
              </w:rPr>
              <w:t>+540</w:t>
            </w:r>
          </w:p>
        </w:tc>
        <w:tc>
          <w:tcPr>
            <w:tcW w:type="dxa" w:w="1930"/>
          </w:tcPr>
          <w:p>
            <w:r>
              <w:rPr>
                <w:sz w:val="19"/>
              </w:rPr>
              <w:t>+0.4%</w:t>
            </w:r>
          </w:p>
        </w:tc>
      </w:tr>
      <w:tr>
        <w:tc>
          <w:tcPr>
            <w:tcW w:type="dxa" w:w="1930"/>
            <w:shd w:val="clear" w:fill="EEF1F7"/>
          </w:tcPr>
          <w:p>
            <w:r>
              <w:rPr>
                <w:sz w:val="19"/>
              </w:rPr>
              <w:t>MSTR</w:t>
            </w:r>
          </w:p>
        </w:tc>
        <w:tc>
          <w:tcPr>
            <w:tcW w:type="dxa" w:w="1930"/>
            <w:shd w:val="clear" w:fill="EEF1F7"/>
          </w:tcPr>
          <w:p>
            <w:r>
              <w:rPr>
                <w:sz w:val="19"/>
              </w:rPr>
              <w:t>Info Tech</w:t>
            </w:r>
          </w:p>
        </w:tc>
        <w:tc>
          <w:tcPr>
            <w:tcW w:type="dxa" w:w="1930"/>
            <w:shd w:val="clear" w:fill="EEF1F7"/>
          </w:tcPr>
          <w:p>
            <w:r>
              <w:rPr>
                <w:sz w:val="19"/>
              </w:rPr>
              <w:t>711 → 184</w:t>
            </w:r>
          </w:p>
        </w:tc>
        <w:tc>
          <w:tcPr>
            <w:tcW w:type="dxa" w:w="1930"/>
            <w:shd w:val="clear" w:fill="EEF1F7"/>
          </w:tcPr>
          <w:p>
            <w:r>
              <w:rPr>
                <w:sz w:val="19"/>
              </w:rPr>
              <w:t>+527</w:t>
            </w:r>
          </w:p>
        </w:tc>
        <w:tc>
          <w:tcPr>
            <w:tcW w:type="dxa" w:w="1930"/>
            <w:shd w:val="clear" w:fill="EEF1F7"/>
          </w:tcPr>
          <w:p>
            <w:r>
              <w:rPr>
                <w:sz w:val="19"/>
              </w:rPr>
              <w:t>+6.8%</w:t>
            </w:r>
          </w:p>
        </w:tc>
      </w:tr>
      <w:tr>
        <w:tc>
          <w:tcPr>
            <w:tcW w:type="dxa" w:w="1930"/>
          </w:tcPr>
          <w:p>
            <w:r>
              <w:rPr>
                <w:sz w:val="19"/>
              </w:rPr>
              <w:t>NVAX</w:t>
            </w:r>
          </w:p>
        </w:tc>
        <w:tc>
          <w:tcPr>
            <w:tcW w:type="dxa" w:w="1930"/>
          </w:tcPr>
          <w:p>
            <w:r>
              <w:rPr>
                <w:sz w:val="19"/>
              </w:rPr>
              <w:t>Health Care</w:t>
            </w:r>
          </w:p>
        </w:tc>
        <w:tc>
          <w:tcPr>
            <w:tcW w:type="dxa" w:w="1930"/>
          </w:tcPr>
          <w:p>
            <w:r>
              <w:rPr>
                <w:sz w:val="19"/>
              </w:rPr>
              <w:t>808 → 328</w:t>
            </w:r>
          </w:p>
        </w:tc>
        <w:tc>
          <w:tcPr>
            <w:tcW w:type="dxa" w:w="1930"/>
          </w:tcPr>
          <w:p>
            <w:r>
              <w:rPr>
                <w:sz w:val="19"/>
              </w:rPr>
              <w:t>+480</w:t>
            </w:r>
          </w:p>
        </w:tc>
        <w:tc>
          <w:tcPr>
            <w:tcW w:type="dxa" w:w="1930"/>
          </w:tcPr>
          <w:p>
            <w:r>
              <w:rPr>
                <w:sz w:val="19"/>
              </w:rPr>
              <w:t>+3.6%</w:t>
            </w:r>
          </w:p>
        </w:tc>
      </w:tr>
      <w:tr>
        <w:tc>
          <w:tcPr>
            <w:tcW w:type="dxa" w:w="1930"/>
            <w:shd w:val="clear" w:fill="EEF1F7"/>
          </w:tcPr>
          <w:p>
            <w:r>
              <w:rPr>
                <w:sz w:val="19"/>
              </w:rPr>
              <w:t>METC</w:t>
            </w:r>
          </w:p>
        </w:tc>
        <w:tc>
          <w:tcPr>
            <w:tcW w:type="dxa" w:w="1930"/>
            <w:shd w:val="clear" w:fill="EEF1F7"/>
          </w:tcPr>
          <w:p>
            <w:r>
              <w:rPr>
                <w:sz w:val="19"/>
              </w:rPr>
              <w:t>Materials</w:t>
            </w:r>
          </w:p>
        </w:tc>
        <w:tc>
          <w:tcPr>
            <w:tcW w:type="dxa" w:w="1930"/>
            <w:shd w:val="clear" w:fill="EEF1F7"/>
          </w:tcPr>
          <w:p>
            <w:r>
              <w:rPr>
                <w:sz w:val="19"/>
              </w:rPr>
              <w:t>864 → 392</w:t>
            </w:r>
          </w:p>
        </w:tc>
        <w:tc>
          <w:tcPr>
            <w:tcW w:type="dxa" w:w="1930"/>
            <w:shd w:val="clear" w:fill="EEF1F7"/>
          </w:tcPr>
          <w:p>
            <w:r>
              <w:rPr>
                <w:sz w:val="19"/>
              </w:rPr>
              <w:t>+472</w:t>
            </w:r>
          </w:p>
        </w:tc>
        <w:tc>
          <w:tcPr>
            <w:tcW w:type="dxa" w:w="1930"/>
            <w:shd w:val="clear" w:fill="EEF1F7"/>
          </w:tcPr>
          <w:p>
            <w:r>
              <w:rPr>
                <w:sz w:val="19"/>
              </w:rPr>
              <w:t>+11.8%</w:t>
            </w:r>
          </w:p>
        </w:tc>
      </w:tr>
      <w:tr>
        <w:tc>
          <w:tcPr>
            <w:tcW w:type="dxa" w:w="1930"/>
          </w:tcPr>
          <w:p>
            <w:r>
              <w:rPr>
                <w:sz w:val="19"/>
              </w:rPr>
              <w:t>ANF</w:t>
            </w:r>
          </w:p>
        </w:tc>
        <w:tc>
          <w:tcPr>
            <w:tcW w:type="dxa" w:w="1930"/>
          </w:tcPr>
          <w:p>
            <w:r>
              <w:rPr>
                <w:sz w:val="19"/>
              </w:rPr>
              <w:t>Consumer Disc.</w:t>
            </w:r>
          </w:p>
        </w:tc>
        <w:tc>
          <w:tcPr>
            <w:tcW w:type="dxa" w:w="1930"/>
          </w:tcPr>
          <w:p>
            <w:r>
              <w:rPr>
                <w:sz w:val="19"/>
              </w:rPr>
              <w:t>518 → 89</w:t>
            </w:r>
          </w:p>
        </w:tc>
        <w:tc>
          <w:tcPr>
            <w:tcW w:type="dxa" w:w="1930"/>
          </w:tcPr>
          <w:p>
            <w:r>
              <w:rPr>
                <w:sz w:val="19"/>
              </w:rPr>
              <w:t>+429</w:t>
            </w:r>
          </w:p>
        </w:tc>
        <w:tc>
          <w:tcPr>
            <w:tcW w:type="dxa" w:w="1930"/>
          </w:tcPr>
          <w:p>
            <w:r>
              <w:rPr>
                <w:sz w:val="19"/>
              </w:rPr>
              <w:t>+36.2%</w:t>
            </w:r>
          </w:p>
        </w:tc>
      </w:tr>
      <w:tr>
        <w:tc>
          <w:tcPr>
            <w:tcW w:type="dxa" w:w="1930"/>
            <w:shd w:val="clear" w:fill="EEF1F7"/>
          </w:tcPr>
          <w:p>
            <w:r>
              <w:rPr>
                <w:sz w:val="19"/>
              </w:rPr>
              <w:t>COIN</w:t>
            </w:r>
          </w:p>
        </w:tc>
        <w:tc>
          <w:tcPr>
            <w:tcW w:type="dxa" w:w="1930"/>
            <w:shd w:val="clear" w:fill="EEF1F7"/>
          </w:tcPr>
          <w:p>
            <w:r>
              <w:rPr>
                <w:sz w:val="19"/>
              </w:rPr>
              <w:t>Financials</w:t>
            </w:r>
          </w:p>
        </w:tc>
        <w:tc>
          <w:tcPr>
            <w:tcW w:type="dxa" w:w="1930"/>
            <w:shd w:val="clear" w:fill="EEF1F7"/>
          </w:tcPr>
          <w:p>
            <w:r>
              <w:rPr>
                <w:sz w:val="19"/>
              </w:rPr>
              <w:t>790 → 361</w:t>
            </w:r>
          </w:p>
        </w:tc>
        <w:tc>
          <w:tcPr>
            <w:tcW w:type="dxa" w:w="1930"/>
            <w:shd w:val="clear" w:fill="EEF1F7"/>
          </w:tcPr>
          <w:p>
            <w:r>
              <w:rPr>
                <w:sz w:val="19"/>
              </w:rPr>
              <w:t>+429</w:t>
            </w:r>
          </w:p>
        </w:tc>
        <w:tc>
          <w:tcPr>
            <w:tcW w:type="dxa" w:w="1930"/>
            <w:shd w:val="clear" w:fill="EEF1F7"/>
          </w:tcPr>
          <w:p>
            <w:r>
              <w:rPr>
                <w:sz w:val="19"/>
              </w:rPr>
              <w:t>-4.2%</w:t>
            </w:r>
          </w:p>
        </w:tc>
      </w:tr>
      <w:tr>
        <w:tc>
          <w:tcPr>
            <w:tcW w:type="dxa" w:w="1930"/>
          </w:tcPr>
          <w:p>
            <w:r>
              <w:rPr>
                <w:sz w:val="19"/>
              </w:rPr>
              <w:t>MCO</w:t>
            </w:r>
          </w:p>
        </w:tc>
        <w:tc>
          <w:tcPr>
            <w:tcW w:type="dxa" w:w="1930"/>
          </w:tcPr>
          <w:p>
            <w:r>
              <w:rPr>
                <w:sz w:val="19"/>
              </w:rPr>
              <w:t>Financials</w:t>
            </w:r>
          </w:p>
        </w:tc>
        <w:tc>
          <w:tcPr>
            <w:tcW w:type="dxa" w:w="1930"/>
          </w:tcPr>
          <w:p>
            <w:r>
              <w:rPr>
                <w:sz w:val="19"/>
              </w:rPr>
              <w:t>730 → 316</w:t>
            </w:r>
          </w:p>
        </w:tc>
        <w:tc>
          <w:tcPr>
            <w:tcW w:type="dxa" w:w="1930"/>
          </w:tcPr>
          <w:p>
            <w:r>
              <w:rPr>
                <w:sz w:val="19"/>
              </w:rPr>
              <w:t>+414</w:t>
            </w:r>
          </w:p>
        </w:tc>
        <w:tc>
          <w:tcPr>
            <w:tcW w:type="dxa" w:w="1930"/>
          </w:tcPr>
          <w:p>
            <w:r>
              <w:rPr>
                <w:sz w:val="19"/>
              </w:rPr>
              <w:t>+2.3%</w:t>
            </w:r>
          </w:p>
        </w:tc>
      </w:tr>
      <w:tr>
        <w:tc>
          <w:tcPr>
            <w:tcW w:type="dxa" w:w="1930"/>
            <w:shd w:val="clear" w:fill="EEF1F7"/>
          </w:tcPr>
          <w:p>
            <w:r>
              <w:rPr>
                <w:sz w:val="19"/>
              </w:rPr>
              <w:t>V</w:t>
            </w:r>
          </w:p>
        </w:tc>
        <w:tc>
          <w:tcPr>
            <w:tcW w:type="dxa" w:w="1930"/>
            <w:shd w:val="clear" w:fill="EEF1F7"/>
          </w:tcPr>
          <w:p>
            <w:r>
              <w:rPr>
                <w:sz w:val="19"/>
              </w:rPr>
              <w:t>Financials</w:t>
            </w:r>
          </w:p>
        </w:tc>
        <w:tc>
          <w:tcPr>
            <w:tcW w:type="dxa" w:w="1930"/>
            <w:shd w:val="clear" w:fill="EEF1F7"/>
          </w:tcPr>
          <w:p>
            <w:r>
              <w:rPr>
                <w:sz w:val="19"/>
              </w:rPr>
              <w:t>740 → 327</w:t>
            </w:r>
          </w:p>
        </w:tc>
        <w:tc>
          <w:tcPr>
            <w:tcW w:type="dxa" w:w="1930"/>
            <w:shd w:val="clear" w:fill="EEF1F7"/>
          </w:tcPr>
          <w:p>
            <w:r>
              <w:rPr>
                <w:sz w:val="19"/>
              </w:rPr>
              <w:t>+413</w:t>
            </w:r>
          </w:p>
        </w:tc>
        <w:tc>
          <w:tcPr>
            <w:tcW w:type="dxa" w:w="1930"/>
            <w:shd w:val="clear" w:fill="EEF1F7"/>
          </w:tcPr>
          <w:p>
            <w:r>
              <w:rPr>
                <w:sz w:val="19"/>
              </w:rPr>
              <w:t>+2.8%</w:t>
            </w:r>
          </w:p>
        </w:tc>
      </w:tr>
      <w:tr>
        <w:tc>
          <w:tcPr>
            <w:tcW w:type="dxa" w:w="1930"/>
          </w:tcPr>
          <w:p>
            <w:r>
              <w:rPr>
                <w:sz w:val="19"/>
              </w:rPr>
              <w:t>CMG</w:t>
            </w:r>
          </w:p>
        </w:tc>
        <w:tc>
          <w:tcPr>
            <w:tcW w:type="dxa" w:w="1930"/>
          </w:tcPr>
          <w:p>
            <w:r>
              <w:rPr>
                <w:sz w:val="19"/>
              </w:rPr>
              <w:t>Consumer Disc.</w:t>
            </w:r>
          </w:p>
        </w:tc>
        <w:tc>
          <w:tcPr>
            <w:tcW w:type="dxa" w:w="1930"/>
          </w:tcPr>
          <w:p>
            <w:r>
              <w:rPr>
                <w:sz w:val="19"/>
              </w:rPr>
              <w:t>774 → 364</w:t>
            </w:r>
          </w:p>
        </w:tc>
        <w:tc>
          <w:tcPr>
            <w:tcW w:type="dxa" w:w="1930"/>
          </w:tcPr>
          <w:p>
            <w:r>
              <w:rPr>
                <w:sz w:val="19"/>
              </w:rPr>
              <w:t>+410</w:t>
            </w:r>
          </w:p>
        </w:tc>
        <w:tc>
          <w:tcPr>
            <w:tcW w:type="dxa" w:w="1930"/>
          </w:tcPr>
          <w:p>
            <w:r>
              <w:rPr>
                <w:sz w:val="19"/>
              </w:rPr>
              <w:t>+3.1%</w:t>
            </w:r>
          </w:p>
        </w:tc>
      </w:tr>
      <w:tr>
        <w:tc>
          <w:tcPr>
            <w:tcW w:type="dxa" w:w="1930"/>
            <w:shd w:val="clear" w:fill="EEF1F7"/>
          </w:tcPr>
          <w:p>
            <w:r>
              <w:rPr>
                <w:sz w:val="19"/>
              </w:rPr>
              <w:t>INBX</w:t>
            </w:r>
          </w:p>
        </w:tc>
        <w:tc>
          <w:tcPr>
            <w:tcW w:type="dxa" w:w="1930"/>
            <w:shd w:val="clear" w:fill="EEF1F7"/>
          </w:tcPr>
          <w:p>
            <w:r>
              <w:rPr>
                <w:sz w:val="19"/>
              </w:rPr>
              <w:t>Health Care</w:t>
            </w:r>
          </w:p>
        </w:tc>
        <w:tc>
          <w:tcPr>
            <w:tcW w:type="dxa" w:w="1930"/>
            <w:shd w:val="clear" w:fill="EEF1F7"/>
          </w:tcPr>
          <w:p>
            <w:r>
              <w:rPr>
                <w:sz w:val="19"/>
              </w:rPr>
              <w:t>483 → 75</w:t>
            </w:r>
          </w:p>
        </w:tc>
        <w:tc>
          <w:tcPr>
            <w:tcW w:type="dxa" w:w="1930"/>
            <w:shd w:val="clear" w:fill="EEF1F7"/>
          </w:tcPr>
          <w:p>
            <w:r>
              <w:rPr>
                <w:sz w:val="19"/>
              </w:rPr>
              <w:t>+408</w:t>
            </w:r>
          </w:p>
        </w:tc>
        <w:tc>
          <w:tcPr>
            <w:tcW w:type="dxa" w:w="1930"/>
            <w:shd w:val="clear" w:fill="EEF1F7"/>
          </w:tcPr>
          <w:p>
            <w:r>
              <w:rPr>
                <w:sz w:val="19"/>
              </w:rPr>
              <w:t>+19.1%</w:t>
            </w:r>
          </w:p>
        </w:tc>
      </w:tr>
    </w:tbl>
    <w:p/>
    <w:p>
      <w:r>
        <w:t>Six of the top 25 climbers are Financials, four are Health Care. The financial cluster is the payments-and-markets end of it: Visa (+413 spots), Moody's, Cboe, Virtu, plus Coinbase. That fits the crypto-and-payments plumbing theme without being the same trade.</w:t>
      </w:r>
    </w:p>
    <w:p>
      <w:r>
        <w:rPr>
          <w:b/>
        </w:rPr>
        <w:t>The two clocks — price vs rank.</w:t>
      </w:r>
      <w:r>
        <w:t xml:space="preserve"> This is the paid-for insight, so use it. CrowdStrike jumped 14% on earnings this week, yet its rank actually </w:t>
      </w:r>
      <w:r>
        <w:rPr>
          <w:i/>
        </w:rPr>
        <w:t>fell</w:t>
      </w:r>
      <w:r>
        <w:t xml:space="preserve"> 17 spots to #758. Money used the pop to leave. Same pattern in the mega-caps: NVDA rose 1.3% on price but dropped 136 spots to #704, and Broadcom is barely moving on price while sitting at #1,687. The chips bounced with the tape while the board still has them buried, which is money using the rally to walk out the door, not a fresh bid. The one mega-cap that improved on </w:t>
      </w:r>
      <w:r>
        <w:rPr>
          <w:i/>
        </w:rPr>
        <w:t>both</w:t>
      </w:r>
      <w:r>
        <w:t xml:space="preserve"> clocks is Microsoft, up 6.3% and up 70 rank spots to #66. When you hear "the index made money this week," that's largely who made it.</w:t>
      </w:r>
    </w:p>
    <w:p>
      <w:r>
        <w:t>One overseas cross-check: Taiwan's TAIEX rose 2.5% (the TSMC/AI supply-chain tell), but Korea's KOSPI fell 1.8% on the memory cycle, a cautious read for Micron and US memory. Even the semi complex isn't speaking with one voice, and our board is siding with the cautious half.</w:t>
      </w:r>
    </w:p>
    <w:p>
      <w:pPr>
        <w:spacing w:before="240" w:after="80"/>
      </w:pPr>
      <w:r>
        <w:rPr>
          <w:b/>
          <w:color w:val="1F3864"/>
          <w:sz w:val="30"/>
        </w:rPr>
        <w:t>7. A few names worth looking at</w:t>
      </w:r>
    </w:p>
    <w:p>
      <w:r>
        <w:t>These pass four filters at once: a strong sector, an improving rank, a genuine uptrend (price above a rising 20-day, itself above the 50 and 200), and not stretched (within 10% of the 20-day). A starting point for your own research, nothing more.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CHYM</w:t>
            </w:r>
          </w:p>
        </w:tc>
        <w:tc>
          <w:tcPr>
            <w:tcW w:type="dxa" w:w="1608"/>
          </w:tcPr>
          <w:p>
            <w:r>
              <w:rPr>
                <w:sz w:val="19"/>
              </w:rPr>
              <w:t>Chime Financial</w:t>
            </w:r>
          </w:p>
        </w:tc>
        <w:tc>
          <w:tcPr>
            <w:tcW w:type="dxa" w:w="1608"/>
          </w:tcPr>
          <w:p>
            <w:r>
              <w:rPr>
                <w:sz w:val="19"/>
              </w:rPr>
              <w:t>Info Tech</w:t>
            </w:r>
          </w:p>
        </w:tc>
        <w:tc>
          <w:tcPr>
            <w:tcW w:type="dxa" w:w="1608"/>
          </w:tcPr>
          <w:p>
            <w:r>
              <w:rPr>
                <w:sz w:val="19"/>
              </w:rPr>
              <w:t>10 (+4)</w:t>
            </w:r>
          </w:p>
        </w:tc>
        <w:tc>
          <w:tcPr>
            <w:tcW w:type="dxa" w:w="1608"/>
          </w:tcPr>
          <w:p>
            <w:r>
              <w:rPr>
                <w:sz w:val="19"/>
              </w:rPr>
              <w:t>C</w:t>
            </w:r>
          </w:p>
        </w:tc>
        <w:tc>
          <w:tcPr>
            <w:tcW w:type="dxa" w:w="1608"/>
          </w:tcPr>
          <w:p>
            <w:r>
              <w:rPr>
                <w:sz w:val="19"/>
              </w:rPr>
              <w:t>+8.3%</w:t>
            </w:r>
          </w:p>
        </w:tc>
      </w:tr>
      <w:tr>
        <w:tc>
          <w:tcPr>
            <w:tcW w:type="dxa" w:w="1608"/>
            <w:shd w:val="clear" w:fill="EEF1F7"/>
          </w:tcPr>
          <w:p>
            <w:r>
              <w:rPr>
                <w:sz w:val="19"/>
              </w:rPr>
              <w:t>BIO</w:t>
            </w:r>
          </w:p>
        </w:tc>
        <w:tc>
          <w:tcPr>
            <w:tcW w:type="dxa" w:w="1608"/>
            <w:shd w:val="clear" w:fill="EEF1F7"/>
          </w:tcPr>
          <w:p>
            <w:r>
              <w:rPr>
                <w:sz w:val="19"/>
              </w:rPr>
              <w:t>Bio-Rad Laboratories</w:t>
            </w:r>
          </w:p>
        </w:tc>
        <w:tc>
          <w:tcPr>
            <w:tcW w:type="dxa" w:w="1608"/>
            <w:shd w:val="clear" w:fill="EEF1F7"/>
          </w:tcPr>
          <w:p>
            <w:r>
              <w:rPr>
                <w:sz w:val="19"/>
              </w:rPr>
              <w:t>Health Care</w:t>
            </w:r>
          </w:p>
        </w:tc>
        <w:tc>
          <w:tcPr>
            <w:tcW w:type="dxa" w:w="1608"/>
            <w:shd w:val="clear" w:fill="EEF1F7"/>
          </w:tcPr>
          <w:p>
            <w:r>
              <w:rPr>
                <w:sz w:val="19"/>
              </w:rPr>
              <w:t>11 (+36)</w:t>
            </w:r>
          </w:p>
        </w:tc>
        <w:tc>
          <w:tcPr>
            <w:tcW w:type="dxa" w:w="1608"/>
            <w:shd w:val="clear" w:fill="EEF1F7"/>
          </w:tcPr>
          <w:p>
            <w:r>
              <w:rPr>
                <w:sz w:val="19"/>
              </w:rPr>
              <w:t>C</w:t>
            </w:r>
          </w:p>
        </w:tc>
        <w:tc>
          <w:tcPr>
            <w:tcW w:type="dxa" w:w="1608"/>
            <w:shd w:val="clear" w:fill="EEF1F7"/>
          </w:tcPr>
          <w:p>
            <w:r>
              <w:rPr>
                <w:sz w:val="19"/>
              </w:rPr>
              <w:t>+6.4%</w:t>
            </w:r>
          </w:p>
        </w:tc>
      </w:tr>
      <w:tr>
        <w:tc>
          <w:tcPr>
            <w:tcW w:type="dxa" w:w="1608"/>
          </w:tcPr>
          <w:p>
            <w:r>
              <w:rPr>
                <w:sz w:val="19"/>
              </w:rPr>
              <w:t>RGLD</w:t>
            </w:r>
          </w:p>
        </w:tc>
        <w:tc>
          <w:tcPr>
            <w:tcW w:type="dxa" w:w="1608"/>
          </w:tcPr>
          <w:p>
            <w:r>
              <w:rPr>
                <w:sz w:val="19"/>
              </w:rPr>
              <w:t>Royal Gold</w:t>
            </w:r>
          </w:p>
        </w:tc>
        <w:tc>
          <w:tcPr>
            <w:tcW w:type="dxa" w:w="1608"/>
          </w:tcPr>
          <w:p>
            <w:r>
              <w:rPr>
                <w:sz w:val="19"/>
              </w:rPr>
              <w:t>Materials</w:t>
            </w:r>
          </w:p>
        </w:tc>
        <w:tc>
          <w:tcPr>
            <w:tcW w:type="dxa" w:w="1608"/>
          </w:tcPr>
          <w:p>
            <w:r>
              <w:rPr>
                <w:sz w:val="19"/>
              </w:rPr>
              <w:t>15 (+47)</w:t>
            </w:r>
          </w:p>
        </w:tc>
        <w:tc>
          <w:tcPr>
            <w:tcW w:type="dxa" w:w="1608"/>
          </w:tcPr>
          <w:p>
            <w:r>
              <w:rPr>
                <w:sz w:val="19"/>
              </w:rPr>
              <w:t>C</w:t>
            </w:r>
          </w:p>
        </w:tc>
        <w:tc>
          <w:tcPr>
            <w:tcW w:type="dxa" w:w="1608"/>
          </w:tcPr>
          <w:p>
            <w:r>
              <w:rPr>
                <w:sz w:val="19"/>
              </w:rPr>
              <w:t>+8.3%</w:t>
            </w:r>
          </w:p>
        </w:tc>
      </w:tr>
      <w:tr>
        <w:tc>
          <w:tcPr>
            <w:tcW w:type="dxa" w:w="1608"/>
            <w:shd w:val="clear" w:fill="EEF1F7"/>
          </w:tcPr>
          <w:p>
            <w:r>
              <w:rPr>
                <w:sz w:val="19"/>
              </w:rPr>
              <w:t>SEIC</w:t>
            </w:r>
          </w:p>
        </w:tc>
        <w:tc>
          <w:tcPr>
            <w:tcW w:type="dxa" w:w="1608"/>
            <w:shd w:val="clear" w:fill="EEF1F7"/>
          </w:tcPr>
          <w:p>
            <w:r>
              <w:rPr>
                <w:sz w:val="19"/>
              </w:rPr>
              <w:t>SEI Investments</w:t>
            </w:r>
          </w:p>
        </w:tc>
        <w:tc>
          <w:tcPr>
            <w:tcW w:type="dxa" w:w="1608"/>
            <w:shd w:val="clear" w:fill="EEF1F7"/>
          </w:tcPr>
          <w:p>
            <w:r>
              <w:rPr>
                <w:sz w:val="19"/>
              </w:rPr>
              <w:t>Financials</w:t>
            </w:r>
          </w:p>
        </w:tc>
        <w:tc>
          <w:tcPr>
            <w:tcW w:type="dxa" w:w="1608"/>
            <w:shd w:val="clear" w:fill="EEF1F7"/>
          </w:tcPr>
          <w:p>
            <w:r>
              <w:rPr>
                <w:sz w:val="19"/>
              </w:rPr>
              <w:t>24 (+88)</w:t>
            </w:r>
          </w:p>
        </w:tc>
        <w:tc>
          <w:tcPr>
            <w:tcW w:type="dxa" w:w="1608"/>
            <w:shd w:val="clear" w:fill="EEF1F7"/>
          </w:tcPr>
          <w:p>
            <w:r>
              <w:rPr>
                <w:sz w:val="19"/>
              </w:rPr>
              <w:t>B</w:t>
            </w:r>
          </w:p>
        </w:tc>
        <w:tc>
          <w:tcPr>
            <w:tcW w:type="dxa" w:w="1608"/>
            <w:shd w:val="clear" w:fill="EEF1F7"/>
          </w:tcPr>
          <w:p>
            <w:r>
              <w:rPr>
                <w:sz w:val="19"/>
              </w:rPr>
              <w:t>+4.1%</w:t>
            </w:r>
          </w:p>
        </w:tc>
      </w:tr>
      <w:tr>
        <w:tc>
          <w:tcPr>
            <w:tcW w:type="dxa" w:w="1608"/>
          </w:tcPr>
          <w:p>
            <w:r>
              <w:rPr>
                <w:sz w:val="19"/>
              </w:rPr>
              <w:t>WPM</w:t>
            </w:r>
          </w:p>
        </w:tc>
        <w:tc>
          <w:tcPr>
            <w:tcW w:type="dxa" w:w="1608"/>
          </w:tcPr>
          <w:p>
            <w:r>
              <w:rPr>
                <w:sz w:val="19"/>
              </w:rPr>
              <w:t>Wheaton Precious Metals</w:t>
            </w:r>
          </w:p>
        </w:tc>
        <w:tc>
          <w:tcPr>
            <w:tcW w:type="dxa" w:w="1608"/>
          </w:tcPr>
          <w:p>
            <w:r>
              <w:rPr>
                <w:sz w:val="19"/>
              </w:rPr>
              <w:t>Materials</w:t>
            </w:r>
          </w:p>
        </w:tc>
        <w:tc>
          <w:tcPr>
            <w:tcW w:type="dxa" w:w="1608"/>
          </w:tcPr>
          <w:p>
            <w:r>
              <w:rPr>
                <w:sz w:val="19"/>
              </w:rPr>
              <w:t>27 (+6)</w:t>
            </w:r>
          </w:p>
        </w:tc>
        <w:tc>
          <w:tcPr>
            <w:tcW w:type="dxa" w:w="1608"/>
          </w:tcPr>
          <w:p>
            <w:r>
              <w:rPr>
                <w:sz w:val="19"/>
              </w:rPr>
              <w:t>B</w:t>
            </w:r>
          </w:p>
        </w:tc>
        <w:tc>
          <w:tcPr>
            <w:tcW w:type="dxa" w:w="1608"/>
          </w:tcPr>
          <w:p>
            <w:r>
              <w:rPr>
                <w:sz w:val="19"/>
              </w:rPr>
              <w:t>+7.9%</w:t>
            </w:r>
          </w:p>
        </w:tc>
      </w:tr>
      <w:tr>
        <w:tc>
          <w:tcPr>
            <w:tcW w:type="dxa" w:w="1608"/>
            <w:shd w:val="clear" w:fill="EEF1F7"/>
          </w:tcPr>
          <w:p>
            <w:r>
              <w:rPr>
                <w:sz w:val="19"/>
              </w:rPr>
              <w:t>NEM</w:t>
            </w:r>
          </w:p>
        </w:tc>
        <w:tc>
          <w:tcPr>
            <w:tcW w:type="dxa" w:w="1608"/>
            <w:shd w:val="clear" w:fill="EEF1F7"/>
          </w:tcPr>
          <w:p>
            <w:r>
              <w:rPr>
                <w:sz w:val="19"/>
              </w:rPr>
              <w:t>Newmont</w:t>
            </w:r>
          </w:p>
        </w:tc>
        <w:tc>
          <w:tcPr>
            <w:tcW w:type="dxa" w:w="1608"/>
            <w:shd w:val="clear" w:fill="EEF1F7"/>
          </w:tcPr>
          <w:p>
            <w:r>
              <w:rPr>
                <w:sz w:val="19"/>
              </w:rPr>
              <w:t>Materials</w:t>
            </w:r>
          </w:p>
        </w:tc>
        <w:tc>
          <w:tcPr>
            <w:tcW w:type="dxa" w:w="1608"/>
            <w:shd w:val="clear" w:fill="EEF1F7"/>
          </w:tcPr>
          <w:p>
            <w:r>
              <w:rPr>
                <w:sz w:val="19"/>
              </w:rPr>
              <w:t>30 (+1)</w:t>
            </w:r>
          </w:p>
        </w:tc>
        <w:tc>
          <w:tcPr>
            <w:tcW w:type="dxa" w:w="1608"/>
            <w:shd w:val="clear" w:fill="EEF1F7"/>
          </w:tcPr>
          <w:p>
            <w:r>
              <w:rPr>
                <w:sz w:val="19"/>
              </w:rPr>
              <w:t>B</w:t>
            </w:r>
          </w:p>
        </w:tc>
        <w:tc>
          <w:tcPr>
            <w:tcW w:type="dxa" w:w="1608"/>
            <w:shd w:val="clear" w:fill="EEF1F7"/>
          </w:tcPr>
          <w:p>
            <w:r>
              <w:rPr>
                <w:sz w:val="19"/>
              </w:rPr>
              <w:t>+6.3%</w:t>
            </w:r>
          </w:p>
        </w:tc>
      </w:tr>
      <w:tr>
        <w:tc>
          <w:tcPr>
            <w:tcW w:type="dxa" w:w="1608"/>
          </w:tcPr>
          <w:p>
            <w:r>
              <w:rPr>
                <w:sz w:val="19"/>
              </w:rPr>
              <w:t>FNV</w:t>
            </w:r>
          </w:p>
        </w:tc>
        <w:tc>
          <w:tcPr>
            <w:tcW w:type="dxa" w:w="1608"/>
          </w:tcPr>
          <w:p>
            <w:r>
              <w:rPr>
                <w:sz w:val="19"/>
              </w:rPr>
              <w:t>Franco-Nevada</w:t>
            </w:r>
          </w:p>
        </w:tc>
        <w:tc>
          <w:tcPr>
            <w:tcW w:type="dxa" w:w="1608"/>
          </w:tcPr>
          <w:p>
            <w:r>
              <w:rPr>
                <w:sz w:val="19"/>
              </w:rPr>
              <w:t>Materials</w:t>
            </w:r>
          </w:p>
        </w:tc>
        <w:tc>
          <w:tcPr>
            <w:tcW w:type="dxa" w:w="1608"/>
          </w:tcPr>
          <w:p>
            <w:r>
              <w:rPr>
                <w:sz w:val="19"/>
              </w:rPr>
              <w:t>50 (+100)</w:t>
            </w:r>
          </w:p>
        </w:tc>
        <w:tc>
          <w:tcPr>
            <w:tcW w:type="dxa" w:w="1608"/>
          </w:tcPr>
          <w:p>
            <w:r>
              <w:rPr>
                <w:sz w:val="19"/>
              </w:rPr>
              <w:t>B</w:t>
            </w:r>
          </w:p>
        </w:tc>
        <w:tc>
          <w:tcPr>
            <w:tcW w:type="dxa" w:w="1608"/>
          </w:tcPr>
          <w:p>
            <w:r>
              <w:rPr>
                <w:sz w:val="19"/>
              </w:rPr>
              <w:t>+7.1%</w:t>
            </w:r>
          </w:p>
        </w:tc>
      </w:tr>
      <w:tr>
        <w:tc>
          <w:tcPr>
            <w:tcW w:type="dxa" w:w="1608"/>
            <w:shd w:val="clear" w:fill="EEF1F7"/>
          </w:tcPr>
          <w:p>
            <w:r>
              <w:rPr>
                <w:sz w:val="19"/>
              </w:rPr>
              <w:t>IQV</w:t>
            </w:r>
          </w:p>
        </w:tc>
        <w:tc>
          <w:tcPr>
            <w:tcW w:type="dxa" w:w="1608"/>
            <w:shd w:val="clear" w:fill="EEF1F7"/>
          </w:tcPr>
          <w:p>
            <w:r>
              <w:rPr>
                <w:sz w:val="19"/>
              </w:rPr>
              <w:t>IQVIA</w:t>
            </w:r>
          </w:p>
        </w:tc>
        <w:tc>
          <w:tcPr>
            <w:tcW w:type="dxa" w:w="1608"/>
            <w:shd w:val="clear" w:fill="EEF1F7"/>
          </w:tcPr>
          <w:p>
            <w:r>
              <w:rPr>
                <w:sz w:val="19"/>
              </w:rPr>
              <w:t>Health Care</w:t>
            </w:r>
          </w:p>
        </w:tc>
        <w:tc>
          <w:tcPr>
            <w:tcW w:type="dxa" w:w="1608"/>
            <w:shd w:val="clear" w:fill="EEF1F7"/>
          </w:tcPr>
          <w:p>
            <w:r>
              <w:rPr>
                <w:sz w:val="19"/>
              </w:rPr>
              <w:t>90 (+87)</w:t>
            </w:r>
          </w:p>
        </w:tc>
        <w:tc>
          <w:tcPr>
            <w:tcW w:type="dxa" w:w="1608"/>
            <w:shd w:val="clear" w:fill="EEF1F7"/>
          </w:tcPr>
          <w:p>
            <w:r>
              <w:rPr>
                <w:sz w:val="19"/>
              </w:rPr>
              <w:t>B</w:t>
            </w:r>
          </w:p>
        </w:tc>
        <w:tc>
          <w:tcPr>
            <w:tcW w:type="dxa" w:w="1608"/>
            <w:shd w:val="clear" w:fill="EEF1F7"/>
          </w:tcPr>
          <w:p>
            <w:r>
              <w:rPr>
                <w:sz w:val="19"/>
              </w:rPr>
              <w:t>+6.0%</w:t>
            </w:r>
          </w:p>
        </w:tc>
      </w:tr>
    </w:tbl>
    <w:p/>
    <w:p>
      <w:r>
        <w:t>The loudest signal here is precious metals: Royal Gold, Wheaton, Newmont, Franco-Nevada, plus SSR Mining and Aura on the full list. That's a gold-miner cluster building rank even though gold itself fell 2% on the week. The miners are grinding higher on their own operating leverage, not on a fear bid. The other pocket is health-care tools and diagnostics (Bio-Rad, IQVIA, Natera, Twist). Read the "% above 20d" column as your not-chasing check: everything here is single-digits above its trend line, so you're not buying a vertical spike. The discipline is to buy strength on a pause, not after a 36% week. Do your own homework; this is education, not advice.</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r>
              <w:rPr>
                <w:b/>
                <w:color w:val="FFFFFF"/>
                <w:sz w:val="19"/>
              </w:rPr>
              <w:t>Check</w:t>
            </w:r>
          </w:p>
        </w:tc>
        <w:tc>
          <w:tcPr>
            <w:tcW w:type="dxa" w:w="4824"/>
            <w:shd w:val="clear" w:fill="1F3864"/>
          </w:tcPr>
          <w:p>
            <w:r>
              <w:rPr>
                <w:b/>
                <w:color w:val="FFFFFF"/>
                <w:sz w:val="19"/>
              </w:rPr>
              <w:t>Reading</w:t>
            </w:r>
          </w:p>
        </w:tc>
      </w:tr>
      <w:tr>
        <w:tc>
          <w:tcPr>
            <w:tcW w:type="dxa" w:w="4824"/>
          </w:tcPr>
          <w:p>
            <w:r>
              <w:rPr>
                <w:sz w:val="19"/>
              </w:rPr>
              <w:t>S&amp;P 500 level</w:t>
            </w:r>
          </w:p>
        </w:tc>
        <w:tc>
          <w:tcPr>
            <w:tcW w:type="dxa" w:w="4824"/>
          </w:tcPr>
          <w:p>
            <w:r>
              <w:rPr>
                <w:sz w:val="19"/>
              </w:rPr>
              <w:t>7711.76 (−1.1% below the Aug 13 high)</w:t>
            </w:r>
          </w:p>
        </w:tc>
      </w:tr>
      <w:tr>
        <w:tc>
          <w:tcPr>
            <w:tcW w:type="dxa" w:w="4824"/>
            <w:shd w:val="clear" w:fill="EEF1F7"/>
          </w:tcPr>
          <w:p>
            <w:r>
              <w:rPr>
                <w:sz w:val="19"/>
              </w:rPr>
              <w:t>S&amp;P vs 200-day</w:t>
            </w:r>
          </w:p>
        </w:tc>
        <w:tc>
          <w:tcPr>
            <w:tcW w:type="dxa" w:w="4824"/>
            <w:shd w:val="clear" w:fill="EEF1F7"/>
          </w:tcPr>
          <w:p>
            <w:r>
              <w:rPr>
                <w:sz w:val="19"/>
              </w:rPr>
              <w:t>ABOVE (7711.76 vs 7157.13)</w:t>
            </w:r>
          </w:p>
        </w:tc>
      </w:tr>
      <w:tr>
        <w:tc>
          <w:tcPr>
            <w:tcW w:type="dxa" w:w="4824"/>
          </w:tcPr>
          <w:p>
            <w:r>
              <w:rPr>
                <w:sz w:val="19"/>
              </w:rPr>
              <w:t>Stocks above 200-day</w:t>
            </w:r>
          </w:p>
        </w:tc>
        <w:tc>
          <w:tcPr>
            <w:tcW w:type="dxa" w:w="4824"/>
          </w:tcPr>
          <w:p>
            <w:r>
              <w:rPr>
                <w:sz w:val="19"/>
              </w:rPr>
              <w:t>64.38%</w:t>
            </w:r>
          </w:p>
        </w:tc>
      </w:tr>
      <w:tr>
        <w:tc>
          <w:tcPr>
            <w:tcW w:type="dxa" w:w="4824"/>
            <w:shd w:val="clear" w:fill="EEF1F7"/>
          </w:tcPr>
          <w:p>
            <w:r>
              <w:rPr>
                <w:sz w:val="19"/>
              </w:rPr>
              <w:t>Stocks above 50-day</w:t>
            </w:r>
          </w:p>
        </w:tc>
        <w:tc>
          <w:tcPr>
            <w:tcW w:type="dxa" w:w="4824"/>
            <w:shd w:val="clear" w:fill="EEF1F7"/>
          </w:tcPr>
          <w:p>
            <w:r>
              <w:rPr>
                <w:sz w:val="19"/>
              </w:rPr>
              <w:t>49.85%</w:t>
            </w:r>
          </w:p>
        </w:tc>
      </w:tr>
      <w:tr>
        <w:tc>
          <w:tcPr>
            <w:tcW w:type="dxa" w:w="4824"/>
          </w:tcPr>
          <w:p>
            <w:r>
              <w:rPr>
                <w:sz w:val="19"/>
              </w:rPr>
              <w:t>New 52w highs vs lows</w:t>
            </w:r>
          </w:p>
        </w:tc>
        <w:tc>
          <w:tcPr>
            <w:tcW w:type="dxa" w:w="4824"/>
          </w:tcPr>
          <w:p>
            <w:r>
              <w:rPr>
                <w:sz w:val="19"/>
              </w:rPr>
              <w:t>0 vs 0</w:t>
            </w:r>
          </w:p>
        </w:tc>
      </w:tr>
      <w:tr>
        <w:tc>
          <w:tcPr>
            <w:tcW w:type="dxa" w:w="4824"/>
            <w:shd w:val="clear" w:fill="EEF1F7"/>
          </w:tcPr>
          <w:p>
            <w:r>
              <w:rPr>
                <w:sz w:val="19"/>
              </w:rPr>
              <w:t>Advancers vs decliners</w:t>
            </w:r>
          </w:p>
        </w:tc>
        <w:tc>
          <w:tcPr>
            <w:tcW w:type="dxa" w:w="4824"/>
            <w:shd w:val="clear" w:fill="EEF1F7"/>
          </w:tcPr>
          <w:p>
            <w:r>
              <w:rPr>
                <w:sz w:val="19"/>
              </w:rPr>
              <w:t>708 vs 1,214</w:t>
            </w:r>
          </w:p>
        </w:tc>
      </w:tr>
      <w:tr>
        <w:tc>
          <w:tcPr>
            <w:tcW w:type="dxa" w:w="4824"/>
          </w:tcPr>
          <w:p>
            <w:r>
              <w:rPr>
                <w:sz w:val="19"/>
              </w:rPr>
              <w:t>VIX</w:t>
            </w:r>
          </w:p>
        </w:tc>
        <w:tc>
          <w:tcPr>
            <w:tcW w:type="dxa" w:w="4824"/>
          </w:tcPr>
          <w:p>
            <w:r>
              <w:rPr>
                <w:sz w:val="19"/>
              </w:rPr>
              <w:t>14.42 (calm)</w:t>
            </w:r>
          </w:p>
        </w:tc>
      </w:tr>
      <w:tr>
        <w:tc>
          <w:tcPr>
            <w:tcW w:type="dxa" w:w="4824"/>
            <w:shd w:val="clear" w:fill="EEF1F7"/>
          </w:tcPr>
          <w:p>
            <w:r>
              <w:rPr>
                <w:sz w:val="19"/>
              </w:rPr>
              <w:t>Credit spreads</w:t>
            </w:r>
          </w:p>
        </w:tc>
        <w:tc>
          <w:tcPr>
            <w:tcW w:type="dxa" w:w="4824"/>
            <w:shd w:val="clear" w:fill="EEF1F7"/>
          </w:tcPr>
          <w:p>
            <w:r>
              <w:rPr>
                <w:sz w:val="19"/>
              </w:rPr>
              <w:t>n/a (data pending)</w:t>
            </w:r>
          </w:p>
        </w:tc>
      </w:tr>
      <w:tr>
        <w:tc>
          <w:tcPr>
            <w:tcW w:type="dxa" w:w="4824"/>
          </w:tcPr>
          <w:p>
            <w:r>
              <w:rPr>
                <w:sz w:val="19"/>
              </w:rPr>
              <w:t>Gold</w:t>
            </w:r>
          </w:p>
        </w:tc>
        <w:tc>
          <w:tcPr>
            <w:tcW w:type="dxa" w:w="4824"/>
          </w:tcPr>
          <w:p>
            <w:r>
              <w:rPr>
                <w:sz w:val="19"/>
              </w:rPr>
              <w:t>−2.0% wk</w:t>
            </w:r>
          </w:p>
        </w:tc>
      </w:tr>
      <w:tr>
        <w:tc>
          <w:tcPr>
            <w:tcW w:type="dxa" w:w="4824"/>
            <w:shd w:val="clear" w:fill="EEF1F7"/>
          </w:tcPr>
          <w:p>
            <w:r>
              <w:rPr>
                <w:sz w:val="19"/>
              </w:rPr>
              <w:t>High-yield (HYG)</w:t>
            </w:r>
          </w:p>
        </w:tc>
        <w:tc>
          <w:tcPr>
            <w:tcW w:type="dxa" w:w="4824"/>
            <w:shd w:val="clear" w:fill="EEF1F7"/>
          </w:tcPr>
          <w:p>
            <w:r>
              <w:rPr>
                <w:sz w:val="19"/>
              </w:rPr>
              <w:t>+0.2% wk</w:t>
            </w:r>
          </w:p>
        </w:tc>
      </w:tr>
      <w:tr>
        <w:tc>
          <w:tcPr>
            <w:tcW w:type="dxa" w:w="4824"/>
          </w:tcPr>
          <w:p>
            <w:r>
              <w:rPr>
                <w:sz w:val="19"/>
              </w:rPr>
              <w:t>US dollar (DXY)</w:t>
            </w:r>
          </w:p>
        </w:tc>
        <w:tc>
          <w:tcPr>
            <w:tcW w:type="dxa" w:w="4824"/>
          </w:tcPr>
          <w:p>
            <w:r>
              <w:rPr>
                <w:sz w:val="19"/>
              </w:rPr>
              <w:t>+0.9% wk</w:t>
            </w:r>
          </w:p>
        </w:tc>
      </w:tr>
    </w:tbl>
    <w:p/>
    <w:p>
      <w:r>
        <w:t xml:space="preserve">Read the fear panel across channels, not just the VIX. After a hawkish Fed and a negative payrolls print, did fear actually spread? It didn't. VIX is asleep at 14.42, junk bonds held steady (+0.2%), gold </w:t>
      </w:r>
      <w:r>
        <w:rPr>
          <w:i/>
        </w:rPr>
        <w:t>fell</w:t>
      </w:r>
      <w:r>
        <w:t xml:space="preserve"> 2% instead of catching a safety bid, and the dollar firmed only mildly. Credit spreads aren't reporting this week, so I'll flag that gap honestly rather than fill it. The four gauges that were available all said the same thing: the market treated the week's scares as noise. The one blemish is internal, not external. Breadth is soft, with barely half of stocks above their 50-day and decliners beating advancers.</w:t>
      </w:r>
    </w:p>
    <w:p>
      <w:r>
        <w:rPr>
          <w:b/>
        </w:rPr>
        <w:t>Scenarios into next week:</w:t>
      </w:r>
    </w:p>
    <w:p>
      <w:pPr>
        <w:pStyle w:val="ListBullet"/>
      </w:pPr>
      <w:r>
        <w:rPr>
          <w:b/>
        </w:rPr>
        <w:t>Base case (55%):</w:t>
      </w:r>
      <w:r>
        <w:t xml:space="preserve"> the narrow grind continues. Index chops just under its record, leadership stays in software, health-care tools, precious metals and financials, and the laggard sectors keep bleeding rank. Nothing breaks; nothing broadens much either.</w:t>
      </w:r>
    </w:p>
    <w:p>
      <w:pPr>
        <w:pStyle w:val="ListBullet"/>
      </w:pPr>
      <w:r>
        <w:rPr>
          <w:b/>
        </w:rPr>
        <w:t>Bull case (25%):</w:t>
      </w:r>
      <w:r>
        <w:t xml:space="preserve"> Friday's jobs report comes in soft enough to revive rate-cut hope without screaming recession, breadth improves off that coin-flip 50% reading, and the rally widens beyond the mega-caps.</w:t>
      </w:r>
    </w:p>
    <w:p>
      <w:pPr>
        <w:pStyle w:val="ListBullet"/>
      </w:pPr>
      <w:r>
        <w:rPr>
          <w:b/>
        </w:rPr>
        <w:t>Bear case (20%):</w:t>
      </w:r>
      <w:r>
        <w:t xml:space="preserve"> the Fed's hawkish tone plus a hot wage number pushes yields up, the long-duration names that already rank poorly drag the index, and thin breadth gives way. The tell would be junk bonds finally cracking and the VIX waking up together.</w:t>
      </w:r>
    </w:p>
    <w:p>
      <w:r>
        <w:t>Stance: constructive but selective. The trend in front of you is up and the regime is healthy, but you're in a market that's rewarding the right sectors and punishing the wrong ones, so where you stand matters more than whether you're in.</w:t>
      </w:r>
    </w:p>
    <w:p>
      <w:pPr>
        <w:spacing w:before="240" w:after="80"/>
      </w:pPr>
      <w:r>
        <w:rPr>
          <w:b/>
          <w:color w:val="1F3864"/>
          <w:sz w:val="30"/>
        </w:rPr>
        <w:t>9. The Algo (educational paper track record)</w:t>
      </w:r>
    </w:p>
    <w:p>
      <w:r>
        <w:t>The rules-based paper strategy sits at $50,499, up 1.0% since inception on May 27, against the S&amp;P's +2.5% and QQQ's −1.8% over the same stretch. Week over week it was flat. The honest number is the win rate: 19 winners out of 60 closed trades, 32%, averaging −1.0% per trade. This is a strategy that wins small and often loses small, and it's trailing the S&amp;P. I'm not going to dress that up.</w:t>
      </w:r>
    </w:p>
    <w:p>
      <w:r>
        <w:t>It closed one position this week: Zoom, stopped out at −6.7%. The open book leans where our board's leadership is: Financials (JPM, MA, SEIC, WEX, AAMI, BX, WTW), Materials/gold-miners (FNV, WPM, NEM, SSRM), and Health Care (IQV, TMO, ADUS, A). The standout winner is Marathon Petroleum, up 21.8% since a mid-July entry, a reminder that the strategy caught energy strength before oil's recent slide. The concentration in gold miners and financials is the rotation story showing up in a live book, not a forecast.</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pPr>
        <w:pStyle w:val="ListBullet"/>
      </w:pPr>
      <w:r>
        <w:rPr>
          <w:b/>
        </w:rPr>
        <w:t>Tuesday, Sept 2 — Argan (AGX) earnings.</w:t>
      </w:r>
      <w:r>
        <w:t xml:space="preserve"> A power-infrastructure read. With data-center and grid spending everywhere in the headlines, watch the backlog commentary more than the print.</w:t>
      </w:r>
    </w:p>
    <w:p>
      <w:pPr>
        <w:pStyle w:val="ListBullet"/>
      </w:pPr>
      <w:r>
        <w:rPr>
          <w:b/>
        </w:rPr>
        <w:t>Monday, Aug 31 — AnaptysBio (ANAB) earnings.</w:t>
      </w:r>
      <w:r>
        <w:t xml:space="preserve"> A small biotech report into a week where biotech leads our board. One data point, but it fits the theme.</w:t>
      </w:r>
    </w:p>
    <w:p>
      <w:pPr>
        <w:pStyle w:val="ListBullet"/>
      </w:pPr>
      <w:r>
        <w:rPr>
          <w:b/>
        </w:rPr>
        <w:t>Thursday, Sept 3 — Ambarella (AMBA) earnings + weekly jobless claims.</w:t>
      </w:r>
      <w:r>
        <w:t xml:space="preserve"> AMBA is an edge-AI chip name reporting into a semis complex our board keeps ranking low; the tell is whether guidance can fight the group's weak rank. Claims are the early read on whether hiring softness is turning into layoffs.</w:t>
      </w:r>
    </w:p>
    <w:p>
      <w:pPr>
        <w:pStyle w:val="ListBullet"/>
      </w:pPr>
      <w:r>
        <w:rPr>
          <w:b/>
        </w:rPr>
        <w:t>Friday, Sept 4 — Nonfarm payrolls &amp; unemployment.</w:t>
      </w:r>
      <w:r>
        <w:t xml:space="preserve"> The one that matters. Last print was −23,000 jobs. Another negative number with a hawkish Fed is the uncomfortable combination; a firm number cools recession talk but keeps rate cuts off the table. Watch wages as much as the headline.</w:t>
      </w:r>
    </w:p>
    <w:p>
      <w:r>
        <w:t>Analyst desks gave a couple of signals worth a line: Raymond James lifted AMD to Strong Buy even as our board keeps the chips buried, a disagreement worth watching, because the Street is betting on a turn our rank data hasn't confirmed. And Baird cut Chipotle to Neutral in the same week CMG climbed 410 spots on our board. When the broker and the rank disagree, that gap is the thing to sit with rather than resolve too quickly.</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"#66 in our system" = 66th-strongest of ~1,900.</w:t>
      </w:r>
    </w:p>
    <w:p>
      <w:pPr>
        <w:pStyle w:val="ListBullet"/>
      </w:pPr>
      <w:r>
        <w:rPr>
          <w:b/>
        </w:rPr>
        <w:t>Relative strength (RS):</w:t>
      </w:r>
      <w:r>
        <w:t xml:space="preserve"> performance versus the rest of the market. Rising RS = outperforming.</w:t>
      </w:r>
    </w:p>
    <w:p>
      <w:pPr>
        <w:pStyle w:val="ListBullet"/>
      </w:pPr>
      <w:r>
        <w:rPr>
          <w:b/>
        </w:rPr>
        <w:t>Moving averages (20/50/200-day):</w:t>
      </w:r>
      <w:r>
        <w:t xml:space="preserve"> the trend lines. Healthy uptrend = price above a rising 20-day, itself above the 200. "Extended" = far above the 20-day and prone to a pullback.</w:t>
      </w:r>
    </w:p>
    <w:p>
      <w:pPr>
        <w:pStyle w:val="ListBullet"/>
      </w:pPr>
      <w:r>
        <w:rPr>
          <w:b/>
        </w:rPr>
        <w:t>VIX:</w:t>
      </w:r>
      <w:r>
        <w:t xml:space="preserve"> the fear gauge. Below 20 = calm.</w:t>
      </w:r>
    </w:p>
    <w:p>
      <w:pPr>
        <w:pStyle w:val="ListBullet"/>
      </w:pPr>
      <w:r>
        <w:rPr>
          <w:b/>
        </w:rPr>
        <w:t>Credit spreads:</w:t>
      </w:r>
      <w:r>
        <w:t xml:space="preserve"> extra yield demanded on risky corporate bonds vs safe government bonds. Widening = early warning.</w:t>
      </w:r>
    </w:p>
    <w:p>
      <w:pPr>
        <w:pStyle w:val="ListBullet"/>
      </w:pPr>
      <w:r>
        <w:rPr>
          <w:b/>
        </w:rPr>
        <w:t>Breadth:</w:t>
      </w:r>
      <w:r>
        <w:t xml:space="preserve"> how many stocks participate. Half above the 50-day is a coin flip, not a broad rally.</w:t>
      </w:r>
    </w:p>
    <w:p>
      <w:pPr>
        <w:pStyle w:val="ListBullet"/>
      </w:pPr>
      <w:r>
        <w:rPr>
          <w:b/>
        </w:rPr>
        <w:t>High-yield / junk bonds (HYG):</w:t>
      </w:r>
      <w:r>
        <w:t xml:space="preserve"> riskier companies' bonds. Falling price = credit stress spreading; steady/up = calm.</w:t>
      </w:r>
    </w:p>
    <w:p>
      <w:pPr>
        <w:pStyle w:val="ListBullet"/>
      </w:pPr>
      <w:r>
        <w:rPr>
          <w:b/>
        </w:rPr>
        <w:t>Safe havens (gold, the dollar):</w:t>
      </w:r>
      <w:r>
        <w:t xml:space="preserve"> where money runs when scared. Flat gold through a scary week means the market read it as noise.</w:t>
      </w:r>
    </w:p>
    <w:p>
      <w:pPr>
        <w:pStyle w:val="ListBullet"/>
      </w:pPr>
      <w:r>
        <w:rPr>
          <w:b/>
        </w:rPr>
        <w:t>2s10s:</w:t>
      </w:r>
      <w:r>
        <w:t xml:space="preserve"> the 10-year Treasury yield minus the 2-year. Positive and steepening (47bp now) is the un-inverted, non-recession-warning shape.</w:t>
      </w:r>
    </w:p>
    <w:p>
      <w:r>
        <w:t>The tape looked calm and even set up near a record, but the real action was underneath: money leaving drug makers, sporting goods and hardware, and building in financials, health-care tools, precious-metals miners and the crypto-payments edge. Respect the trend in front of you, but let the board, not the index, tell you which aisle to shop. Stay invested, stay selective, and we'll see you next Sunday.</w:t>
      </w:r>
    </w:p>
    <w:p>
      <w:r>
        <w:rPr>
          <w:i/>
        </w:rPr>
        <w:t>Educational market commentary, not financial advice. Watchlists are starting points for your own research, never recommendations.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