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8"/>
        </w:rPr>
        <w:t>Flat Tape, Louder Fed</w:t>
      </w:r>
    </w:p>
    <w:p>
      <w:r>
        <w:rPr>
          <w:i/>
        </w:rPr>
        <w:t>Weekly market letter — September 18, 2026. Built on our daily ranking of ~1,900 US stocks by relative strength.</w:t>
      </w:r>
    </w:p>
    <w:p>
      <w:r>
        <w:t>The index barely twitched this week, down about a tenth of a percent, closing at 7,650.5, still sitting 1.9% under the August 13 high and comfortably above its 200-day line. VIX at 14.81 says nobody's scared. Under that calm surface, two things pulled in opposite directions. More stocks climbed back above their long-term trend, while the Fed narrative turned harder and the short end of the bond market moved to match. Broadening participation on one hand, a less friendly rate backdrop on the other.</w:t>
      </w:r>
    </w:p>
    <w:p>
      <w:pPr>
        <w:spacing w:before="240" w:after="80"/>
      </w:pPr>
      <w:r>
        <w:rPr>
          <w:b/>
          <w:color w:val="1F3864"/>
          <w:sz w:val="30"/>
        </w:rPr>
        <w:t>Grading last quarter's calls</w:t>
      </w:r>
    </w:p>
    <w:p>
      <w:r>
        <w:t>I owe you an honest scorecard on three predictions from late June. Two of them I can't fairly score from this week's data pack. The biotech and semiconductor snapshots that would resolve them aren't in front of me, so I'm not going to pretend.</w:t>
      </w:r>
    </w:p>
    <w:p>
      <w:pPr>
        <w:pStyle w:val="ListBullet"/>
      </w:pPr>
      <w:r>
        <w:rPr>
          <w:b/>
        </w:rPr>
        <w:t>"The regime stays healthy: VIX below 20 and stocks above their 200-day holds above 60%."</w:t>
      </w:r>
      <w:r>
        <w:t xml:space="preserve"> Hit. Grade: A. Months later the VIX is 14.81 and 66.67% of the board sits above its 200-day. The healthy-regime call has aged well.</w:t>
      </w:r>
    </w:p>
    <w:p>
      <w:pPr>
        <w:pStyle w:val="ListBullet"/>
      </w:pPr>
      <w:r>
        <w:rPr>
          <w:b/>
        </w:rPr>
        <w:t>"The Health Care / biotech wave holds its rank gains into a second week."</w:t>
      </w:r>
      <w:r>
        <w:t xml:space="preserve"> Incomplete. I don't have the July resolution data in this pack, and I won't invent a rank to close it. Marking it unresolved rather than guessing.</w:t>
      </w:r>
    </w:p>
    <w:p>
      <w:pPr>
        <w:pStyle w:val="ListBullet"/>
      </w:pPr>
      <w:r>
        <w:rPr>
          <w:b/>
        </w:rPr>
        <w:t>"Semiconductors stay in the lower half of the sector board, no top-20 peer rank."</w:t>
      </w:r>
      <w:r>
        <w:t xml:space="preserve"> Incomplete, same reason. No chip-sector rank in this week's inputs to score it against.</w:t>
      </w:r>
    </w:p>
    <w:p>
      <w:r>
        <w:t>Two honest incompletes and one clean win. I'd rather tell you that than backfill numbers I can't see.</w:t>
      </w:r>
    </w:p>
    <w:p>
      <w:pPr>
        <w:spacing w:before="240" w:after="80"/>
      </w:pPr>
      <w:r>
        <w:rPr>
          <w:b/>
          <w:color w:val="1F3864"/>
          <w:sz w:val="30"/>
        </w:rPr>
        <w:t>1. The Fed got the headlines, and they weren't friendly</w:t>
      </w:r>
    </w:p>
    <w:p>
      <w:r>
        <w:t>The loudest macro thread by a wide margin was rates. Coverage this week leaned hawkish, with talk of the Fed narrowing the rate gap, pressure on other central banks to keep up, and US mortgage rates pushing back toward 7%. The bond market agreed with the tone. The 2-year Treasury yield jumped 11 basis points on the week to 4.67%, while the 10-year sat still at 4.94% (down a single basis point). The 2s10s spread is positive at 27bp, but notice which end did the moving: the short maturity, the one that tracks Fed policy most closely. That's the market pricing a central bank that plans to stay higher for longer, not one about to cut.</w:t>
      </w:r>
    </w:p>
    <w:p>
      <w:r>
        <w:t>Why it matters for your money: when short rates grind up and stay up, the most expensive, longest-duration stocks feel it first, the ones whose value lives in profits many years out. Growth and chips carry that duration. Mortgage rates near 7% also press directly on anything housing-touched, worth holding in mind with KB Home and MillerKnoll on next week's calendar.</w:t>
      </w:r>
    </w:p>
    <w:p>
      <w:r>
        <w:t>Inflation is part of why the Fed can't relax: CPI is still running 3.4% year over year, above where the Fed wants it. Jobs look fine but not hot, with unemployment at 4.1% and the last payrolls print at +162k. A labor market cooling gently, not cracking, which gives the Fed room to keep leaning on inflation rather than rushing to protect employment.</w:t>
      </w:r>
    </w:p>
    <w:p>
      <w:pPr>
        <w:spacing w:before="240" w:after="80"/>
      </w:pPr>
      <w:r>
        <w:rPr>
          <w:b/>
          <w:color w:val="1F3864"/>
          <w:sz w:val="30"/>
        </w:rPr>
        <w:t>2. Oil fell, but Iran is rattling the door again</w:t>
      </w:r>
    </w:p>
    <w:p>
      <w:r>
        <w:t>Brent crude dropped 5.1% on the week to 99.29, a real move lower even though the price still starts with a nine. Normally that's a clean tailwind: cheaper energy takes pressure off consumers and off the inflation number the Fed is fighting.</w:t>
      </w:r>
    </w:p>
    <w:p>
      <w:r>
        <w:t>The wrinkle showed up right after the US close. Headlines carried Iran saying the Strait of Hormuz is closed again, the chokepoint roughly a fifth of the world's seaborne oil passes through. That's a supply-shock risk this week's tape hasn't priced in yet. So you've got a market that spent the week selling oil down, staring at a fresh reason it could snap back. Foreign money already flinched at the combination, with reports of investors pulling cash out of Indian equities, blaming crude and global uncertainty.</w:t>
      </w:r>
    </w:p>
    <w:p>
      <w:r>
        <w:t>For US stocks the read is two-sided. Oil at these levels, and falling, has been a quiet help to the inflation story. But if Hormuz turns into more than a headline, energy is the one place a spike would land hardest and fastest, and it's why the Algo's energy-heavy book (more on that below) isn't as random as it looks.</w:t>
      </w:r>
    </w:p>
    <w:p>
      <w:pPr>
        <w:spacing w:before="240" w:after="80"/>
      </w:pPr>
      <w:r>
        <w:rPr>
          <w:b/>
          <w:color w:val="1F3864"/>
          <w:sz w:val="30"/>
        </w:rPr>
        <w:t>3. The dollar bid, and what Asia is telling us about chips</w:t>
      </w:r>
    </w:p>
    <w:p>
      <w:r>
        <w:t>The US Dollar Index rose 1.1% to 100.2, and USD/JPY climbed 1.1% to 156.9 (with a bit more yen weakness after our close). A firmer dollar is a headwind for US multinationals, since it makes their overseas earnings worth less when translated home, and for commodities priced in dollars. It fits the hawkish-Fed picture: higher-for-longer US rates pull money toward the dollar.</w:t>
      </w:r>
    </w:p>
    <w:p>
      <w:r>
        <w:t>Asia gave a constructive read on chips. Taiwan's TAIEX rose 2.2% on the week and added a touch more after our close, and that index is the cleanest tell on TSMC and the AI semiconductor chain that feeds US names like Nvidia and Broadcom. Korea's KOSPI was flat (-0.2%), a neutral signal on the memory cycle behind Micron. Nikkei up 1.6% with no yen-driven risk scare means the carry trade isn't unwinding, so global risk appetite is intact rather than fragile. Copper, "Dr. Copper," rose 3.4% to 6.69, which argues the global-growth story hasn't rolled over even with China's Hang Seng flat on the week.</w:t>
      </w:r>
    </w:p>
    <w:p>
      <w:r>
        <w:t>Bitcoin, the 24/7 sentiment gauge, rose 4.8% and kept drifting up after equities closed. Add it to the pile: nothing in the risk complex is flashing fear.</w:t>
      </w:r>
    </w:p>
    <w:p>
      <w:pPr>
        <w:spacing w:before="240" w:after="80"/>
      </w:pPr>
      <w:r>
        <w:rPr>
          <w:b/>
          <w:color w:val="1F3864"/>
          <w:sz w:val="30"/>
        </w:rPr>
        <w:t>4. The board reshuffled — but read it with your eyes open</w:t>
      </w:r>
    </w:p>
    <w:p>
      <w:r>
        <w:t>Our system flagged three sectors rocketing up the rankings this week: Industrial Machinery (121→3), Publishing (74→1), and IT Consulting &amp; Other Services (11→2). The names driving those are Hubbell (HUBB), John Wiley (WLY) and Adeia (ADEA), each of which leapt more than 800 rank spots.</w:t>
      </w:r>
    </w:p>
    <w:p>
      <w:r>
        <w:t>I'll be straight with you: those rank jumps are large enough, and the ranked mover list this week thin enough, that I read this as a board that reset more than a clean, broad rotation you can lean on. Three names carrying the top of the pack is not the same as a sector wave with dozens of participants behind it. Treat it as a flag to watch, not a green light.</w:t>
      </w:r>
    </w:p>
    <w:p>
      <w:r>
        <w:t>Hubbell at least has a story you can point to. It closed two bolt-on acquisitions this week, Ventev for about $73M and Nicor (water metering) for about $56M, steady tuck-in dealmaking in electrical and utility equipment. The oddity: HUBB's rank soared while its price fell 2.9% on the week. When rank and price disagree like that on a thin board, I lean toward the price and wait for confirmation before believing the rank.</w:t>
      </w:r>
    </w:p>
    <w:p>
      <w:r>
        <w:t>The analyst desk gave a cleaner picture of where the Street's head is at. Software took a beating, with Bernstein cutting Palo Alto, Okta and SentinelOne to Market Perform on the same day, and Wells Fargo pushing Netflix to Underweight while its consensus still reads buy. Consumer names slipped too: Nike downgraded to Neutral by Baird, Dick's Sporting Goods likewise. Where the upgrades clustered tells you more, and that's transports and travel. Union Pacific to Buy at UBS, J.B. Hunt lifted at Citizens, Southwest nudged off Sell, and Trip.com to Outperform at Macquarie. Fintech got love too, with Affirm upgraded to Outperform and Coinbase off Sell. When brokers rotate out of software and into rails and travel, that's a bet the economy keeps chugging rather than the AI trade re-accelerating.</w:t>
      </w:r>
    </w:p>
    <w:p>
      <w:r>
        <w:t>One disagreement worth flagging: Boston Scientific got cut to Neutral at Citigroup even though its consensus stays buy, the kind of single-desk call I'd file as one input, not a thesis.</w:t>
      </w:r>
    </w:p>
    <w:p>
      <w:pPr>
        <w:spacing w:before="240" w:after="80"/>
      </w:pPr>
      <w:r>
        <w:rPr>
          <w:b/>
          <w:color w:val="1F3864"/>
          <w:sz w:val="30"/>
        </w:rPr>
        <w:t>5. Theme of the week — the GLP-1 machine, end to end</w:t>
      </w:r>
    </w:p>
    <w:p>
      <w:r>
        <w:t>This week's teaching spotlight is the weight-loss drug boom. It's a curated look at one value chain, not a coverage claim on the whole market, and separate from the rotation read above. What makes GLP-1 a great chain to walk is that a single blockbuster drug drags an entire economy behind it, link by link.</w:t>
      </w:r>
    </w:p>
    <w:p>
      <w:r>
        <w:t>Start at the source. The pipeline is the science lab: small biotechs (ALT, GPCR, TERN, VKTX) racing to invent the next, better molecule. High risk, binary outcomes, the lottery-ticket end of the chain. Next come the drug makers, the giants who actually own the winning molecules and print the money: Lilly and Novo Nordisk, with Amgen and Pfizer chasing. This is where the profit pools sit today.</w:t>
      </w:r>
    </w:p>
    <w:p>
      <w:r>
        <w:t>A molecule is useless until someone can make it at scale. That's manufacturing, the picks-and-shovels layer (Charles River, Danaher, Thermo Fisher) that supplies the tools and testing to produce the drug reliably. Then devices, the pens and auto-injectors that get it into a patient (Becton Dickinson, West Pharmaceutical and peers). Then diagnostics, the monitoring gear (Abbott, DexCom, Insulet, Tandem) that tracks the metabolic patients this whole thing serves.</w:t>
      </w:r>
    </w:p>
    <w:p>
      <w:r>
        <w:t>The last two links are where it gets interesting for a regular investor. Telehealth is the delivery counter (Hims &amp; Hers, GoodRx, LifeMD, Teladoc), the platforms that put the drug in front of a customer online. And the "Ozempic effect" is the ripple: what happens to the rest of the economy when tens of millions of people eat less. Snack and soda makers (Hershey, Mondelez, PepsiCo) sit on the wrong side of that, and dialysis (DaVita) on a complicated one.</w:t>
      </w:r>
    </w:p>
    <w:p>
      <w:r>
        <w:t>The way to think about it: money flows to whichever link is the bottleneck, and cost flows away from it. Right now the drug makers are the chokepoint, since they own the molecules everyone wants, which is why the profits concentrate there. The link the market keeps arguing about is telehealth, because that's where the moat is thinnest and the growth is fastest. This week's standout on the numbers is Hims &amp; Hers (HIMS): a price-to-sales ratio of 2.5 against 38% year-over-year revenue growth. The cheapest name in the chain relative to how fast it's growing, a screen, not a recommendation. Do your own homework on why it's cheap; fast growth at a low multiple usually means the market is pricing in a risk you need to understand before you touch it.</w:t>
      </w:r>
    </w:p>
    <w:p>
      <w:pPr>
        <w:spacing w:before="240" w:after="80"/>
      </w:pPr>
      <w:r>
        <w:rPr>
          <w:b/>
          <w:color w:val="1F3864"/>
          <w:sz w:val="30"/>
        </w:rPr>
        <w:t>6. Where the money is going</w:t>
      </w:r>
    </w:p>
    <w:p>
      <w:r>
        <w:t>Here's the honest version of the strongest-names table this week. The ranked mover list only surfaced three names, so this is the whole top of the pack, in order: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w:t>
            </w:r>
          </w:p>
        </w:tc>
        <w:tc>
          <w:tcPr>
            <w:tcW w:type="dxa" w:w="1930"/>
            <w:shd w:val="clear" w:fill="1F3864"/>
          </w:tcPr>
          <w:p>
            <w:r>
              <w:rPr>
                <w:b/>
                <w:color w:val="FFFFFF"/>
                <w:sz w:val="19"/>
              </w:rPr>
              <w:t>Ticker</w:t>
            </w:r>
          </w:p>
        </w:tc>
        <w:tc>
          <w:tcPr>
            <w:tcW w:type="dxa" w:w="1930"/>
            <w:shd w:val="clear" w:fill="1F3864"/>
          </w:tcPr>
          <w:p>
            <w:r>
              <w:rPr>
                <w:b/>
                <w:color w:val="FFFFFF"/>
                <w:sz w:val="19"/>
              </w:rPr>
              <w:t>Company</w:t>
            </w:r>
          </w:p>
        </w:tc>
        <w:tc>
          <w:tcPr>
            <w:tcW w:type="dxa" w:w="1930"/>
            <w:shd w:val="clear" w:fill="1F3864"/>
          </w:tcPr>
          <w:p>
            <w:r>
              <w:rPr>
                <w:b/>
                <w:color w:val="FFFFFF"/>
                <w:sz w:val="19"/>
              </w:rPr>
              <w:t>Industry</w:t>
            </w:r>
          </w:p>
        </w:tc>
        <w:tc>
          <w:tcPr>
            <w:tcW w:type="dxa" w:w="1930"/>
            <w:shd w:val="clear" w:fill="1F3864"/>
          </w:tcPr>
          <w:p>
            <w:r>
              <w:rPr>
                <w:b/>
                <w:color w:val="FFFFFF"/>
                <w:sz w:val="19"/>
              </w:rPr>
              <w:t>Wk %</w:t>
            </w:r>
          </w:p>
        </w:tc>
      </w:tr>
      <w:tr>
        <w:tc>
          <w:tcPr>
            <w:tcW w:type="dxa" w:w="1930"/>
          </w:tcPr>
          <w:p>
            <w:r>
              <w:rPr>
                <w:sz w:val="19"/>
              </w:rPr>
              <w:t>1</w:t>
            </w:r>
          </w:p>
        </w:tc>
        <w:tc>
          <w:tcPr>
            <w:tcW w:type="dxa" w:w="1930"/>
          </w:tcPr>
          <w:p>
            <w:r>
              <w:rPr>
                <w:sz w:val="19"/>
              </w:rPr>
              <w:t>WLY</w:t>
            </w:r>
          </w:p>
        </w:tc>
        <w:tc>
          <w:tcPr>
            <w:tcW w:type="dxa" w:w="1930"/>
          </w:tcPr>
          <w:p>
            <w:r>
              <w:rPr>
                <w:sz w:val="19"/>
              </w:rPr>
              <w:t>John Wiley &amp; Sons</w:t>
            </w:r>
          </w:p>
        </w:tc>
        <w:tc>
          <w:tcPr>
            <w:tcW w:type="dxa" w:w="1930"/>
          </w:tcPr>
          <w:p>
            <w:r>
              <w:rPr>
                <w:sz w:val="19"/>
              </w:rPr>
              <w:t>Publishing</w:t>
            </w:r>
          </w:p>
        </w:tc>
        <w:tc>
          <w:tcPr>
            <w:tcW w:type="dxa" w:w="1930"/>
          </w:tcPr>
          <w:p>
            <w:r>
              <w:rPr>
                <w:sz w:val="19"/>
              </w:rPr>
              <w:t>+2.3%</w:t>
            </w:r>
          </w:p>
        </w:tc>
      </w:tr>
      <w:tr>
        <w:tc>
          <w:tcPr>
            <w:tcW w:type="dxa" w:w="1930"/>
            <w:shd w:val="clear" w:fill="EEF1F7"/>
          </w:tcPr>
          <w:p>
            <w:r>
              <w:rPr>
                <w:sz w:val="19"/>
              </w:rPr>
              <w:t>2</w:t>
            </w:r>
          </w:p>
        </w:tc>
        <w:tc>
          <w:tcPr>
            <w:tcW w:type="dxa" w:w="1930"/>
            <w:shd w:val="clear" w:fill="EEF1F7"/>
          </w:tcPr>
          <w:p>
            <w:r>
              <w:rPr>
                <w:sz w:val="19"/>
              </w:rPr>
              <w:t>ADEA</w:t>
            </w:r>
          </w:p>
        </w:tc>
        <w:tc>
          <w:tcPr>
            <w:tcW w:type="dxa" w:w="1930"/>
            <w:shd w:val="clear" w:fill="EEF1F7"/>
          </w:tcPr>
          <w:p>
            <w:r>
              <w:rPr>
                <w:sz w:val="19"/>
              </w:rPr>
              <w:t>Adeia, Inc.</w:t>
            </w:r>
          </w:p>
        </w:tc>
        <w:tc>
          <w:tcPr>
            <w:tcW w:type="dxa" w:w="1930"/>
            <w:shd w:val="clear" w:fill="EEF1F7"/>
          </w:tcPr>
          <w:p>
            <w:r>
              <w:rPr>
                <w:sz w:val="19"/>
              </w:rPr>
              <w:t>IT Consulting &amp; Other Services</w:t>
            </w:r>
          </w:p>
        </w:tc>
        <w:tc>
          <w:tcPr>
            <w:tcW w:type="dxa" w:w="1930"/>
            <w:shd w:val="clear" w:fill="EEF1F7"/>
          </w:tcPr>
          <w:p>
            <w:r>
              <w:rPr>
                <w:sz w:val="19"/>
              </w:rPr>
              <w:t>-7.1%</w:t>
            </w:r>
          </w:p>
        </w:tc>
      </w:tr>
      <w:tr>
        <w:tc>
          <w:tcPr>
            <w:tcW w:type="dxa" w:w="1930"/>
          </w:tcPr>
          <w:p>
            <w:r>
              <w:rPr>
                <w:sz w:val="19"/>
              </w:rPr>
              <w:t>3</w:t>
            </w:r>
          </w:p>
        </w:tc>
        <w:tc>
          <w:tcPr>
            <w:tcW w:type="dxa" w:w="1930"/>
          </w:tcPr>
          <w:p>
            <w:r>
              <w:rPr>
                <w:sz w:val="19"/>
              </w:rPr>
              <w:t>HUBB</w:t>
            </w:r>
          </w:p>
        </w:tc>
        <w:tc>
          <w:tcPr>
            <w:tcW w:type="dxa" w:w="1930"/>
          </w:tcPr>
          <w:p>
            <w:r>
              <w:rPr>
                <w:sz w:val="19"/>
              </w:rPr>
              <w:t>Hubbell Incorporated</w:t>
            </w:r>
          </w:p>
        </w:tc>
        <w:tc>
          <w:tcPr>
            <w:tcW w:type="dxa" w:w="1930"/>
          </w:tcPr>
          <w:p>
            <w:r>
              <w:rPr>
                <w:sz w:val="19"/>
              </w:rPr>
              <w:t>Industrial Machinery</w:t>
            </w:r>
          </w:p>
        </w:tc>
        <w:tc>
          <w:tcPr>
            <w:tcW w:type="dxa" w:w="1930"/>
          </w:tcPr>
          <w:p>
            <w:r>
              <w:rPr>
                <w:sz w:val="19"/>
              </w:rPr>
              <w:t>-2.9%</w:t>
            </w:r>
          </w:p>
        </w:tc>
      </w:tr>
    </w:tbl>
    <w:p/>
    <w:p>
      <w:r>
        <w:t>And the weekly climbers, ranked: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Ticker</w:t>
            </w:r>
          </w:p>
        </w:tc>
        <w:tc>
          <w:tcPr>
            <w:tcW w:type="dxa" w:w="1930"/>
            <w:shd w:val="clear" w:fill="1F3864"/>
          </w:tcPr>
          <w:p>
            <w:r>
              <w:rPr>
                <w:b/>
                <w:color w:val="FFFFFF"/>
                <w:sz w:val="19"/>
              </w:rPr>
              <w:t>Sector</w:t>
            </w:r>
          </w:p>
        </w:tc>
        <w:tc>
          <w:tcPr>
            <w:tcW w:type="dxa" w:w="1930"/>
            <w:shd w:val="clear" w:fill="1F3864"/>
          </w:tcPr>
          <w:p>
            <w:r>
              <w:rPr>
                <w:b/>
                <w:color w:val="FFFFFF"/>
                <w:sz w:val="19"/>
              </w:rPr>
              <w:t>Rank: week ago → now</w:t>
            </w:r>
          </w:p>
        </w:tc>
        <w:tc>
          <w:tcPr>
            <w:tcW w:type="dxa" w:w="1930"/>
            <w:shd w:val="clear" w:fill="1F3864"/>
          </w:tcPr>
          <w:p>
            <w:r>
              <w:rPr>
                <w:b/>
                <w:color w:val="FFFFFF"/>
                <w:sz w:val="19"/>
              </w:rPr>
              <w:t>Climb</w:t>
            </w:r>
          </w:p>
        </w:tc>
        <w:tc>
          <w:tcPr>
            <w:tcW w:type="dxa" w:w="1930"/>
            <w:shd w:val="clear" w:fill="1F3864"/>
          </w:tcPr>
          <w:p>
            <w:r>
              <w:rPr>
                <w:b/>
                <w:color w:val="FFFFFF"/>
                <w:sz w:val="19"/>
              </w:rPr>
              <w:t>Wk %</w:t>
            </w:r>
          </w:p>
        </w:tc>
      </w:tr>
      <w:tr>
        <w:tc>
          <w:tcPr>
            <w:tcW w:type="dxa" w:w="1930"/>
          </w:tcPr>
          <w:p>
            <w:r>
              <w:rPr>
                <w:sz w:val="19"/>
              </w:rPr>
              <w:t>HUBB</w:t>
            </w:r>
          </w:p>
        </w:tc>
        <w:tc>
          <w:tcPr>
            <w:tcW w:type="dxa" w:w="1930"/>
          </w:tcPr>
          <w:p>
            <w:r>
              <w:rPr>
                <w:sz w:val="19"/>
              </w:rPr>
              <w:t>Industrials</w:t>
            </w:r>
          </w:p>
        </w:tc>
        <w:tc>
          <w:tcPr>
            <w:tcW w:type="dxa" w:w="1930"/>
          </w:tcPr>
          <w:p>
            <w:r>
              <w:rPr>
                <w:sz w:val="19"/>
              </w:rPr>
              <w:t>1401 → 3</w:t>
            </w:r>
          </w:p>
        </w:tc>
        <w:tc>
          <w:tcPr>
            <w:tcW w:type="dxa" w:w="1930"/>
          </w:tcPr>
          <w:p>
            <w:r>
              <w:rPr>
                <w:sz w:val="19"/>
              </w:rPr>
              <w:t>+1398</w:t>
            </w:r>
          </w:p>
        </w:tc>
        <w:tc>
          <w:tcPr>
            <w:tcW w:type="dxa" w:w="1930"/>
          </w:tcPr>
          <w:p>
            <w:r>
              <w:rPr>
                <w:sz w:val="19"/>
              </w:rPr>
              <w:t>-2.9%</w:t>
            </w:r>
          </w:p>
        </w:tc>
      </w:tr>
      <w:tr>
        <w:tc>
          <w:tcPr>
            <w:tcW w:type="dxa" w:w="1930"/>
            <w:shd w:val="clear" w:fill="EEF1F7"/>
          </w:tcPr>
          <w:p>
            <w:r>
              <w:rPr>
                <w:sz w:val="19"/>
              </w:rPr>
              <w:t>WLY</w:t>
            </w:r>
          </w:p>
        </w:tc>
        <w:tc>
          <w:tcPr>
            <w:tcW w:type="dxa" w:w="1930"/>
            <w:shd w:val="clear" w:fill="EEF1F7"/>
          </w:tcPr>
          <w:p>
            <w:r>
              <w:rPr>
                <w:sz w:val="19"/>
              </w:rPr>
              <w:t>Communication Services</w:t>
            </w:r>
          </w:p>
        </w:tc>
        <w:tc>
          <w:tcPr>
            <w:tcW w:type="dxa" w:w="1930"/>
            <w:shd w:val="clear" w:fill="EEF1F7"/>
          </w:tcPr>
          <w:p>
            <w:r>
              <w:rPr>
                <w:sz w:val="19"/>
              </w:rPr>
              <w:t>1389 → 1</w:t>
            </w:r>
          </w:p>
        </w:tc>
        <w:tc>
          <w:tcPr>
            <w:tcW w:type="dxa" w:w="1930"/>
            <w:shd w:val="clear" w:fill="EEF1F7"/>
          </w:tcPr>
          <w:p>
            <w:r>
              <w:rPr>
                <w:sz w:val="19"/>
              </w:rPr>
              <w:t>+1388</w:t>
            </w:r>
          </w:p>
        </w:tc>
        <w:tc>
          <w:tcPr>
            <w:tcW w:type="dxa" w:w="1930"/>
            <w:shd w:val="clear" w:fill="EEF1F7"/>
          </w:tcPr>
          <w:p>
            <w:r>
              <w:rPr>
                <w:sz w:val="19"/>
              </w:rPr>
              <w:t>+2.3%</w:t>
            </w:r>
          </w:p>
        </w:tc>
      </w:tr>
      <w:tr>
        <w:tc>
          <w:tcPr>
            <w:tcW w:type="dxa" w:w="1930"/>
          </w:tcPr>
          <w:p>
            <w:r>
              <w:rPr>
                <w:sz w:val="19"/>
              </w:rPr>
              <w:t>ADEA</w:t>
            </w:r>
          </w:p>
        </w:tc>
        <w:tc>
          <w:tcPr>
            <w:tcW w:type="dxa" w:w="1930"/>
          </w:tcPr>
          <w:p>
            <w:r>
              <w:rPr>
                <w:sz w:val="19"/>
              </w:rPr>
              <w:t>Information Technology</w:t>
            </w:r>
          </w:p>
        </w:tc>
        <w:tc>
          <w:tcPr>
            <w:tcW w:type="dxa" w:w="1930"/>
          </w:tcPr>
          <w:p>
            <w:r>
              <w:rPr>
                <w:sz w:val="19"/>
              </w:rPr>
              <w:t>895 → 2</w:t>
            </w:r>
          </w:p>
        </w:tc>
        <w:tc>
          <w:tcPr>
            <w:tcW w:type="dxa" w:w="1930"/>
          </w:tcPr>
          <w:p>
            <w:r>
              <w:rPr>
                <w:sz w:val="19"/>
              </w:rPr>
              <w:t>+893</w:t>
            </w:r>
          </w:p>
        </w:tc>
        <w:tc>
          <w:tcPr>
            <w:tcW w:type="dxa" w:w="1930"/>
          </w:tcPr>
          <w:p>
            <w:r>
              <w:rPr>
                <w:sz w:val="19"/>
              </w:rPr>
              <w:t>-7.1%</w:t>
            </w:r>
          </w:p>
        </w:tc>
      </w:tr>
    </w:tbl>
    <w:p/>
    <w:p>
      <w:r>
        <w:t xml:space="preserve">Look at that price column. Two of the three "strongest" names on the board </w:t>
      </w:r>
      <w:r>
        <w:rPr>
          <w:i/>
        </w:rPr>
        <w:t>fell</w:t>
      </w:r>
      <w:r>
        <w:t xml:space="preserve"> on the week, Adeia down 7.1% and Hubbell down 2.9%, while their ranks exploded higher. That's the two-clocks problem in its purest form. The rank clock says these are leaders; the price clock says money was leaving. When the two disagree this violently, and the list is this thin, I don't chase the rank. Only Wiley rose on both, up 2.3% and #1 on the board.</w:t>
      </w:r>
    </w:p>
    <w:p>
      <w:r>
        <w:t>The usual mega-cap panel didn't populate with real mega-caps this week; it just echoed these same three names, so I can't give you a clean read on whether a couple of trillion-dollar names carried the index while ranking poorly. What I can tell you is the better version of that check: the index went nowhere (-0.1%) while breadth broadened hard, from 55% to 67% of stocks above their 200-day. The money didn't leave the market. It spread out. A flat headline number hiding wider participation underneath is usually the healthier kind of flat.</w:t>
      </w:r>
    </w:p>
    <w:p>
      <w:pPr>
        <w:spacing w:before="240" w:after="80"/>
      </w:pPr>
      <w:r>
        <w:rPr>
          <w:b/>
          <w:color w:val="1F3864"/>
          <w:sz w:val="30"/>
        </w:rPr>
        <w:t>7. A few names worth looking at</w:t>
      </w:r>
    </w:p>
    <w:p>
      <w:r>
        <w:t>Nothing to put in front of you this week. Our watchlist screen — top-tier sector rank with real breadth, an improving rank, a genuine uptrend (price above a rising 20 above the 50 above the 200), and not stretched more than 10% over the 20-day — returned zero names.</w:t>
      </w:r>
    </w:p>
    <w:p>
      <w:r>
        <w:t>That's a signal in itself. When the four filters all come up empty in a flat, broadening tape, it usually means the leaders that were extended are digesting gains and the new leaders haven't set up cleanly yet. The discipline here is patience: you buy strength early in a trend on a pause, you don't manufacture a trade because the screen is blank. Anything you build off this week's rank movers, do your own work first. This is education, not a recommendation, and I've told you plainly why I distrust two of the three names at the top.</w:t>
      </w:r>
    </w:p>
    <w:p>
      <w:pPr>
        <w:spacing w:before="240" w:after="80"/>
      </w:pPr>
      <w:r>
        <w:rPr>
          <w:b/>
          <w:color w:val="1F3864"/>
          <w:sz w:val="30"/>
        </w:rPr>
        <w:t>8. Where We Stand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r>
              <w:rPr>
                <w:b/>
                <w:color w:val="FFFFFF"/>
                <w:sz w:val="19"/>
              </w:rPr>
              <w:t>Check</w:t>
            </w:r>
          </w:p>
        </w:tc>
        <w:tc>
          <w:tcPr>
            <w:tcW w:type="dxa" w:w="3216"/>
            <w:shd w:val="clear" w:fill="1F3864"/>
          </w:tcPr>
          <w:p>
            <w:r>
              <w:rPr>
                <w:b/>
                <w:color w:val="FFFFFF"/>
                <w:sz w:val="19"/>
              </w:rPr>
              <w:t>Reading</w:t>
            </w:r>
          </w:p>
        </w:tc>
        <w:tc>
          <w:tcPr>
            <w:tcW w:type="dxa" w:w="3216"/>
            <w:shd w:val="clear" w:fill="1F3864"/>
          </w:tcPr>
          <w:p>
            <w:r>
              <w:rPr>
                <w:b/>
                <w:color w:val="FFFFFF"/>
                <w:sz w:val="19"/>
              </w:rPr>
              <w:t>Note</w:t>
            </w:r>
          </w:p>
        </w:tc>
      </w:tr>
      <w:tr>
        <w:tc>
          <w:tcPr>
            <w:tcW w:type="dxa" w:w="3216"/>
          </w:tcPr>
          <w:p>
            <w:r>
              <w:rPr>
                <w:sz w:val="19"/>
              </w:rPr>
              <w:t>S&amp;P 500 level</w:t>
            </w:r>
          </w:p>
        </w:tc>
        <w:tc>
          <w:tcPr>
            <w:tcW w:type="dxa" w:w="3216"/>
          </w:tcPr>
          <w:p>
            <w:r>
              <w:rPr>
                <w:sz w:val="19"/>
              </w:rPr>
              <w:t>7,650.5</w:t>
            </w:r>
          </w:p>
        </w:tc>
        <w:tc>
          <w:tcPr>
            <w:tcW w:type="dxa" w:w="3216"/>
          </w:tcPr>
          <w:p>
            <w:r>
              <w:rPr>
                <w:sz w:val="19"/>
              </w:rPr>
              <w:t>-1.9% below the Aug 13 high</w:t>
            </w:r>
          </w:p>
        </w:tc>
      </w:tr>
      <w:tr>
        <w:tc>
          <w:tcPr>
            <w:tcW w:type="dxa" w:w="3216"/>
            <w:shd w:val="clear" w:fill="EEF1F7"/>
          </w:tcPr>
          <w:p>
            <w:r>
              <w:rPr>
                <w:sz w:val="19"/>
              </w:rPr>
              <w:t>S&amp;P vs 200-day</w:t>
            </w:r>
          </w:p>
        </w:tc>
        <w:tc>
          <w:tcPr>
            <w:tcW w:type="dxa" w:w="3216"/>
            <w:shd w:val="clear" w:fill="EEF1F7"/>
          </w:tcPr>
          <w:p>
            <w:r>
              <w:rPr>
                <w:sz w:val="19"/>
              </w:rPr>
              <w:t>ABOVE</w:t>
            </w:r>
          </w:p>
        </w:tc>
        <w:tc>
          <w:tcPr>
            <w:tcW w:type="dxa" w:w="3216"/>
            <w:shd w:val="clear" w:fill="EEF1F7"/>
          </w:tcPr>
          <w:p>
            <w:r>
              <w:rPr>
                <w:sz w:val="19"/>
              </w:rPr>
              <w:t>7,650.5 vs 7,221.79</w:t>
            </w:r>
          </w:p>
        </w:tc>
      </w:tr>
      <w:tr>
        <w:tc>
          <w:tcPr>
            <w:tcW w:type="dxa" w:w="3216"/>
          </w:tcPr>
          <w:p>
            <w:r>
              <w:rPr>
                <w:sz w:val="19"/>
              </w:rPr>
              <w:t>Stocks above 200-day</w:t>
            </w:r>
          </w:p>
        </w:tc>
        <w:tc>
          <w:tcPr>
            <w:tcW w:type="dxa" w:w="3216"/>
          </w:tcPr>
          <w:p>
            <w:r>
              <w:rPr>
                <w:sz w:val="19"/>
              </w:rPr>
              <w:t>66.67%</w:t>
            </w:r>
          </w:p>
        </w:tc>
        <w:tc>
          <w:tcPr>
            <w:tcW w:type="dxa" w:w="3216"/>
          </w:tcPr>
          <w:p>
            <w:r>
              <w:rPr>
                <w:sz w:val="19"/>
              </w:rPr>
              <w:t>up from 55%</w:t>
            </w:r>
          </w:p>
        </w:tc>
      </w:tr>
      <w:tr>
        <w:tc>
          <w:tcPr>
            <w:tcW w:type="dxa" w:w="3216"/>
            <w:shd w:val="clear" w:fill="EEF1F7"/>
          </w:tcPr>
          <w:p>
            <w:r>
              <w:rPr>
                <w:sz w:val="19"/>
              </w:rPr>
              <w:t>Stocks above 50-day</w:t>
            </w:r>
          </w:p>
        </w:tc>
        <w:tc>
          <w:tcPr>
            <w:tcW w:type="dxa" w:w="3216"/>
            <w:shd w:val="clear" w:fill="EEF1F7"/>
          </w:tcPr>
          <w:p>
            <w:r>
              <w:rPr>
                <w:sz w:val="19"/>
              </w:rPr>
              <w:t>0.0%</w:t>
            </w:r>
          </w:p>
        </w:tc>
        <w:tc>
          <w:tcPr>
            <w:tcW w:type="dxa" w:w="3216"/>
            <w:shd w:val="clear" w:fill="EEF1F7"/>
          </w:tcPr>
          <w:p>
            <w:r>
              <w:rPr>
                <w:sz w:val="19"/>
              </w:rPr>
              <w:t>looks like a data gap — see below</w:t>
            </w:r>
          </w:p>
        </w:tc>
      </w:tr>
      <w:tr>
        <w:tc>
          <w:tcPr>
            <w:tcW w:type="dxa" w:w="3216"/>
          </w:tcPr>
          <w:p>
            <w:r>
              <w:rPr>
                <w:sz w:val="19"/>
              </w:rPr>
              <w:t>New 52w highs vs lows</w:t>
            </w:r>
          </w:p>
        </w:tc>
        <w:tc>
          <w:tcPr>
            <w:tcW w:type="dxa" w:w="3216"/>
          </w:tcPr>
          <w:p>
            <w:r>
              <w:rPr>
                <w:sz w:val="19"/>
              </w:rPr>
              <w:t>0 vs 0</w:t>
            </w:r>
          </w:p>
        </w:tc>
        <w:tc>
          <w:tcPr>
            <w:tcW w:type="dxa" w:w="3216"/>
          </w:tcPr>
          <w:p/>
        </w:tc>
      </w:tr>
      <w:tr>
        <w:tc>
          <w:tcPr>
            <w:tcW w:type="dxa" w:w="3216"/>
            <w:shd w:val="clear" w:fill="EEF1F7"/>
          </w:tcPr>
          <w:p>
            <w:r>
              <w:rPr>
                <w:sz w:val="19"/>
              </w:rPr>
              <w:t>VIX</w:t>
            </w:r>
          </w:p>
        </w:tc>
        <w:tc>
          <w:tcPr>
            <w:tcW w:type="dxa" w:w="3216"/>
            <w:shd w:val="clear" w:fill="EEF1F7"/>
          </w:tcPr>
          <w:p>
            <w:r>
              <w:rPr>
                <w:sz w:val="19"/>
              </w:rPr>
              <w:t>14.81</w:t>
            </w:r>
          </w:p>
        </w:tc>
        <w:tc>
          <w:tcPr>
            <w:tcW w:type="dxa" w:w="3216"/>
            <w:shd w:val="clear" w:fill="EEF1F7"/>
          </w:tcPr>
          <w:p>
            <w:r>
              <w:rPr>
                <w:sz w:val="19"/>
              </w:rPr>
              <w:t>calm</w:t>
            </w:r>
          </w:p>
        </w:tc>
      </w:tr>
      <w:tr>
        <w:tc>
          <w:tcPr>
            <w:tcW w:type="dxa" w:w="3216"/>
          </w:tcPr>
          <w:p>
            <w:r>
              <w:rPr>
                <w:sz w:val="19"/>
              </w:rPr>
              <w:t>Credit spreads</w:t>
            </w:r>
          </w:p>
        </w:tc>
        <w:tc>
          <w:tcPr>
            <w:tcW w:type="dxa" w:w="3216"/>
          </w:tcPr>
          <w:p>
            <w:r>
              <w:rPr>
                <w:sz w:val="19"/>
              </w:rPr>
              <w:t>n/a</w:t>
            </w:r>
          </w:p>
        </w:tc>
        <w:tc>
          <w:tcPr>
            <w:tcW w:type="dxa" w:w="3216"/>
          </w:tcPr>
          <w:p>
            <w:r>
              <w:rPr>
                <w:sz w:val="19"/>
              </w:rPr>
              <w:t>FRED feed pending</w:t>
            </w:r>
          </w:p>
        </w:tc>
      </w:tr>
      <w:tr>
        <w:tc>
          <w:tcPr>
            <w:tcW w:type="dxa" w:w="3216"/>
            <w:shd w:val="clear" w:fill="EEF1F7"/>
          </w:tcPr>
          <w:p>
            <w:r>
              <w:rPr>
                <w:sz w:val="19"/>
              </w:rPr>
              <w:t>Gold</w:t>
            </w:r>
          </w:p>
        </w:tc>
        <w:tc>
          <w:tcPr>
            <w:tcW w:type="dxa" w:w="3216"/>
            <w:shd w:val="clear" w:fill="EEF1F7"/>
          </w:tcPr>
          <w:p>
            <w:r>
              <w:rPr>
                <w:sz w:val="19"/>
              </w:rPr>
              <w:t>+0.4% wk</w:t>
            </w:r>
          </w:p>
        </w:tc>
        <w:tc>
          <w:tcPr>
            <w:tcW w:type="dxa" w:w="3216"/>
            <w:shd w:val="clear" w:fill="EEF1F7"/>
          </w:tcPr>
          <w:p>
            <w:r>
              <w:rPr>
                <w:sz w:val="19"/>
              </w:rPr>
              <w:t>soft — no fear bid</w:t>
            </w:r>
          </w:p>
        </w:tc>
      </w:tr>
      <w:tr>
        <w:tc>
          <w:tcPr>
            <w:tcW w:type="dxa" w:w="3216"/>
          </w:tcPr>
          <w:p>
            <w:r>
              <w:rPr>
                <w:sz w:val="19"/>
              </w:rPr>
              <w:t>High-yield (HYG)</w:t>
            </w:r>
          </w:p>
        </w:tc>
        <w:tc>
          <w:tcPr>
            <w:tcW w:type="dxa" w:w="3216"/>
          </w:tcPr>
          <w:p>
            <w:r>
              <w:rPr>
                <w:sz w:val="19"/>
              </w:rPr>
              <w:t>-0.1% wk</w:t>
            </w:r>
          </w:p>
        </w:tc>
        <w:tc>
          <w:tcPr>
            <w:tcW w:type="dxa" w:w="3216"/>
          </w:tcPr>
          <w:p>
            <w:r>
              <w:rPr>
                <w:sz w:val="19"/>
              </w:rPr>
              <w:t>steady — no credit stress</w:t>
            </w:r>
          </w:p>
        </w:tc>
      </w:tr>
      <w:tr>
        <w:tc>
          <w:tcPr>
            <w:tcW w:type="dxa" w:w="3216"/>
            <w:shd w:val="clear" w:fill="EEF1F7"/>
          </w:tcPr>
          <w:p>
            <w:r>
              <w:rPr>
                <w:sz w:val="19"/>
              </w:rPr>
              <w:t>US dollar (DXY)</w:t>
            </w:r>
          </w:p>
        </w:tc>
        <w:tc>
          <w:tcPr>
            <w:tcW w:type="dxa" w:w="3216"/>
            <w:shd w:val="clear" w:fill="EEF1F7"/>
          </w:tcPr>
          <w:p>
            <w:r>
              <w:rPr>
                <w:sz w:val="19"/>
              </w:rPr>
              <w:t>+1.1% wk</w:t>
            </w:r>
          </w:p>
        </w:tc>
        <w:tc>
          <w:tcPr>
            <w:tcW w:type="dxa" w:w="3216"/>
            <w:shd w:val="clear" w:fill="EEF1F7"/>
          </w:tcPr>
          <w:p>
            <w:r>
              <w:rPr>
                <w:sz w:val="19"/>
              </w:rPr>
              <w:t>firm</w:t>
            </w:r>
          </w:p>
        </w:tc>
      </w:tr>
    </w:tbl>
    <w:p/>
    <w:p>
      <w:r>
        <w:t>Two housekeeping notes so I don't mislead you. The "0.0% above the 50-day" reading is almost certainly a data-feed hiccup, not reality. With the index down only a tenth of a percent and two-thirds of stocks above their 200-day, a literal zero above the 50-day doesn't square. I'm flagging it rather than spinning a story around it. And credit spreads are marked n/a this week because the source feed is pending; I won't invent a number to fill the box.</w:t>
      </w:r>
    </w:p>
    <w:p>
      <w:r>
        <w:t>Now the fear panel, read across channels instead of just quoting the VIX. Gold rose a soft 0.4%, no rush to the oldest safe haven. Junk bonds barely moved (-0.1%), so credit isn't cracking. VIX is asleep at 14.81. The dollar firmed, the one gauge with a bid, and that's a rate story more than a fear story. Put it together and the scary headline this week, Hormuz, hasn't spread into the assets that move when fear is real. Oil is the one channel showing stress, and stress that lives in a single channel is contained, not systemic. If gold, junk and the dollar all turned together, I'd be writing a very different section.</w:t>
      </w:r>
    </w:p>
    <w:p>
      <w:r>
        <w:rPr>
          <w:b/>
        </w:rPr>
        <w:t>Scenarios into next week:</w:t>
      </w:r>
    </w:p>
    <w:p>
      <w:pPr>
        <w:pStyle w:val="ListBullet"/>
      </w:pPr>
      <w:r>
        <w:rPr>
          <w:b/>
        </w:rPr>
        <w:t>Base case (60%):</w:t>
      </w:r>
      <w:r>
        <w:t xml:space="preserve"> The flat-but-broadening tape continues. Breadth stays above 60%, VIX stays calm, and the market grinds sideways-to-higher while it digests a hawkish Fed. Rates are the ceiling; participation is the floor.</w:t>
      </w:r>
    </w:p>
    <w:p>
      <w:pPr>
        <w:pStyle w:val="ListBullet"/>
      </w:pPr>
      <w:r>
        <w:rPr>
          <w:b/>
        </w:rPr>
        <w:t>Bull case (20%):</w:t>
      </w:r>
      <w:r>
        <w:t xml:space="preserve"> Oil stays soft despite the Hormuz noise, the inflation number cooperates, and the Fed's tone softens. The long-duration names that got downgraded this week catch a bid and the index retakes the August high.</w:t>
      </w:r>
    </w:p>
    <w:p>
      <w:pPr>
        <w:pStyle w:val="ListBullet"/>
      </w:pPr>
      <w:r>
        <w:rPr>
          <w:b/>
        </w:rPr>
        <w:t>Bear case (20%):</w:t>
      </w:r>
      <w:r>
        <w:t xml:space="preserve"> Hormuz becomes real, oil spikes, and a higher-for-longer Fed plus a firm dollar squeezes the expensive end of the market. Breadth rolls back under 60% and the 1.9% gap to the high widens.</w:t>
      </w:r>
    </w:p>
    <w:p>
      <w:r>
        <w:t>Stance: constructively neutral. Above the 200-day with widening breadth and no credit stress, you stay invested. With rates hardening and the board's leadership too thin to trust, you stay selective and let the setups come to you.</w:t>
      </w:r>
    </w:p>
    <w:p>
      <w:pPr>
        <w:spacing w:before="240" w:after="80"/>
      </w:pPr>
      <w:r>
        <w:rPr>
          <w:b/>
          <w:color w:val="1F3864"/>
          <w:sz w:val="30"/>
        </w:rPr>
        <w:t>9. The Algo (educational paper track record)</w:t>
      </w:r>
    </w:p>
    <w:p>
      <w:r>
        <w:t>The paper strategy is having a humbling run, and I'm not going to dress it up. Equity sits at $49,820, down 0.4% since it started on May 27, against the S&amp;P up 1.6% and QQQ down 1.7% over the same stretch. It gained 0.8% on the week, drawdown is -4.2%, and the lifetime record is 77 closed trades, 25 winners, a 32% win rate, averaging -1.4% per trade. A strategy that wins a third of the time can still work if the winners dwarf the losers, but right now they aren't, and it's roughly matching a flat market rather than beating one.</w:t>
      </w:r>
    </w:p>
    <w:p>
      <w:r>
        <w:t>What it closed this week fits the mechanical rules more than any grand call: CRGY trailed out at +3.2%, SEIC timed out at +1.1%, and two energy-adjacent stops hit hard, TRMD at -7.0% and SSRM at -9.9%. Small wins, sharp losses. That's the shape of a 32% win-rate system in a choppy tape.</w:t>
      </w:r>
    </w:p>
    <w:p>
      <w:r>
        <w:t>The open book is heavily tilted to energy — COP, DINO, MPC, PSX, VLO — plus JPM in financials and TMO/IQV in health care. Given this week's oil backdrop, that energy concentration cuts both ways: it's what would rescue the track record if Hormuz spikes crude, and what would hurt if oil keeps sliding. Watch it as a live experiment in whether trailing rules protect you when a group turns.</w:t>
      </w:r>
    </w:p>
    <w:p>
      <w:r>
        <w:rPr>
          <w:i/>
        </w:rPr>
        <w:t>Methodology. The Algo is a long-only, rules-based paper strategy on a $50,000 notional sleeve, trading the same ~1,900-stock universe. A name is bought only if it clears every gate: its sector ranks near the top of the board with broad participation, earnings are growing year-over-year in both revenue and profit, it isn't already held, and it's past a 21-day cooldown. Qualifying setups are sorted into four conviction tiers by how many independent signals fire — from T1 (multiple 'strong' chart patterns, risked at 1.5% of the sleeve) down to T4 (relative-strength acceleration, 0.5%). Size is set by risk, not dollars: each trade is sized so a stop 2×ATR below entry costs only that tier's risk budget, capped at $2,000–$6,000. Exits are mechanical — scale out a third at +2R and a third at +4R (1R = the initial stop distance), trail the remainder by 2×ATR, book some after a +25% spike, and time out positions left flat after 25 trading days. New entries pause if the book is down 2% on the day or 8% from its peak. Signals are generated after the close and filled the next session at the live price plus 0.15% slippage. These are educational paper results — not advice, and not a live account.</w:t>
      </w:r>
    </w:p>
    <w:p>
      <w:pPr>
        <w:spacing w:before="240" w:after="80"/>
      </w:pPr>
      <w:r>
        <w:rPr>
          <w:b/>
          <w:color w:val="1F3864"/>
          <w:sz w:val="30"/>
        </w:rPr>
        <w:t>10. Key events next week</w:t>
      </w:r>
    </w:p>
    <w:p>
      <w:r>
        <w:t>A packed calendar of reporters, mostly consumer and housing:</w:t>
      </w:r>
    </w:p>
    <w:p>
      <w:pPr>
        <w:pStyle w:val="ListBullet"/>
      </w:pPr>
      <w:r>
        <w:rPr>
          <w:b/>
        </w:rPr>
        <w:t>Costco (COST), Sept 24</w:t>
      </w:r>
      <w:r>
        <w:t xml:space="preserve"> — the tell: with the consumer downgrades piling up (Nike, Dick's), Costco's membership fees and traffic are the cleanest read on whether the shopper is trading down or just fine.</w:t>
      </w:r>
    </w:p>
    <w:p>
      <w:pPr>
        <w:pStyle w:val="ListBullet"/>
      </w:pPr>
      <w:r>
        <w:rPr>
          <w:b/>
        </w:rPr>
        <w:t>KB Home (KBH), Sept 22 and MillerKnoll (MLKN), Sept 22</w:t>
      </w:r>
      <w:r>
        <w:t xml:space="preserve"> — the tell: mortgage rates near 7% are the whole story. Watch the orders and cancellation commentary; that's the front line of the rate squeeze.</w:t>
      </w:r>
    </w:p>
    <w:p>
      <w:pPr>
        <w:pStyle w:val="ListBullet"/>
      </w:pPr>
      <w:r>
        <w:rPr>
          <w:b/>
        </w:rPr>
        <w:t>AutoZone (AZO), Sept 22</w:t>
      </w:r>
      <w:r>
        <w:t xml:space="preserve"> — the tell: aftermarket auto parts hold up when people keep older cars longer. A strong print is a quietly defensive economy signal.</w:t>
      </w:r>
    </w:p>
    <w:p>
      <w:pPr>
        <w:pStyle w:val="ListBullet"/>
      </w:pPr>
      <w:r>
        <w:rPr>
          <w:b/>
        </w:rPr>
        <w:t>Darden (DRI), Sept 24 and General Mills (GIS), Sept 23</w:t>
      </w:r>
      <w:r>
        <w:t xml:space="preserve"> — the tell: restaurant traffic versus at-home food. Also the first real GLP-1 "Ozempic effect" checkpoint — watch whether portion and volume commentary shows up.</w:t>
      </w:r>
    </w:p>
    <w:p>
      <w:pPr>
        <w:pStyle w:val="ListBullet"/>
      </w:pPr>
      <w:r>
        <w:rPr>
          <w:b/>
        </w:rPr>
        <w:t>Paychex (PAYX), Sept 23 and Cintas (CTAS), Sept 23</w:t>
      </w:r>
      <w:r>
        <w:t xml:space="preserve"> — the tell: both are proxies for small-business hiring and activity. With payrolls at +162k, their guidance tells you if the labor market is cooling further.</w:t>
      </w:r>
    </w:p>
    <w:p>
      <w:pPr>
        <w:pStyle w:val="ListBullet"/>
      </w:pPr>
      <w:r>
        <w:rPr>
          <w:b/>
        </w:rPr>
        <w:t>Initial jobless claims, Sept 24</w:t>
      </w:r>
      <w:r>
        <w:t xml:space="preserve"> — the tell: the weekly early read on whether the labor market is softening. In a hawkish-Fed week, a soft claims number is the market's friend.</w:t>
      </w:r>
    </w:p>
    <w:p>
      <w:r>
        <w:t>I'll follow up on how these landed next Sunday, using only what the data actually shows.</w:t>
      </w:r>
    </w:p>
    <w:p>
      <w:pPr>
        <w:spacing w:before="240" w:after="80"/>
      </w:pPr>
      <w:r>
        <w:rPr>
          <w:b/>
          <w:color w:val="1F3864"/>
          <w:sz w:val="30"/>
        </w:rPr>
        <w:t>11. Glossary</w:t>
      </w:r>
    </w:p>
    <w:p>
      <w:pPr>
        <w:pStyle w:val="ListBullet"/>
      </w:pPr>
      <w:r>
        <w:rPr>
          <w:b/>
        </w:rPr>
        <w:t>Our rank / the board:</w:t>
      </w:r>
      <w:r>
        <w:t xml:space="preserve"> we rank every US stock we track by relative strength, #1 strongest. "#3 in our system" = 3rd-strongest of ~1,900.</w:t>
      </w:r>
    </w:p>
    <w:p>
      <w:pPr>
        <w:pStyle w:val="ListBullet"/>
      </w:pPr>
      <w:r>
        <w:rPr>
          <w:b/>
        </w:rPr>
        <w:t>Relative strength (RS):</w:t>
      </w:r>
      <w:r>
        <w:t xml:space="preserve"> performance versus the rest of the market, not in isolation. Rising RS = outperforming.</w:t>
      </w:r>
    </w:p>
    <w:p>
      <w:pPr>
        <w:pStyle w:val="ListBullet"/>
      </w:pPr>
      <w:r>
        <w:rPr>
          <w:b/>
        </w:rPr>
        <w:t>Moving averages (20/50/200-day):</w:t>
      </w:r>
      <w:r>
        <w:t xml:space="preserve"> the trend lines. A healthy uptrend has price above a rising 20-day, itself above the 200-day. "Extended" = stretched far above the 20-day and prone to a pullback.</w:t>
      </w:r>
    </w:p>
    <w:p>
      <w:pPr>
        <w:pStyle w:val="ListBullet"/>
      </w:pPr>
      <w:r>
        <w:rPr>
          <w:b/>
        </w:rPr>
        <w:t>Two clocks:</w:t>
      </w:r>
      <w:r>
        <w:t xml:space="preserve"> rank is one clock, price is another. When rank rises but price falls, money is often using strength to leave.</w:t>
      </w:r>
    </w:p>
    <w:p>
      <w:pPr>
        <w:pStyle w:val="ListBullet"/>
      </w:pPr>
      <w:r>
        <w:rPr>
          <w:b/>
        </w:rPr>
        <w:t>VIX:</w:t>
      </w:r>
      <w:r>
        <w:t xml:space="preserve"> the fear gauge. Below 20 = calm.</w:t>
      </w:r>
    </w:p>
    <w:p>
      <w:pPr>
        <w:pStyle w:val="ListBullet"/>
      </w:pPr>
      <w:r>
        <w:rPr>
          <w:b/>
        </w:rPr>
        <w:t>Credit spreads / high-yield (junk) bonds:</w:t>
      </w:r>
      <w:r>
        <w:t xml:space="preserve"> the extra yield risky companies pay to borrow. Widening spreads or falling junk-bond prices are early stress signals; steady ones mean calm.</w:t>
      </w:r>
    </w:p>
    <w:p>
      <w:pPr>
        <w:pStyle w:val="ListBullet"/>
      </w:pPr>
      <w:r>
        <w:rPr>
          <w:b/>
        </w:rPr>
        <w:t>Treasury yields / 2s10s:</w:t>
      </w:r>
      <w:r>
        <w:t xml:space="preserve"> the government's borrowing cost for 10 years versus 2 years. A rising 2-year tracks Fed expectations; a rising 10-year pressures expensive, long-dated stocks.</w:t>
      </w:r>
    </w:p>
    <w:p>
      <w:pPr>
        <w:pStyle w:val="ListBullet"/>
      </w:pPr>
      <w:r>
        <w:rPr>
          <w:b/>
        </w:rPr>
        <w:t>Breadth:</w:t>
      </w:r>
      <w:r>
        <w:t xml:space="preserve"> how many stocks participate. Two-thirds above their 200-day is broad and healthy.</w:t>
      </w:r>
    </w:p>
    <w:p>
      <w:pPr>
        <w:pStyle w:val="ListBullet"/>
      </w:pPr>
      <w:r>
        <w:rPr>
          <w:b/>
        </w:rPr>
        <w:t>Safe havens (gold, the dollar):</w:t>
      </w:r>
      <w:r>
        <w:t xml:space="preserve"> where money runs when it's scared. Flat through a scary headline means the market is calling it noise.</w:t>
      </w:r>
    </w:p>
    <w:p>
      <w:pPr>
        <w:pBdr>
          <w:bottom w:val="single" w:sz="6" w:space="1" w:color="C0C0C0"/>
        </w:pBdr>
      </w:pPr>
    </w:p>
    <w:p>
      <w:r>
        <w:t>The index stood still this week while breadth quietly widened and the Fed got louder. Money spread across more stocks even as the rate backdrop turned less forgiving, with oil the one live wire after Iran rattled Hormuz. Above the 200-day with no credit stress, you stay invested; with the board's leadership too thin to trust and rates hardening, you stay selective and let the clean setups come to you. This is educational commentary, not advice — do your own homework on anything here. Stay invested, stay selective, and we'll see you next Sunday.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