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The Rally Caught Up to Its Own Guts</w:t>
      </w:r>
    </w:p>
    <w:p>
      <w:r>
        <w:rPr>
          <w:i/>
        </w:rPr>
        <w:t>Issue 32 · Thursday, July 2, 2026</w:t>
      </w:r>
    </w:p>
    <w:p>
      <w:r>
        <w:t>Last week the index looked sick while the average stock looked fine. This week the two closed the gap: the S&amp;P 500 rose 1.8%, breadth stayed broad, and the money kept moving into the same quiet rooms it found a week ago. The catch is that the Fed conversation turned the other way. The talk now is "plan for higher rates," and gold just hit an annual low on it.</w:t>
      </w:r>
    </w:p>
    <w:p>
      <w:r>
        <w:t>The view here rests on ranking about 1,900 US stocks every day by relative strength and watching where the strength settles. Right now it's settling into payments, hospitals, and software, and away from the metals and the builders.</w:t>
      </w:r>
    </w:p>
    <w:p>
      <w:pPr>
        <w:pBdr>
          <w:bottom w:val="single" w:sz="6" w:space="1" w:color="C0C0C0"/>
        </w:pBdr>
      </w:pPr>
    </w:p>
    <w:p>
      <w:pPr>
        <w:spacing w:before="240" w:after="80"/>
      </w:pPr>
      <w:r>
        <w:rPr>
          <w:b/>
          <w:color w:val="1F3864"/>
          <w:sz w:val="30"/>
        </w:rPr>
        <w:t>Grading last week</w:t>
      </w:r>
    </w:p>
    <w:p>
      <w:r>
        <w:t>Last week's read was to lean constructive, favor the strong groups over the famous ones, and keep the bear case on a short leash next to the jobs number. The index rose 1.8% with 1,123 advancers against 781 decliners, and health care and financials kept climbing the board. That call worked. Grade: A-. The minus is honesty about luck: the constructive stance was right, but the "watch the jobs number" part is still unresolved, because the payrolls print scheduled for July 3 hasn't landed in our data yet.</w:t>
      </w:r>
    </w:p>
    <w:p>
      <w:r>
        <w:t>On the events I told you to watch:</w:t>
      </w:r>
    </w:p>
    <w:p>
      <w:pPr>
        <w:pStyle w:val="ListBullet"/>
      </w:pPr>
      <w:r>
        <w:rPr>
          <w:b/>
        </w:rPr>
        <w:t>Nike</w:t>
      </w:r>
      <w:r>
        <w:t xml:space="preserve"> reported and rose 8% on the week. The two downgrades that walked it into the print look like they marked the low, not the warning.</w:t>
      </w:r>
    </w:p>
    <w:p>
      <w:pPr>
        <w:pStyle w:val="ListBullet"/>
      </w:pPr>
      <w:r>
        <w:rPr>
          <w:b/>
        </w:rPr>
        <w:t>General Mills</w:t>
      </w:r>
      <w:r>
        <w:t xml:space="preserve"> reported, up 4% on the week, enough to say the staples bid had at least some earnings behind it, not pure defense.</w:t>
      </w:r>
    </w:p>
    <w:p>
      <w:pPr>
        <w:pStyle w:val="ListBullet"/>
      </w:pPr>
      <w:r>
        <w:rPr>
          <w:b/>
        </w:rPr>
        <w:t>FactSet</w:t>
      </w:r>
      <w:r>
        <w:t xml:space="preserve"> reported, up 8% on the week, the strongest of the batch and a point for the data-and-industrials cluster I flagged.</w:t>
      </w:r>
    </w:p>
    <w:p>
      <w:pPr>
        <w:pStyle w:val="ListBullet"/>
      </w:pPr>
      <w:r>
        <w:rPr>
          <w:b/>
        </w:rPr>
        <w:t>AeroVironment</w:t>
      </w:r>
      <w:r>
        <w:t xml:space="preserve"> jumped 38% on the week, but on a $500 million counter-drone contract, not an earnings reaction, so don't file it as a print. It also drew a shareholder-lawsuit notice, so read the move with one eyebrow up.</w:t>
      </w:r>
    </w:p>
    <w:p>
      <w:pPr>
        <w:pStyle w:val="ListBullet"/>
      </w:pPr>
      <w:r>
        <w:t>The rest of that industrials cluster (MSC Industrial, Greenbrier, Lindsay, Concentrix) didn't show up in this week's earnings data, so I won't put numbers on them.</w:t>
      </w:r>
    </w:p>
    <w:p>
      <w:pPr>
        <w:pBdr>
          <w:bottom w:val="single" w:sz="6" w:space="1" w:color="C0C0C0"/>
        </w:pBdr>
      </w:pPr>
    </w:p>
    <w:p>
      <w:pPr>
        <w:spacing w:before="240" w:after="80"/>
      </w:pPr>
      <w:r>
        <w:rPr>
          <w:b/>
          <w:color w:val="1F3864"/>
          <w:sz w:val="30"/>
        </w:rPr>
        <w:t>1. Payments took the top room</w:t>
      </w:r>
    </w:p>
    <w:p>
      <w:r>
        <w:t>The loudest move on the board was money pouring into payment processors. Transaction and Payment Processing Services surged from #86 to #35 and turned to Leading on our rotation map. You can see it in the individual names too: Sezzle sits at #6 among the strongest stocks we track, DLocal jumped 675 rank spots (from #1,053 to #378), Pagaya climbed 507, and ACI Worldwide climbed 487. Even the analyst desks caught on late, with Piper Sandler flipping Block from Underweight to Overweight and marking 26% upside.</w:t>
      </w:r>
    </w:p>
    <w:p>
      <w:r>
        <w:t>This wasn't an isolated fireworks show. Health care and software climbed right alongside it, and the tape as a whole did what a healthy tape does: rose broadly, with 16 new 52-week highs and zero new lows. When more than 1,100 stocks rise against 781 that fall and the new-lows column stays empty, the rally has legs under it, not just a few giants doing the lifting.</w:t>
      </w:r>
    </w:p>
    <w:p>
      <w:r>
        <w:t>What's changed since last week isn't direction, it's confirmation. The rotation we watched migrate a week ago now has an index gain to match it.</w:t>
      </w:r>
    </w:p>
    <w:p>
      <w:pPr>
        <w:pBdr>
          <w:bottom w:val="single" w:sz="6" w:space="1" w:color="C0C0C0"/>
        </w:pBdr>
      </w:pPr>
    </w:p>
    <w:p>
      <w:pPr>
        <w:spacing w:before="240" w:after="80"/>
      </w:pPr>
      <w:r>
        <w:rPr>
          <w:b/>
          <w:color w:val="1F3864"/>
          <w:sz w:val="30"/>
        </w:rPr>
        <w:t>2. The Fed talk turned hawkish, and gold noticed</w:t>
      </w:r>
    </w:p>
    <w:p>
      <w:r>
        <w:t>Under the good tape, the rate story got less friendly. The loudest Fed chatter this week was about Kevin Warsh and a "plan for higher rates," the idea that the next Fed is more likely to keep policy tight than to ease into it. Gold hit an annual low on that bet, with sticky inflation cited as the weight. CPI is still running at 4.2% year over year, and the Fed-funds target sits at 3.63% at the upper bound.</w:t>
      </w:r>
    </w:p>
    <w:p>
      <w:r>
        <w:t>Our rates data is as of June 25 and hasn't refreshed, so I'll flag that rather than pretend it's live: the 10-year was 4.4% (down 6bp), the 2-year 4.09% (down 10bp), and the 2s10s spread a positive, healthy 31bp. A normal upward-sloping curve, in other words, even as the hawks get louder.</w:t>
      </w:r>
    </w:p>
    <w:p>
      <w:r>
        <w:t>The tension is the same one I've been pointing at, just sharper. A bond market with a steepening curve is telling you growth holds and policy stays roughly put. The Warsh crowd and a gold price at annual lows are telling you the risk is a hike. Both can't be right for long. If yields back up, the groups that lead on cheap money get hit first, and this week that would mean the software and payments names now doing the leading.</w:t>
      </w:r>
    </w:p>
    <w:p>
      <w:pPr>
        <w:pBdr>
          <w:bottom w:val="single" w:sz="6" w:space="1" w:color="C0C0C0"/>
        </w:pBdr>
      </w:pPr>
    </w:p>
    <w:p>
      <w:pPr>
        <w:spacing w:before="240" w:after="80"/>
      </w:pPr>
      <w:r>
        <w:rPr>
          <w:b/>
          <w:color w:val="1F3864"/>
          <w:sz w:val="30"/>
        </w:rPr>
        <w:t>3. Hormuz stayed in the headlines; tariffs came back</w:t>
      </w:r>
    </w:p>
    <w:p>
      <w:r>
        <w:t>The geopolitics feed was dominated by Iran again: US ship strikes, pressure applied through the Strait of Hormuz and Lebanon, and US and Iranian representatives both heading to Qatar with conflicting accounts of whether the talks are real. The relevant fact for your money is that the market didn't flinch. The VIX closed at 15.81, well inside calm territory, which tells you traders are treating the Gulf noise as noise, not as a supply shock.</w:t>
      </w:r>
    </w:p>
    <w:p>
      <w:r>
        <w:t>The trade file got busier. The reporting centered on Trump threatening tariffs over Europe's digital tax, the EU extending its waiver on US aircraft and parts, and the EU opening a three-month window of talks with China over a €360 billion deficit. None of it moved the tape this week, but it's the kind of slow-building tax-and-supply risk that sits in the bear case rather than the headlines. Worth keeping filed.</w:t>
      </w:r>
    </w:p>
    <w:p>
      <w:pPr>
        <w:pBdr>
          <w:bottom w:val="single" w:sz="6" w:space="1" w:color="C0C0C0"/>
        </w:pBdr>
      </w:pPr>
    </w:p>
    <w:p>
      <w:pPr>
        <w:spacing w:before="240" w:after="80"/>
      </w:pPr>
      <w:r>
        <w:rPr>
          <w:b/>
          <w:color w:val="1F3864"/>
          <w:sz w:val="30"/>
        </w:rPr>
        <w:t>4. Rotation: hospitals and software in, builders out</w:t>
      </w:r>
    </w:p>
    <w:p>
      <w:r>
        <w:t>The clearest picture of where money moved is the rotation map. Health Care Technology surged from #85 to #36 and Health Care Facilities from #91 to #43, both now Leading. Publishing improved from #103 to #54. On the other side, Engineering and Construction fell from #61 to #110 and turned Lagging. The builders got left behind while the rest of the room filled up.</w:t>
      </w:r>
    </w:p>
    <w:p>
      <w:r>
        <w:t>Health care carried the week: 8 of the top 25 weekly climbers were health-care names. Acadia Healthcare jumped 759 spots, ImmunityBio 678, Xenon 569, Addus 525, Halozyme 497. Software and IT put up 7 of the top 25, led by Tenable rocketing from #550 to #57. Financials chipped in 5, with Goosehead Insurance up 621 and Palomar up 547.</w:t>
      </w:r>
    </w:p>
    <w:p>
      <w:r>
        <w:t>One disagreement is worth sitting with. Financials are climbing our board, yet Oppenheimer spent the week downgrading the big banks. Bank of America, Citigroup, Goldman Sachs, and Morgan Stanley all got cut, with Morgan Stanley marked for 5% downside. Truist took two downgrades in one week. When the Street is fading a group your rankings still like, that gap is the thing to watch: either the analysts are early to a top, or the rank climb is telling you they're behind the tape. The paper strategy in section 9 is betting on the second, heavily. I'd hold that view loosely.</w:t>
      </w:r>
    </w:p>
    <w:p>
      <w:r>
        <w:t>A note on the week's biggest single-stock move. Mueller Industries fell 56% on the week, tied in the reporting to an index exit and a material-event filing. A drop that size in a steady industrial usually reflects a corporate action rather than a business collapse, but I don't have the cause in the data, so I won't invent one. Treat the raw number with that caveat.</w:t>
      </w:r>
    </w:p>
    <w:p>
      <w:pPr>
        <w:pBdr>
          <w:bottom w:val="single" w:sz="6" w:space="1" w:color="C0C0C0"/>
        </w:pBdr>
      </w:pPr>
    </w:p>
    <w:p>
      <w:pPr>
        <w:spacing w:before="240" w:after="80"/>
      </w:pPr>
      <w:r>
        <w:rPr>
          <w:b/>
          <w:color w:val="1F3864"/>
          <w:sz w:val="30"/>
        </w:rPr>
        <w:t>5. Theme of the week: copper, and why the chokepoint is empty</w:t>
      </w:r>
    </w:p>
    <w:p>
      <w:r>
        <w:t>This week's teaching spotlight is Copper and Critical Minerals, the picks-and-shovels of everything electric. Our platform maps value-chain themes that cover only part of the 1,900-stock universe, so this is a lesson in how the chain works, not a coverage claim and not a rotation call.</w:t>
      </w:r>
    </w:p>
    <w:p>
      <w:r>
        <w:t>Picture the chain in four links. At the bottom are the copper miners who dig the metal out of the ground (Freeport, Southern Copper, Ero, Teck). Above them sit the diversified giants who mine everything (BHP, Rio, Vale). Off to the side are the rare-earth and magnet suppliers whose materials modern motors and datacenters can't run without (MP, USA Rare Earth). And at the top sit the royalty financiers (Franco-Nevada, Royal Gold, Wheaton), who don't dig anything themselves. They hand a miner cash up front in exchange for a permanent cut of future production. Think of a royalty company as the toll booth on the mine: it takes a slice of every ounce that comes out, without ever running a shovel or paying a fuel bill.</w:t>
      </w:r>
    </w:p>
    <w:p>
      <w:r>
        <w:t>In a normal cycle, when metal demand runs hot, money flows to whichever link is the bottleneck, and the royalty toll booths tend to hold up best because they carry the least operating risk. This week, there is no hot link. The whole theme is cooling, with median member momentum down to 10 out of 100 from 14 a week ago. The royalty link is the "hottest," but only in the sense of least cold, at 19 out of 100. Look at the standout: Royal Gold is the relative leader of the group and it ranks #1,783 of about 1,900 on our board. When your leader sits near the bottom of the whole market, the group isn't leading anything.</w:t>
      </w:r>
    </w:p>
    <w:p>
      <w:r>
        <w:t>That lines up with the macro. Gold hit an annual low this week on rate-hike bets, and higher-for-longer rates raise the cost of holding metals that pay you nothing. The one name that screens interesting on fundamentals is Ero Copper, cheapest of the group on growth-adjusted sales at a price-to-sales of 3.0 against 110% revenue growth. That's a screen, not a recommendation, and a cheap stock in a weak chain is still swimming against the current. The lesson this week is the discipline itself: a theme can be structurally important to the future and still be a bad place to put money today. Respect the trend in front of you, and the trend in copper is down.</w:t>
      </w:r>
    </w:p>
    <w:p>
      <w:pPr>
        <w:pBdr>
          <w:bottom w:val="single" w:sz="6" w:space="1" w:color="C0C0C0"/>
        </w:pBdr>
      </w:pPr>
    </w:p>
    <w:p>
      <w:pPr>
        <w:spacing w:before="240" w:after="80"/>
      </w:pPr>
      <w:r>
        <w:rPr>
          <w:b/>
          <w:color w:val="1F3864"/>
          <w:sz w:val="30"/>
        </w:rPr>
        <w:t>6. Where the money is going</w:t>
      </w:r>
    </w:p>
    <w:p>
      <w:r>
        <w:t>The RS board, top to bottom. The left table is the strongest names we track; the right is the biggest one-week rank jumps.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w:t>
            </w:r>
          </w:p>
        </w:tc>
        <w:tc>
          <w:tcPr>
            <w:tcW w:type="dxa" w:w="3216"/>
            <w:shd w:val="clear" w:fill="1F3864"/>
          </w:tcPr>
          <w:p>
            <w:r>
              <w:rPr>
                <w:b/>
                <w:color w:val="FFFFFF"/>
                <w:sz w:val="19"/>
              </w:rPr>
              <w:t>Strongest (RS)</w:t>
            </w:r>
          </w:p>
        </w:tc>
        <w:tc>
          <w:tcPr>
            <w:tcW w:type="dxa" w:w="3216"/>
            <w:shd w:val="clear" w:fill="1F3864"/>
          </w:tcPr>
          <w:p>
            <w:r>
              <w:rPr>
                <w:b/>
                <w:color w:val="FFFFFF"/>
                <w:sz w:val="19"/>
              </w:rPr>
              <w:t>Industry</w:t>
            </w:r>
          </w:p>
        </w:tc>
      </w:tr>
      <w:tr>
        <w:tc>
          <w:tcPr>
            <w:tcW w:type="dxa" w:w="3216"/>
          </w:tcPr>
          <w:p>
            <w:r>
              <w:rPr>
                <w:sz w:val="19"/>
              </w:rPr>
              <w:t>1</w:t>
            </w:r>
          </w:p>
        </w:tc>
        <w:tc>
          <w:tcPr>
            <w:tcW w:type="dxa" w:w="3216"/>
          </w:tcPr>
          <w:p>
            <w:r>
              <w:rPr>
                <w:sz w:val="19"/>
              </w:rPr>
              <w:t>ENVA</w:t>
            </w:r>
          </w:p>
        </w:tc>
        <w:tc>
          <w:tcPr>
            <w:tcW w:type="dxa" w:w="3216"/>
          </w:tcPr>
          <w:p>
            <w:r>
              <w:rPr>
                <w:sz w:val="19"/>
              </w:rPr>
              <w:t>Consumer Finance</w:t>
            </w:r>
          </w:p>
        </w:tc>
      </w:tr>
      <w:tr>
        <w:tc>
          <w:tcPr>
            <w:tcW w:type="dxa" w:w="3216"/>
            <w:shd w:val="clear" w:fill="EEF1F7"/>
          </w:tcPr>
          <w:p>
            <w:r>
              <w:rPr>
                <w:sz w:val="19"/>
              </w:rPr>
              <w:t>2</w:t>
            </w:r>
          </w:p>
        </w:tc>
        <w:tc>
          <w:tcPr>
            <w:tcW w:type="dxa" w:w="3216"/>
            <w:shd w:val="clear" w:fill="EEF1F7"/>
          </w:tcPr>
          <w:p>
            <w:r>
              <w:rPr>
                <w:sz w:val="19"/>
              </w:rPr>
              <w:t>PRSU</w:t>
            </w:r>
          </w:p>
        </w:tc>
        <w:tc>
          <w:tcPr>
            <w:tcW w:type="dxa" w:w="3216"/>
            <w:shd w:val="clear" w:fill="EEF1F7"/>
          </w:tcPr>
          <w:p>
            <w:r>
              <w:rPr>
                <w:sz w:val="19"/>
              </w:rPr>
              <w:t>Hotels, Resorts &amp; Cruise Lines</w:t>
            </w:r>
          </w:p>
        </w:tc>
      </w:tr>
      <w:tr>
        <w:tc>
          <w:tcPr>
            <w:tcW w:type="dxa" w:w="3216"/>
          </w:tcPr>
          <w:p>
            <w:r>
              <w:rPr>
                <w:sz w:val="19"/>
              </w:rPr>
              <w:t>5</w:t>
            </w:r>
          </w:p>
        </w:tc>
        <w:tc>
          <w:tcPr>
            <w:tcW w:type="dxa" w:w="3216"/>
          </w:tcPr>
          <w:p>
            <w:r>
              <w:rPr>
                <w:sz w:val="19"/>
              </w:rPr>
              <w:t>LFST</w:t>
            </w:r>
          </w:p>
        </w:tc>
        <w:tc>
          <w:tcPr>
            <w:tcW w:type="dxa" w:w="3216"/>
          </w:tcPr>
          <w:p>
            <w:r>
              <w:rPr>
                <w:sz w:val="19"/>
              </w:rPr>
              <w:t>Health Care Services</w:t>
            </w:r>
          </w:p>
        </w:tc>
      </w:tr>
      <w:tr>
        <w:tc>
          <w:tcPr>
            <w:tcW w:type="dxa" w:w="3216"/>
            <w:shd w:val="clear" w:fill="EEF1F7"/>
          </w:tcPr>
          <w:p>
            <w:r>
              <w:rPr>
                <w:sz w:val="19"/>
              </w:rPr>
              <w:t>6</w:t>
            </w:r>
          </w:p>
        </w:tc>
        <w:tc>
          <w:tcPr>
            <w:tcW w:type="dxa" w:w="3216"/>
            <w:shd w:val="clear" w:fill="EEF1F7"/>
          </w:tcPr>
          <w:p>
            <w:r>
              <w:rPr>
                <w:sz w:val="19"/>
              </w:rPr>
              <w:t>SEZL</w:t>
            </w:r>
          </w:p>
        </w:tc>
        <w:tc>
          <w:tcPr>
            <w:tcW w:type="dxa" w:w="3216"/>
            <w:shd w:val="clear" w:fill="EEF1F7"/>
          </w:tcPr>
          <w:p>
            <w:r>
              <w:rPr>
                <w:sz w:val="19"/>
              </w:rPr>
              <w:t>Transaction &amp; Payment Processing</w:t>
            </w:r>
          </w:p>
        </w:tc>
      </w:tr>
      <w:tr>
        <w:tc>
          <w:tcPr>
            <w:tcW w:type="dxa" w:w="3216"/>
          </w:tcPr>
          <w:p>
            <w:r>
              <w:rPr>
                <w:sz w:val="19"/>
              </w:rPr>
              <w:t>7</w:t>
            </w:r>
          </w:p>
        </w:tc>
        <w:tc>
          <w:tcPr>
            <w:tcW w:type="dxa" w:w="3216"/>
          </w:tcPr>
          <w:p>
            <w:r>
              <w:rPr>
                <w:sz w:val="19"/>
              </w:rPr>
              <w:t>CRS</w:t>
            </w:r>
          </w:p>
        </w:tc>
        <w:tc>
          <w:tcPr>
            <w:tcW w:type="dxa" w:w="3216"/>
          </w:tcPr>
          <w:p>
            <w:r>
              <w:rPr>
                <w:sz w:val="19"/>
              </w:rPr>
              <w:t>Industrial Machinery</w:t>
            </w:r>
          </w:p>
        </w:tc>
      </w:tr>
      <w:tr>
        <w:tc>
          <w:tcPr>
            <w:tcW w:type="dxa" w:w="3216"/>
            <w:shd w:val="clear" w:fill="EEF1F7"/>
          </w:tcPr>
          <w:p>
            <w:r>
              <w:rPr>
                <w:sz w:val="19"/>
              </w:rPr>
              <w:t>8</w:t>
            </w:r>
          </w:p>
        </w:tc>
        <w:tc>
          <w:tcPr>
            <w:tcW w:type="dxa" w:w="3216"/>
            <w:shd w:val="clear" w:fill="EEF1F7"/>
          </w:tcPr>
          <w:p>
            <w:r>
              <w:rPr>
                <w:sz w:val="19"/>
              </w:rPr>
              <w:t>NEO</w:t>
            </w:r>
          </w:p>
        </w:tc>
        <w:tc>
          <w:tcPr>
            <w:tcW w:type="dxa" w:w="3216"/>
            <w:shd w:val="clear" w:fill="EEF1F7"/>
          </w:tcPr>
          <w:p>
            <w:r>
              <w:rPr>
                <w:sz w:val="19"/>
              </w:rPr>
              <w:t>Health Care Services</w:t>
            </w:r>
          </w:p>
        </w:tc>
      </w:tr>
      <w:tr>
        <w:tc>
          <w:tcPr>
            <w:tcW w:type="dxa" w:w="3216"/>
          </w:tcPr>
          <w:p>
            <w:r>
              <w:rPr>
                <w:sz w:val="19"/>
              </w:rPr>
              <w:t>9</w:t>
            </w:r>
          </w:p>
        </w:tc>
        <w:tc>
          <w:tcPr>
            <w:tcW w:type="dxa" w:w="3216"/>
          </w:tcPr>
          <w:p>
            <w:r>
              <w:rPr>
                <w:sz w:val="19"/>
              </w:rPr>
              <w:t>CORT</w:t>
            </w:r>
          </w:p>
        </w:tc>
        <w:tc>
          <w:tcPr>
            <w:tcW w:type="dxa" w:w="3216"/>
          </w:tcPr>
          <w:p>
            <w:r>
              <w:rPr>
                <w:sz w:val="19"/>
              </w:rPr>
              <w:t>Pharmaceuticals</w:t>
            </w:r>
          </w:p>
        </w:tc>
      </w:tr>
      <w:tr>
        <w:tc>
          <w:tcPr>
            <w:tcW w:type="dxa" w:w="3216"/>
            <w:shd w:val="clear" w:fill="EEF1F7"/>
          </w:tcPr>
          <w:p>
            <w:r>
              <w:rPr>
                <w:sz w:val="19"/>
              </w:rPr>
              <w:t>14</w:t>
            </w:r>
          </w:p>
        </w:tc>
        <w:tc>
          <w:tcPr>
            <w:tcW w:type="dxa" w:w="3216"/>
            <w:shd w:val="clear" w:fill="EEF1F7"/>
          </w:tcPr>
          <w:p>
            <w:r>
              <w:rPr>
                <w:sz w:val="19"/>
              </w:rPr>
              <w:t>QLYS</w:t>
            </w:r>
          </w:p>
        </w:tc>
        <w:tc>
          <w:tcPr>
            <w:tcW w:type="dxa" w:w="3216"/>
            <w:shd w:val="clear" w:fill="EEF1F7"/>
          </w:tcPr>
          <w:p>
            <w:r>
              <w:rPr>
                <w:sz w:val="19"/>
              </w:rPr>
              <w:t>Systems Software</w:t>
            </w:r>
          </w:p>
        </w:tc>
      </w:tr>
      <w:tr>
        <w:tc>
          <w:tcPr>
            <w:tcW w:type="dxa" w:w="3216"/>
          </w:tcPr>
          <w:p>
            <w:r>
              <w:rPr>
                <w:sz w:val="19"/>
              </w:rPr>
              <w:t>17</w:t>
            </w:r>
          </w:p>
        </w:tc>
        <w:tc>
          <w:tcPr>
            <w:tcW w:type="dxa" w:w="3216"/>
          </w:tcPr>
          <w:p>
            <w:r>
              <w:rPr>
                <w:sz w:val="19"/>
              </w:rPr>
              <w:t>AAL</w:t>
            </w:r>
          </w:p>
        </w:tc>
        <w:tc>
          <w:tcPr>
            <w:tcW w:type="dxa" w:w="3216"/>
          </w:tcPr>
          <w:p>
            <w:r>
              <w:rPr>
                <w:sz w:val="19"/>
              </w:rPr>
              <w:t>Passenger Airlines</w:t>
            </w:r>
          </w:p>
        </w:tc>
      </w:tr>
      <w:tr>
        <w:tc>
          <w:tcPr>
            <w:tcW w:type="dxa" w:w="3216"/>
            <w:shd w:val="clear" w:fill="EEF1F7"/>
          </w:tcPr>
          <w:p>
            <w:r>
              <w:rPr>
                <w:sz w:val="19"/>
              </w:rPr>
              <w:t>19</w:t>
            </w:r>
          </w:p>
        </w:tc>
        <w:tc>
          <w:tcPr>
            <w:tcW w:type="dxa" w:w="3216"/>
            <w:shd w:val="clear" w:fill="EEF1F7"/>
          </w:tcPr>
          <w:p>
            <w:r>
              <w:rPr>
                <w:sz w:val="19"/>
              </w:rPr>
              <w:t>PANW</w:t>
            </w:r>
          </w:p>
        </w:tc>
        <w:tc>
          <w:tcPr>
            <w:tcW w:type="dxa" w:w="3216"/>
            <w:shd w:val="clear" w:fill="EEF1F7"/>
          </w:tcPr>
          <w:p>
            <w:r>
              <w:rPr>
                <w:sz w:val="19"/>
              </w:rPr>
              <w:t>Systems Software</w:t>
            </w:r>
          </w:p>
        </w:tc>
      </w:tr>
    </w:tbl>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Climber</w:t>
            </w:r>
          </w:p>
        </w:tc>
        <w:tc>
          <w:tcPr>
            <w:tcW w:type="dxa" w:w="2412"/>
            <w:shd w:val="clear" w:fill="1F3864"/>
          </w:tcPr>
          <w:p>
            <w:r>
              <w:rPr>
                <w:b/>
                <w:color w:val="FFFFFF"/>
                <w:sz w:val="19"/>
              </w:rPr>
              <w:t>Sector</w:t>
            </w:r>
          </w:p>
        </w:tc>
        <w:tc>
          <w:tcPr>
            <w:tcW w:type="dxa" w:w="2412"/>
            <w:shd w:val="clear" w:fill="1F3864"/>
          </w:tcPr>
          <w:p>
            <w:r>
              <w:rPr>
                <w:b/>
                <w:color w:val="FFFFFF"/>
                <w:sz w:val="19"/>
              </w:rPr>
              <w:t>Rank: was → now</w:t>
            </w:r>
          </w:p>
        </w:tc>
        <w:tc>
          <w:tcPr>
            <w:tcW w:type="dxa" w:w="2412"/>
            <w:shd w:val="clear" w:fill="1F3864"/>
          </w:tcPr>
          <w:p>
            <w:r>
              <w:rPr>
                <w:b/>
                <w:color w:val="FFFFFF"/>
                <w:sz w:val="19"/>
              </w:rPr>
              <w:t>Jump</w:t>
            </w:r>
          </w:p>
        </w:tc>
      </w:tr>
      <w:tr>
        <w:tc>
          <w:tcPr>
            <w:tcW w:type="dxa" w:w="2412"/>
          </w:tcPr>
          <w:p>
            <w:r>
              <w:rPr>
                <w:sz w:val="19"/>
              </w:rPr>
              <w:t>AXON</w:t>
            </w:r>
          </w:p>
        </w:tc>
        <w:tc>
          <w:tcPr>
            <w:tcW w:type="dxa" w:w="2412"/>
          </w:tcPr>
          <w:p>
            <w:r>
              <w:rPr>
                <w:sz w:val="19"/>
              </w:rPr>
              <w:t>Industrials</w:t>
            </w:r>
          </w:p>
        </w:tc>
        <w:tc>
          <w:tcPr>
            <w:tcW w:type="dxa" w:w="2412"/>
          </w:tcPr>
          <w:p>
            <w:r>
              <w:rPr>
                <w:sz w:val="19"/>
              </w:rPr>
              <w:t>1087 → 236</w:t>
            </w:r>
          </w:p>
        </w:tc>
        <w:tc>
          <w:tcPr>
            <w:tcW w:type="dxa" w:w="2412"/>
          </w:tcPr>
          <w:p>
            <w:r>
              <w:rPr>
                <w:sz w:val="19"/>
              </w:rPr>
              <w:t>+851</w:t>
            </w:r>
          </w:p>
        </w:tc>
      </w:tr>
      <w:tr>
        <w:tc>
          <w:tcPr>
            <w:tcW w:type="dxa" w:w="2412"/>
            <w:shd w:val="clear" w:fill="EEF1F7"/>
          </w:tcPr>
          <w:p>
            <w:r>
              <w:rPr>
                <w:sz w:val="19"/>
              </w:rPr>
              <w:t>ACHC</w:t>
            </w:r>
          </w:p>
        </w:tc>
        <w:tc>
          <w:tcPr>
            <w:tcW w:type="dxa" w:w="2412"/>
            <w:shd w:val="clear" w:fill="EEF1F7"/>
          </w:tcPr>
          <w:p>
            <w:r>
              <w:rPr>
                <w:sz w:val="19"/>
              </w:rPr>
              <w:t>Health Care</w:t>
            </w:r>
          </w:p>
        </w:tc>
        <w:tc>
          <w:tcPr>
            <w:tcW w:type="dxa" w:w="2412"/>
            <w:shd w:val="clear" w:fill="EEF1F7"/>
          </w:tcPr>
          <w:p>
            <w:r>
              <w:rPr>
                <w:sz w:val="19"/>
              </w:rPr>
              <w:t>1021 → 262</w:t>
            </w:r>
          </w:p>
        </w:tc>
        <w:tc>
          <w:tcPr>
            <w:tcW w:type="dxa" w:w="2412"/>
            <w:shd w:val="clear" w:fill="EEF1F7"/>
          </w:tcPr>
          <w:p>
            <w:r>
              <w:rPr>
                <w:sz w:val="19"/>
              </w:rPr>
              <w:t>+759</w:t>
            </w:r>
          </w:p>
        </w:tc>
      </w:tr>
      <w:tr>
        <w:tc>
          <w:tcPr>
            <w:tcW w:type="dxa" w:w="2412"/>
          </w:tcPr>
          <w:p>
            <w:r>
              <w:rPr>
                <w:sz w:val="19"/>
              </w:rPr>
              <w:t>CARG</w:t>
            </w:r>
          </w:p>
        </w:tc>
        <w:tc>
          <w:tcPr>
            <w:tcW w:type="dxa" w:w="2412"/>
          </w:tcPr>
          <w:p>
            <w:r>
              <w:rPr>
                <w:sz w:val="19"/>
              </w:rPr>
              <w:t>Comm. Services</w:t>
            </w:r>
          </w:p>
        </w:tc>
        <w:tc>
          <w:tcPr>
            <w:tcW w:type="dxa" w:w="2412"/>
          </w:tcPr>
          <w:p>
            <w:r>
              <w:rPr>
                <w:sz w:val="19"/>
              </w:rPr>
              <w:t>1003 → 297</w:t>
            </w:r>
          </w:p>
        </w:tc>
        <w:tc>
          <w:tcPr>
            <w:tcW w:type="dxa" w:w="2412"/>
          </w:tcPr>
          <w:p>
            <w:r>
              <w:rPr>
                <w:sz w:val="19"/>
              </w:rPr>
              <w:t>+706</w:t>
            </w:r>
          </w:p>
        </w:tc>
      </w:tr>
      <w:tr>
        <w:tc>
          <w:tcPr>
            <w:tcW w:type="dxa" w:w="2412"/>
            <w:shd w:val="clear" w:fill="EEF1F7"/>
          </w:tcPr>
          <w:p>
            <w:r>
              <w:rPr>
                <w:sz w:val="19"/>
              </w:rPr>
              <w:t>IBRX</w:t>
            </w:r>
          </w:p>
        </w:tc>
        <w:tc>
          <w:tcPr>
            <w:tcW w:type="dxa" w:w="2412"/>
            <w:shd w:val="clear" w:fill="EEF1F7"/>
          </w:tcPr>
          <w:p>
            <w:r>
              <w:rPr>
                <w:sz w:val="19"/>
              </w:rPr>
              <w:t>Health Care</w:t>
            </w:r>
          </w:p>
        </w:tc>
        <w:tc>
          <w:tcPr>
            <w:tcW w:type="dxa" w:w="2412"/>
            <w:shd w:val="clear" w:fill="EEF1F7"/>
          </w:tcPr>
          <w:p>
            <w:r>
              <w:rPr>
                <w:sz w:val="19"/>
              </w:rPr>
              <w:t>1032 → 354</w:t>
            </w:r>
          </w:p>
        </w:tc>
        <w:tc>
          <w:tcPr>
            <w:tcW w:type="dxa" w:w="2412"/>
            <w:shd w:val="clear" w:fill="EEF1F7"/>
          </w:tcPr>
          <w:p>
            <w:r>
              <w:rPr>
                <w:sz w:val="19"/>
              </w:rPr>
              <w:t>+678</w:t>
            </w:r>
          </w:p>
        </w:tc>
      </w:tr>
      <w:tr>
        <w:tc>
          <w:tcPr>
            <w:tcW w:type="dxa" w:w="2412"/>
          </w:tcPr>
          <w:p>
            <w:r>
              <w:rPr>
                <w:sz w:val="19"/>
              </w:rPr>
              <w:t>DLO</w:t>
            </w:r>
          </w:p>
        </w:tc>
        <w:tc>
          <w:tcPr>
            <w:tcW w:type="dxa" w:w="2412"/>
          </w:tcPr>
          <w:p>
            <w:r>
              <w:rPr>
                <w:sz w:val="19"/>
              </w:rPr>
              <w:t>Info Tech</w:t>
            </w:r>
          </w:p>
        </w:tc>
        <w:tc>
          <w:tcPr>
            <w:tcW w:type="dxa" w:w="2412"/>
          </w:tcPr>
          <w:p>
            <w:r>
              <w:rPr>
                <w:sz w:val="19"/>
              </w:rPr>
              <w:t>1053 → 378</w:t>
            </w:r>
          </w:p>
        </w:tc>
        <w:tc>
          <w:tcPr>
            <w:tcW w:type="dxa" w:w="2412"/>
          </w:tcPr>
          <w:p>
            <w:r>
              <w:rPr>
                <w:sz w:val="19"/>
              </w:rPr>
              <w:t>+675</w:t>
            </w:r>
          </w:p>
        </w:tc>
      </w:tr>
      <w:tr>
        <w:tc>
          <w:tcPr>
            <w:tcW w:type="dxa" w:w="2412"/>
            <w:shd w:val="clear" w:fill="EEF1F7"/>
          </w:tcPr>
          <w:p>
            <w:r>
              <w:rPr>
                <w:sz w:val="19"/>
              </w:rPr>
              <w:t>GSHD</w:t>
            </w:r>
          </w:p>
        </w:tc>
        <w:tc>
          <w:tcPr>
            <w:tcW w:type="dxa" w:w="2412"/>
            <w:shd w:val="clear" w:fill="EEF1F7"/>
          </w:tcPr>
          <w:p>
            <w:r>
              <w:rPr>
                <w:sz w:val="19"/>
              </w:rPr>
              <w:t>Financials</w:t>
            </w:r>
          </w:p>
        </w:tc>
        <w:tc>
          <w:tcPr>
            <w:tcW w:type="dxa" w:w="2412"/>
            <w:shd w:val="clear" w:fill="EEF1F7"/>
          </w:tcPr>
          <w:p>
            <w:r>
              <w:rPr>
                <w:sz w:val="19"/>
              </w:rPr>
              <w:t>913 → 292</w:t>
            </w:r>
          </w:p>
        </w:tc>
        <w:tc>
          <w:tcPr>
            <w:tcW w:type="dxa" w:w="2412"/>
            <w:shd w:val="clear" w:fill="EEF1F7"/>
          </w:tcPr>
          <w:p>
            <w:r>
              <w:rPr>
                <w:sz w:val="19"/>
              </w:rPr>
              <w:t>+621</w:t>
            </w:r>
          </w:p>
        </w:tc>
      </w:tr>
      <w:tr>
        <w:tc>
          <w:tcPr>
            <w:tcW w:type="dxa" w:w="2412"/>
          </w:tcPr>
          <w:p>
            <w:r>
              <w:rPr>
                <w:sz w:val="19"/>
              </w:rPr>
              <w:t>XENE</w:t>
            </w:r>
          </w:p>
        </w:tc>
        <w:tc>
          <w:tcPr>
            <w:tcW w:type="dxa" w:w="2412"/>
          </w:tcPr>
          <w:p>
            <w:r>
              <w:rPr>
                <w:sz w:val="19"/>
              </w:rPr>
              <w:t>Health Care</w:t>
            </w:r>
          </w:p>
        </w:tc>
        <w:tc>
          <w:tcPr>
            <w:tcW w:type="dxa" w:w="2412"/>
          </w:tcPr>
          <w:p>
            <w:r>
              <w:rPr>
                <w:sz w:val="19"/>
              </w:rPr>
              <w:t>840 → 271</w:t>
            </w:r>
          </w:p>
        </w:tc>
        <w:tc>
          <w:tcPr>
            <w:tcW w:type="dxa" w:w="2412"/>
          </w:tcPr>
          <w:p>
            <w:r>
              <w:rPr>
                <w:sz w:val="19"/>
              </w:rPr>
              <w:t>+569</w:t>
            </w:r>
          </w:p>
        </w:tc>
      </w:tr>
      <w:tr>
        <w:tc>
          <w:tcPr>
            <w:tcW w:type="dxa" w:w="2412"/>
            <w:shd w:val="clear" w:fill="EEF1F7"/>
          </w:tcPr>
          <w:p>
            <w:r>
              <w:rPr>
                <w:sz w:val="19"/>
              </w:rPr>
              <w:t>GRPN</w:t>
            </w:r>
          </w:p>
        </w:tc>
        <w:tc>
          <w:tcPr>
            <w:tcW w:type="dxa" w:w="2412"/>
            <w:shd w:val="clear" w:fill="EEF1F7"/>
          </w:tcPr>
          <w:p>
            <w:r>
              <w:rPr>
                <w:sz w:val="19"/>
              </w:rPr>
              <w:t>Comm. Services</w:t>
            </w:r>
          </w:p>
        </w:tc>
        <w:tc>
          <w:tcPr>
            <w:tcW w:type="dxa" w:w="2412"/>
            <w:shd w:val="clear" w:fill="EEF1F7"/>
          </w:tcPr>
          <w:p>
            <w:r>
              <w:rPr>
                <w:sz w:val="19"/>
              </w:rPr>
              <w:t>706 → 148</w:t>
            </w:r>
          </w:p>
        </w:tc>
        <w:tc>
          <w:tcPr>
            <w:tcW w:type="dxa" w:w="2412"/>
            <w:shd w:val="clear" w:fill="EEF1F7"/>
          </w:tcPr>
          <w:p>
            <w:r>
              <w:rPr>
                <w:sz w:val="19"/>
              </w:rPr>
              <w:t>+558</w:t>
            </w:r>
          </w:p>
        </w:tc>
      </w:tr>
      <w:tr>
        <w:tc>
          <w:tcPr>
            <w:tcW w:type="dxa" w:w="2412"/>
          </w:tcPr>
          <w:p>
            <w:r>
              <w:rPr>
                <w:sz w:val="19"/>
              </w:rPr>
              <w:t>PLMR</w:t>
            </w:r>
          </w:p>
        </w:tc>
        <w:tc>
          <w:tcPr>
            <w:tcW w:type="dxa" w:w="2412"/>
          </w:tcPr>
          <w:p>
            <w:r>
              <w:rPr>
                <w:sz w:val="19"/>
              </w:rPr>
              <w:t>Financials</w:t>
            </w:r>
          </w:p>
        </w:tc>
        <w:tc>
          <w:tcPr>
            <w:tcW w:type="dxa" w:w="2412"/>
          </w:tcPr>
          <w:p>
            <w:r>
              <w:rPr>
                <w:sz w:val="19"/>
              </w:rPr>
              <w:t>887 → 340</w:t>
            </w:r>
          </w:p>
        </w:tc>
        <w:tc>
          <w:tcPr>
            <w:tcW w:type="dxa" w:w="2412"/>
          </w:tcPr>
          <w:p>
            <w:r>
              <w:rPr>
                <w:sz w:val="19"/>
              </w:rPr>
              <w:t>+547</w:t>
            </w:r>
          </w:p>
        </w:tc>
      </w:tr>
      <w:tr>
        <w:tc>
          <w:tcPr>
            <w:tcW w:type="dxa" w:w="2412"/>
            <w:shd w:val="clear" w:fill="EEF1F7"/>
          </w:tcPr>
          <w:p>
            <w:r>
              <w:rPr>
                <w:sz w:val="19"/>
              </w:rPr>
              <w:t>TENB</w:t>
            </w:r>
          </w:p>
        </w:tc>
        <w:tc>
          <w:tcPr>
            <w:tcW w:type="dxa" w:w="2412"/>
            <w:shd w:val="clear" w:fill="EEF1F7"/>
          </w:tcPr>
          <w:p>
            <w:r>
              <w:rPr>
                <w:sz w:val="19"/>
              </w:rPr>
              <w:t>Info Tech</w:t>
            </w:r>
          </w:p>
        </w:tc>
        <w:tc>
          <w:tcPr>
            <w:tcW w:type="dxa" w:w="2412"/>
            <w:shd w:val="clear" w:fill="EEF1F7"/>
          </w:tcPr>
          <w:p>
            <w:r>
              <w:rPr>
                <w:sz w:val="19"/>
              </w:rPr>
              <w:t>550 → 57</w:t>
            </w:r>
          </w:p>
        </w:tc>
        <w:tc>
          <w:tcPr>
            <w:tcW w:type="dxa" w:w="2412"/>
            <w:shd w:val="clear" w:fill="EEF1F7"/>
          </w:tcPr>
          <w:p>
            <w:r>
              <w:rPr>
                <w:sz w:val="19"/>
              </w:rPr>
              <w:t>+493</w:t>
            </w:r>
          </w:p>
        </w:tc>
      </w:tr>
    </w:tbl>
    <w:p/>
    <w:p>
      <w:r>
        <w:t>Three clusters stand out. Health care is everywhere, top and climbers both, with hospital and lab names (Acadia, NeoGenomics, Lifestance) doing the work. Software and cybersecurity showed up as a group, Qualys at #14, Palo Alto at #19, A10 Networks at #16, Tenable rocketing to #57, even as Fortinet got downgraded to Reduce. And the strongest single stock on the whole board is Enova, a consumer-finance lender, which fits the financials climb.</w:t>
      </w:r>
    </w:p>
    <w:p>
      <w:r>
        <w:t>A word on the rocket ships. Axon jumped 851 spots and CarGurus 706, but a move that fast is speculation finding a name, not a settled trend. The discipline holds: you don't chase a stock that's already gone vertical. You wait for it to pause.</w:t>
      </w:r>
    </w:p>
    <w:p>
      <w:pPr>
        <w:pBdr>
          <w:bottom w:val="single" w:sz="6" w:space="1" w:color="C0C0C0"/>
        </w:pBdr>
      </w:pPr>
    </w:p>
    <w:p>
      <w:pPr>
        <w:spacing w:before="240" w:after="80"/>
      </w:pPr>
      <w:r>
        <w:rPr>
          <w:b/>
          <w:color w:val="1F3864"/>
          <w:sz w:val="30"/>
        </w:rPr>
        <w:t>7. A few names worth a look</w:t>
      </w:r>
    </w:p>
    <w:p>
      <w:r>
        <w:t>These passed the four filters: a strong sector, a rank that improved this week, a genuine uptrend (price above a rising 20-, 50-, and 200-day line), and not stretched, within about 10% of the 20-day, so you're not buying a rubber band at full stretch.</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w:t>
            </w:r>
          </w:p>
        </w:tc>
        <w:tc>
          <w:tcPr>
            <w:tcW w:type="dxa" w:w="1608"/>
            <w:shd w:val="clear" w:fill="1F3864"/>
          </w:tcPr>
          <w:p>
            <w:r>
              <w:rPr>
                <w:b/>
                <w:color w:val="FFFFFF"/>
                <w:sz w:val="19"/>
              </w:rPr>
              <w:t>% above 20d</w:t>
            </w:r>
          </w:p>
        </w:tc>
      </w:tr>
      <w:tr>
        <w:tc>
          <w:tcPr>
            <w:tcW w:type="dxa" w:w="1608"/>
          </w:tcPr>
          <w:p>
            <w:r>
              <w:rPr>
                <w:sz w:val="19"/>
              </w:rPr>
              <w:t>AAL</w:t>
            </w:r>
          </w:p>
        </w:tc>
        <w:tc>
          <w:tcPr>
            <w:tcW w:type="dxa" w:w="1608"/>
          </w:tcPr>
          <w:p>
            <w:r>
              <w:rPr>
                <w:sz w:val="19"/>
              </w:rPr>
              <w:t>American Airlines</w:t>
            </w:r>
          </w:p>
        </w:tc>
        <w:tc>
          <w:tcPr>
            <w:tcW w:type="dxa" w:w="1608"/>
          </w:tcPr>
          <w:p>
            <w:r>
              <w:rPr>
                <w:sz w:val="19"/>
              </w:rPr>
              <w:t>Industrials</w:t>
            </w:r>
          </w:p>
        </w:tc>
        <w:tc>
          <w:tcPr>
            <w:tcW w:type="dxa" w:w="1608"/>
          </w:tcPr>
          <w:p>
            <w:r>
              <w:rPr>
                <w:sz w:val="19"/>
              </w:rPr>
              <w:t>17 (+20)</w:t>
            </w:r>
          </w:p>
        </w:tc>
        <w:tc>
          <w:tcPr>
            <w:tcW w:type="dxa" w:w="1608"/>
          </w:tcPr>
          <w:p>
            <w:r>
              <w:rPr>
                <w:sz w:val="19"/>
              </w:rPr>
              <w:t>C</w:t>
            </w:r>
          </w:p>
        </w:tc>
        <w:tc>
          <w:tcPr>
            <w:tcW w:type="dxa" w:w="1608"/>
          </w:tcPr>
          <w:p>
            <w:r>
              <w:rPr>
                <w:sz w:val="19"/>
              </w:rPr>
              <w:t>+9.9%</w:t>
            </w:r>
          </w:p>
        </w:tc>
      </w:tr>
      <w:tr>
        <w:tc>
          <w:tcPr>
            <w:tcW w:type="dxa" w:w="1608"/>
            <w:shd w:val="clear" w:fill="EEF1F7"/>
          </w:tcPr>
          <w:p>
            <w:r>
              <w:rPr>
                <w:sz w:val="19"/>
              </w:rPr>
              <w:t>REYN</w:t>
            </w:r>
          </w:p>
        </w:tc>
        <w:tc>
          <w:tcPr>
            <w:tcW w:type="dxa" w:w="1608"/>
            <w:shd w:val="clear" w:fill="EEF1F7"/>
          </w:tcPr>
          <w:p>
            <w:r>
              <w:rPr>
                <w:sz w:val="19"/>
              </w:rPr>
              <w:t>Reynolds Consumer</w:t>
            </w:r>
          </w:p>
        </w:tc>
        <w:tc>
          <w:tcPr>
            <w:tcW w:type="dxa" w:w="1608"/>
            <w:shd w:val="clear" w:fill="EEF1F7"/>
          </w:tcPr>
          <w:p>
            <w:r>
              <w:rPr>
                <w:sz w:val="19"/>
              </w:rPr>
              <w:t>Cons. Staples</w:t>
            </w:r>
          </w:p>
        </w:tc>
        <w:tc>
          <w:tcPr>
            <w:tcW w:type="dxa" w:w="1608"/>
            <w:shd w:val="clear" w:fill="EEF1F7"/>
          </w:tcPr>
          <w:p>
            <w:r>
              <w:rPr>
                <w:sz w:val="19"/>
              </w:rPr>
              <w:t>18 (+33)</w:t>
            </w:r>
          </w:p>
        </w:tc>
        <w:tc>
          <w:tcPr>
            <w:tcW w:type="dxa" w:w="1608"/>
            <w:shd w:val="clear" w:fill="EEF1F7"/>
          </w:tcPr>
          <w:p>
            <w:r>
              <w:rPr>
                <w:sz w:val="19"/>
              </w:rPr>
              <w:t>C</w:t>
            </w:r>
          </w:p>
        </w:tc>
        <w:tc>
          <w:tcPr>
            <w:tcW w:type="dxa" w:w="1608"/>
            <w:shd w:val="clear" w:fill="EEF1F7"/>
          </w:tcPr>
          <w:p>
            <w:r>
              <w:rPr>
                <w:sz w:val="19"/>
              </w:rPr>
              <w:t>+9.1%</w:t>
            </w:r>
          </w:p>
        </w:tc>
      </w:tr>
      <w:tr>
        <w:tc>
          <w:tcPr>
            <w:tcW w:type="dxa" w:w="1608"/>
          </w:tcPr>
          <w:p>
            <w:r>
              <w:rPr>
                <w:sz w:val="19"/>
              </w:rPr>
              <w:t>HUM</w:t>
            </w:r>
          </w:p>
        </w:tc>
        <w:tc>
          <w:tcPr>
            <w:tcW w:type="dxa" w:w="1608"/>
          </w:tcPr>
          <w:p>
            <w:r>
              <w:rPr>
                <w:sz w:val="19"/>
              </w:rPr>
              <w:t>Humana</w:t>
            </w:r>
          </w:p>
        </w:tc>
        <w:tc>
          <w:tcPr>
            <w:tcW w:type="dxa" w:w="1608"/>
          </w:tcPr>
          <w:p>
            <w:r>
              <w:rPr>
                <w:sz w:val="19"/>
              </w:rPr>
              <w:t>Health Care</w:t>
            </w:r>
          </w:p>
        </w:tc>
        <w:tc>
          <w:tcPr>
            <w:tcW w:type="dxa" w:w="1608"/>
          </w:tcPr>
          <w:p>
            <w:r>
              <w:rPr>
                <w:sz w:val="19"/>
              </w:rPr>
              <w:t>32 (+28)</w:t>
            </w:r>
          </w:p>
        </w:tc>
        <w:tc>
          <w:tcPr>
            <w:tcW w:type="dxa" w:w="1608"/>
          </w:tcPr>
          <w:p>
            <w:r>
              <w:rPr>
                <w:sz w:val="19"/>
              </w:rPr>
              <w:t>C</w:t>
            </w:r>
          </w:p>
        </w:tc>
        <w:tc>
          <w:tcPr>
            <w:tcW w:type="dxa" w:w="1608"/>
          </w:tcPr>
          <w:p>
            <w:r>
              <w:rPr>
                <w:sz w:val="19"/>
              </w:rPr>
              <w:t>+8.0%</w:t>
            </w:r>
          </w:p>
        </w:tc>
      </w:tr>
      <w:tr>
        <w:tc>
          <w:tcPr>
            <w:tcW w:type="dxa" w:w="1608"/>
            <w:shd w:val="clear" w:fill="EEF1F7"/>
          </w:tcPr>
          <w:p>
            <w:r>
              <w:rPr>
                <w:sz w:val="19"/>
              </w:rPr>
              <w:t>DAL</w:t>
            </w:r>
          </w:p>
        </w:tc>
        <w:tc>
          <w:tcPr>
            <w:tcW w:type="dxa" w:w="1608"/>
            <w:shd w:val="clear" w:fill="EEF1F7"/>
          </w:tcPr>
          <w:p>
            <w:r>
              <w:rPr>
                <w:sz w:val="19"/>
              </w:rPr>
              <w:t>Delta Air Lines</w:t>
            </w:r>
          </w:p>
        </w:tc>
        <w:tc>
          <w:tcPr>
            <w:tcW w:type="dxa" w:w="1608"/>
            <w:shd w:val="clear" w:fill="EEF1F7"/>
          </w:tcPr>
          <w:p>
            <w:r>
              <w:rPr>
                <w:sz w:val="19"/>
              </w:rPr>
              <w:t>Industrials</w:t>
            </w:r>
          </w:p>
        </w:tc>
        <w:tc>
          <w:tcPr>
            <w:tcW w:type="dxa" w:w="1608"/>
            <w:shd w:val="clear" w:fill="EEF1F7"/>
          </w:tcPr>
          <w:p>
            <w:r>
              <w:rPr>
                <w:sz w:val="19"/>
              </w:rPr>
              <w:t>46 (+28)</w:t>
            </w:r>
          </w:p>
        </w:tc>
        <w:tc>
          <w:tcPr>
            <w:tcW w:type="dxa" w:w="1608"/>
            <w:shd w:val="clear" w:fill="EEF1F7"/>
          </w:tcPr>
          <w:p>
            <w:r>
              <w:rPr>
                <w:sz w:val="19"/>
              </w:rPr>
              <w:t>C</w:t>
            </w:r>
          </w:p>
        </w:tc>
        <w:tc>
          <w:tcPr>
            <w:tcW w:type="dxa" w:w="1608"/>
            <w:shd w:val="clear" w:fill="EEF1F7"/>
          </w:tcPr>
          <w:p>
            <w:r>
              <w:rPr>
                <w:sz w:val="19"/>
              </w:rPr>
              <w:t>+6.7%</w:t>
            </w:r>
          </w:p>
        </w:tc>
      </w:tr>
      <w:tr>
        <w:tc>
          <w:tcPr>
            <w:tcW w:type="dxa" w:w="1608"/>
          </w:tcPr>
          <w:p>
            <w:r>
              <w:rPr>
                <w:sz w:val="19"/>
              </w:rPr>
              <w:t>UAL</w:t>
            </w:r>
          </w:p>
        </w:tc>
        <w:tc>
          <w:tcPr>
            <w:tcW w:type="dxa" w:w="1608"/>
          </w:tcPr>
          <w:p>
            <w:r>
              <w:rPr>
                <w:sz w:val="19"/>
              </w:rPr>
              <w:t>United Airlines</w:t>
            </w:r>
          </w:p>
        </w:tc>
        <w:tc>
          <w:tcPr>
            <w:tcW w:type="dxa" w:w="1608"/>
          </w:tcPr>
          <w:p>
            <w:r>
              <w:rPr>
                <w:sz w:val="19"/>
              </w:rPr>
              <w:t>Industrials</w:t>
            </w:r>
          </w:p>
        </w:tc>
        <w:tc>
          <w:tcPr>
            <w:tcW w:type="dxa" w:w="1608"/>
          </w:tcPr>
          <w:p>
            <w:r>
              <w:rPr>
                <w:sz w:val="19"/>
              </w:rPr>
              <w:t>80 (+3)</w:t>
            </w:r>
          </w:p>
        </w:tc>
        <w:tc>
          <w:tcPr>
            <w:tcW w:type="dxa" w:w="1608"/>
          </w:tcPr>
          <w:p>
            <w:r>
              <w:rPr>
                <w:sz w:val="19"/>
              </w:rPr>
              <w:t>B</w:t>
            </w:r>
          </w:p>
        </w:tc>
        <w:tc>
          <w:tcPr>
            <w:tcW w:type="dxa" w:w="1608"/>
          </w:tcPr>
          <w:p>
            <w:r>
              <w:rPr>
                <w:sz w:val="19"/>
              </w:rPr>
              <w:t>+8.2%</w:t>
            </w:r>
          </w:p>
        </w:tc>
      </w:tr>
      <w:tr>
        <w:tc>
          <w:tcPr>
            <w:tcW w:type="dxa" w:w="1608"/>
            <w:shd w:val="clear" w:fill="EEF1F7"/>
          </w:tcPr>
          <w:p>
            <w:r>
              <w:rPr>
                <w:sz w:val="19"/>
              </w:rPr>
              <w:t>CCK</w:t>
            </w:r>
          </w:p>
        </w:tc>
        <w:tc>
          <w:tcPr>
            <w:tcW w:type="dxa" w:w="1608"/>
            <w:shd w:val="clear" w:fill="EEF1F7"/>
          </w:tcPr>
          <w:p>
            <w:r>
              <w:rPr>
                <w:sz w:val="19"/>
              </w:rPr>
              <w:t>Crown Holdings</w:t>
            </w:r>
          </w:p>
        </w:tc>
        <w:tc>
          <w:tcPr>
            <w:tcW w:type="dxa" w:w="1608"/>
            <w:shd w:val="clear" w:fill="EEF1F7"/>
          </w:tcPr>
          <w:p>
            <w:r>
              <w:rPr>
                <w:sz w:val="19"/>
              </w:rPr>
              <w:t>Materials</w:t>
            </w:r>
          </w:p>
        </w:tc>
        <w:tc>
          <w:tcPr>
            <w:tcW w:type="dxa" w:w="1608"/>
            <w:shd w:val="clear" w:fill="EEF1F7"/>
          </w:tcPr>
          <w:p>
            <w:r>
              <w:rPr>
                <w:sz w:val="19"/>
              </w:rPr>
              <w:t>131 (+139)</w:t>
            </w:r>
          </w:p>
        </w:tc>
        <w:tc>
          <w:tcPr>
            <w:tcW w:type="dxa" w:w="1608"/>
            <w:shd w:val="clear" w:fill="EEF1F7"/>
          </w:tcPr>
          <w:p>
            <w:r>
              <w:rPr>
                <w:sz w:val="19"/>
              </w:rPr>
              <w:t>C</w:t>
            </w:r>
          </w:p>
        </w:tc>
        <w:tc>
          <w:tcPr>
            <w:tcW w:type="dxa" w:w="1608"/>
            <w:shd w:val="clear" w:fill="EEF1F7"/>
          </w:tcPr>
          <w:p>
            <w:r>
              <w:rPr>
                <w:sz w:val="19"/>
              </w:rPr>
              <w:t>+7.6%</w:t>
            </w:r>
          </w:p>
        </w:tc>
      </w:tr>
      <w:tr>
        <w:tc>
          <w:tcPr>
            <w:tcW w:type="dxa" w:w="1608"/>
          </w:tcPr>
          <w:p>
            <w:r>
              <w:rPr>
                <w:sz w:val="19"/>
              </w:rPr>
              <w:t>CDP</w:t>
            </w:r>
          </w:p>
        </w:tc>
        <w:tc>
          <w:tcPr>
            <w:tcW w:type="dxa" w:w="1608"/>
          </w:tcPr>
          <w:p>
            <w:r>
              <w:rPr>
                <w:sz w:val="19"/>
              </w:rPr>
              <w:t>COPT Defense Prop.</w:t>
            </w:r>
          </w:p>
        </w:tc>
        <w:tc>
          <w:tcPr>
            <w:tcW w:type="dxa" w:w="1608"/>
          </w:tcPr>
          <w:p>
            <w:r>
              <w:rPr>
                <w:sz w:val="19"/>
              </w:rPr>
              <w:t>Real Estate</w:t>
            </w:r>
          </w:p>
        </w:tc>
        <w:tc>
          <w:tcPr>
            <w:tcW w:type="dxa" w:w="1608"/>
          </w:tcPr>
          <w:p>
            <w:r>
              <w:rPr>
                <w:sz w:val="19"/>
              </w:rPr>
              <w:t>132 (+212)</w:t>
            </w:r>
          </w:p>
        </w:tc>
        <w:tc>
          <w:tcPr>
            <w:tcW w:type="dxa" w:w="1608"/>
          </w:tcPr>
          <w:p>
            <w:r>
              <w:rPr>
                <w:sz w:val="19"/>
              </w:rPr>
              <w:t>C</w:t>
            </w:r>
          </w:p>
        </w:tc>
        <w:tc>
          <w:tcPr>
            <w:tcW w:type="dxa" w:w="1608"/>
          </w:tcPr>
          <w:p>
            <w:r>
              <w:rPr>
                <w:sz w:val="19"/>
              </w:rPr>
              <w:t>+8.8%</w:t>
            </w:r>
          </w:p>
        </w:tc>
      </w:tr>
      <w:tr>
        <w:tc>
          <w:tcPr>
            <w:tcW w:type="dxa" w:w="1608"/>
            <w:shd w:val="clear" w:fill="EEF1F7"/>
          </w:tcPr>
          <w:p>
            <w:r>
              <w:rPr>
                <w:sz w:val="19"/>
              </w:rPr>
              <w:t>MOH</w:t>
            </w:r>
          </w:p>
        </w:tc>
        <w:tc>
          <w:tcPr>
            <w:tcW w:type="dxa" w:w="1608"/>
            <w:shd w:val="clear" w:fill="EEF1F7"/>
          </w:tcPr>
          <w:p>
            <w:r>
              <w:rPr>
                <w:sz w:val="19"/>
              </w:rPr>
              <w:t>Molina Healthcare</w:t>
            </w:r>
          </w:p>
        </w:tc>
        <w:tc>
          <w:tcPr>
            <w:tcW w:type="dxa" w:w="1608"/>
            <w:shd w:val="clear" w:fill="EEF1F7"/>
          </w:tcPr>
          <w:p>
            <w:r>
              <w:rPr>
                <w:sz w:val="19"/>
              </w:rPr>
              <w:t>Health Care</w:t>
            </w:r>
          </w:p>
        </w:tc>
        <w:tc>
          <w:tcPr>
            <w:tcW w:type="dxa" w:w="1608"/>
            <w:shd w:val="clear" w:fill="EEF1F7"/>
          </w:tcPr>
          <w:p>
            <w:r>
              <w:rPr>
                <w:sz w:val="19"/>
              </w:rPr>
              <w:t>146 (+169)</w:t>
            </w:r>
          </w:p>
        </w:tc>
        <w:tc>
          <w:tcPr>
            <w:tcW w:type="dxa" w:w="1608"/>
            <w:shd w:val="clear" w:fill="EEF1F7"/>
          </w:tcPr>
          <w:p>
            <w:r>
              <w:rPr>
                <w:sz w:val="19"/>
              </w:rPr>
              <w:t>D</w:t>
            </w:r>
          </w:p>
        </w:tc>
        <w:tc>
          <w:tcPr>
            <w:tcW w:type="dxa" w:w="1608"/>
            <w:shd w:val="clear" w:fill="EEF1F7"/>
          </w:tcPr>
          <w:p>
            <w:r>
              <w:rPr>
                <w:sz w:val="19"/>
              </w:rPr>
              <w:t>+9.8%</w:t>
            </w:r>
          </w:p>
        </w:tc>
      </w:tr>
      <w:tr>
        <w:tc>
          <w:tcPr>
            <w:tcW w:type="dxa" w:w="1608"/>
          </w:tcPr>
          <w:p>
            <w:r>
              <w:rPr>
                <w:sz w:val="19"/>
              </w:rPr>
              <w:t>ECPG</w:t>
            </w:r>
          </w:p>
        </w:tc>
        <w:tc>
          <w:tcPr>
            <w:tcW w:type="dxa" w:w="1608"/>
          </w:tcPr>
          <w:p>
            <w:r>
              <w:rPr>
                <w:sz w:val="19"/>
              </w:rPr>
              <w:t>Encore Capital</w:t>
            </w:r>
          </w:p>
        </w:tc>
        <w:tc>
          <w:tcPr>
            <w:tcW w:type="dxa" w:w="1608"/>
          </w:tcPr>
          <w:p>
            <w:r>
              <w:rPr>
                <w:sz w:val="19"/>
              </w:rPr>
              <w:t>Financials</w:t>
            </w:r>
          </w:p>
        </w:tc>
        <w:tc>
          <w:tcPr>
            <w:tcW w:type="dxa" w:w="1608"/>
          </w:tcPr>
          <w:p>
            <w:r>
              <w:rPr>
                <w:sz w:val="19"/>
              </w:rPr>
              <w:t>154 (+209)</w:t>
            </w:r>
          </w:p>
        </w:tc>
        <w:tc>
          <w:tcPr>
            <w:tcW w:type="dxa" w:w="1608"/>
          </w:tcPr>
          <w:p>
            <w:r>
              <w:rPr>
                <w:sz w:val="19"/>
              </w:rPr>
              <w:t>B</w:t>
            </w:r>
          </w:p>
        </w:tc>
        <w:tc>
          <w:tcPr>
            <w:tcW w:type="dxa" w:w="1608"/>
          </w:tcPr>
          <w:p>
            <w:r>
              <w:rPr>
                <w:sz w:val="19"/>
              </w:rPr>
              <w:t>+4.6%</w:t>
            </w:r>
          </w:p>
        </w:tc>
      </w:tr>
      <w:tr>
        <w:tc>
          <w:tcPr>
            <w:tcW w:type="dxa" w:w="1608"/>
            <w:shd w:val="clear" w:fill="EEF1F7"/>
          </w:tcPr>
          <w:p>
            <w:r>
              <w:rPr>
                <w:sz w:val="19"/>
              </w:rPr>
              <w:t>SON</w:t>
            </w:r>
          </w:p>
        </w:tc>
        <w:tc>
          <w:tcPr>
            <w:tcW w:type="dxa" w:w="1608"/>
            <w:shd w:val="clear" w:fill="EEF1F7"/>
          </w:tcPr>
          <w:p>
            <w:r>
              <w:rPr>
                <w:sz w:val="19"/>
              </w:rPr>
              <w:t>Sonoco</w:t>
            </w:r>
          </w:p>
        </w:tc>
        <w:tc>
          <w:tcPr>
            <w:tcW w:type="dxa" w:w="1608"/>
            <w:shd w:val="clear" w:fill="EEF1F7"/>
          </w:tcPr>
          <w:p>
            <w:r>
              <w:rPr>
                <w:sz w:val="19"/>
              </w:rPr>
              <w:t>Materials</w:t>
            </w:r>
          </w:p>
        </w:tc>
        <w:tc>
          <w:tcPr>
            <w:tcW w:type="dxa" w:w="1608"/>
            <w:shd w:val="clear" w:fill="EEF1F7"/>
          </w:tcPr>
          <w:p>
            <w:r>
              <w:rPr>
                <w:sz w:val="19"/>
              </w:rPr>
              <w:t>157 (+346)</w:t>
            </w:r>
          </w:p>
        </w:tc>
        <w:tc>
          <w:tcPr>
            <w:tcW w:type="dxa" w:w="1608"/>
            <w:shd w:val="clear" w:fill="EEF1F7"/>
          </w:tcPr>
          <w:p>
            <w:r>
              <w:rPr>
                <w:sz w:val="19"/>
              </w:rPr>
              <w:t>D</w:t>
            </w:r>
          </w:p>
        </w:tc>
        <w:tc>
          <w:tcPr>
            <w:tcW w:type="dxa" w:w="1608"/>
            <w:shd w:val="clear" w:fill="EEF1F7"/>
          </w:tcPr>
          <w:p>
            <w:r>
              <w:rPr>
                <w:sz w:val="19"/>
              </w:rPr>
              <w:t>+8.7%</w:t>
            </w:r>
          </w:p>
        </w:tc>
      </w:tr>
    </w:tbl>
    <w:p/>
    <w:p>
      <w:r>
        <w:t>How to read it: this is a starting point for your own homework, never a buy list. The airlines cluster (AAL, DAL, UAL) is the loudest signal here. Three of them passing the same screen says the group has real strength, and UAL is the highest-conviction read at "B." The health-care names (HUM, MOH) ride the strongest current on the board. Encore Capital and Sonoco are early in big rank climbs, which is the part of a move you'd rather own than the part everyone's already talking about.</w:t>
      </w:r>
    </w:p>
    <w:p>
      <w:r>
        <w:t>The discipline that matters: buy strength early, on a pause, not after a sprint. AAL and Reynolds are already near the stretched end at roughly 9-10% above their 20-day, which is where you wait rather than reach. None of this is advice. Do your own work, and size any position so a wrong call costs you a little, not a lot.</w:t>
      </w:r>
    </w:p>
    <w:p>
      <w:pPr>
        <w:pBdr>
          <w:bottom w:val="single" w:sz="6" w:space="1" w:color="C0C0C0"/>
        </w:pBdr>
      </w:pP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What it says</w:t>
            </w:r>
          </w:p>
        </w:tc>
      </w:tr>
      <w:tr>
        <w:tc>
          <w:tcPr>
            <w:tcW w:type="dxa" w:w="3216"/>
          </w:tcPr>
          <w:p>
            <w:r>
              <w:rPr>
                <w:sz w:val="19"/>
              </w:rPr>
              <w:t>S&amp;P 500 vs 200-day</w:t>
            </w:r>
          </w:p>
        </w:tc>
        <w:tc>
          <w:tcPr>
            <w:tcW w:type="dxa" w:w="3216"/>
          </w:tcPr>
          <w:p>
            <w:r>
              <w:rPr>
                <w:sz w:val="19"/>
              </w:rPr>
              <w:t>ABOVE (7483.24 vs 6935.23)</w:t>
            </w:r>
          </w:p>
        </w:tc>
        <w:tc>
          <w:tcPr>
            <w:tcW w:type="dxa" w:w="3216"/>
          </w:tcPr>
          <w:p>
            <w:r>
              <w:rPr>
                <w:sz w:val="19"/>
              </w:rPr>
              <w:t>Primary trend up</w:t>
            </w:r>
          </w:p>
        </w:tc>
      </w:tr>
      <w:tr>
        <w:tc>
          <w:tcPr>
            <w:tcW w:type="dxa" w:w="3216"/>
            <w:shd w:val="clear" w:fill="EEF1F7"/>
          </w:tcPr>
          <w:p>
            <w:r>
              <w:rPr>
                <w:sz w:val="19"/>
              </w:rPr>
              <w:t>Stocks above 200-day</w:t>
            </w:r>
          </w:p>
        </w:tc>
        <w:tc>
          <w:tcPr>
            <w:tcW w:type="dxa" w:w="3216"/>
            <w:shd w:val="clear" w:fill="EEF1F7"/>
          </w:tcPr>
          <w:p>
            <w:r>
              <w:rPr>
                <w:sz w:val="19"/>
              </w:rPr>
              <w:t>67.99%</w:t>
            </w:r>
          </w:p>
        </w:tc>
        <w:tc>
          <w:tcPr>
            <w:tcW w:type="dxa" w:w="3216"/>
            <w:shd w:val="clear" w:fill="EEF1F7"/>
          </w:tcPr>
          <w:p>
            <w:r>
              <w:rPr>
                <w:sz w:val="19"/>
              </w:rPr>
              <w:t>Broad participation</w:t>
            </w:r>
          </w:p>
        </w:tc>
      </w:tr>
      <w:tr>
        <w:tc>
          <w:tcPr>
            <w:tcW w:type="dxa" w:w="3216"/>
          </w:tcPr>
          <w:p>
            <w:r>
              <w:rPr>
                <w:sz w:val="19"/>
              </w:rPr>
              <w:t>Stocks above 50-day</w:t>
            </w:r>
          </w:p>
        </w:tc>
        <w:tc>
          <w:tcPr>
            <w:tcW w:type="dxa" w:w="3216"/>
          </w:tcPr>
          <w:p>
            <w:r>
              <w:rPr>
                <w:sz w:val="19"/>
              </w:rPr>
              <w:t>67.17%</w:t>
            </w:r>
          </w:p>
        </w:tc>
        <w:tc>
          <w:tcPr>
            <w:tcW w:type="dxa" w:w="3216"/>
          </w:tcPr>
          <w:p>
            <w:r>
              <w:rPr>
                <w:sz w:val="19"/>
              </w:rPr>
              <w:t>Healthy near-term</w:t>
            </w:r>
          </w:p>
        </w:tc>
      </w:tr>
      <w:tr>
        <w:tc>
          <w:tcPr>
            <w:tcW w:type="dxa" w:w="3216"/>
            <w:shd w:val="clear" w:fill="EEF1F7"/>
          </w:tcPr>
          <w:p>
            <w:r>
              <w:rPr>
                <w:sz w:val="19"/>
              </w:rPr>
              <w:t>New highs vs lows</w:t>
            </w:r>
          </w:p>
        </w:tc>
        <w:tc>
          <w:tcPr>
            <w:tcW w:type="dxa" w:w="3216"/>
            <w:shd w:val="clear" w:fill="EEF1F7"/>
          </w:tcPr>
          <w:p>
            <w:r>
              <w:rPr>
                <w:sz w:val="19"/>
              </w:rPr>
              <w:t>16 vs 0</w:t>
            </w:r>
          </w:p>
        </w:tc>
        <w:tc>
          <w:tcPr>
            <w:tcW w:type="dxa" w:w="3216"/>
            <w:shd w:val="clear" w:fill="EEF1F7"/>
          </w:tcPr>
          <w:p>
            <w:r>
              <w:rPr>
                <w:sz w:val="19"/>
              </w:rPr>
              <w:t>No internal damage</w:t>
            </w:r>
          </w:p>
        </w:tc>
      </w:tr>
      <w:tr>
        <w:tc>
          <w:tcPr>
            <w:tcW w:type="dxa" w:w="3216"/>
          </w:tcPr>
          <w:p>
            <w:r>
              <w:rPr>
                <w:sz w:val="19"/>
              </w:rPr>
              <w:t>Advancers vs decliners</w:t>
            </w:r>
          </w:p>
        </w:tc>
        <w:tc>
          <w:tcPr>
            <w:tcW w:type="dxa" w:w="3216"/>
          </w:tcPr>
          <w:p>
            <w:r>
              <w:rPr>
                <w:sz w:val="19"/>
              </w:rPr>
              <w:t>1123 vs 781</w:t>
            </w:r>
          </w:p>
        </w:tc>
        <w:tc>
          <w:tcPr>
            <w:tcW w:type="dxa" w:w="3216"/>
          </w:tcPr>
          <w:p>
            <w:r>
              <w:rPr>
                <w:sz w:val="19"/>
              </w:rPr>
              <w:t>Buyers in control</w:t>
            </w:r>
          </w:p>
        </w:tc>
      </w:tr>
      <w:tr>
        <w:tc>
          <w:tcPr>
            <w:tcW w:type="dxa" w:w="3216"/>
            <w:shd w:val="clear" w:fill="EEF1F7"/>
          </w:tcPr>
          <w:p>
            <w:r>
              <w:rPr>
                <w:sz w:val="19"/>
              </w:rPr>
              <w:t>VIX</w:t>
            </w:r>
          </w:p>
        </w:tc>
        <w:tc>
          <w:tcPr>
            <w:tcW w:type="dxa" w:w="3216"/>
            <w:shd w:val="clear" w:fill="EEF1F7"/>
          </w:tcPr>
          <w:p>
            <w:r>
              <w:rPr>
                <w:sz w:val="19"/>
              </w:rPr>
              <w:t>15.81</w:t>
            </w:r>
          </w:p>
        </w:tc>
        <w:tc>
          <w:tcPr>
            <w:tcW w:type="dxa" w:w="3216"/>
            <w:shd w:val="clear" w:fill="EEF1F7"/>
          </w:tcPr>
          <w:p>
            <w:r>
              <w:rPr>
                <w:sz w:val="19"/>
              </w:rPr>
              <w:t>Calm, below 20</w:t>
            </w:r>
          </w:p>
        </w:tc>
      </w:tr>
      <w:tr>
        <w:tc>
          <w:tcPr>
            <w:tcW w:type="dxa" w:w="3216"/>
          </w:tcPr>
          <w:p>
            <w:r>
              <w:rPr>
                <w:sz w:val="19"/>
              </w:rPr>
              <w:t>Credit spreads</w:t>
            </w:r>
          </w:p>
        </w:tc>
        <w:tc>
          <w:tcPr>
            <w:tcW w:type="dxa" w:w="3216"/>
          </w:tcPr>
          <w:p>
            <w:r>
              <w:rPr>
                <w:sz w:val="19"/>
              </w:rPr>
              <w:t>n/a (FRED pending)</w:t>
            </w:r>
          </w:p>
        </w:tc>
        <w:tc>
          <w:tcPr>
            <w:tcW w:type="dxa" w:w="3216"/>
          </w:tcPr>
          <w:p>
            <w:r>
              <w:rPr>
                <w:sz w:val="19"/>
              </w:rPr>
              <w:t>Can't confirm</w:t>
            </w:r>
          </w:p>
        </w:tc>
      </w:tr>
    </w:tbl>
    <w:p/>
    <w:p>
      <w:r>
        <w:t>This is a healthy board with a healthy index print to match it, a nicer setup than last week's split screen. Two-thirds of stocks sit above their long-term trend line, the new-lows column is empty for a third straight week, and the VIX at 15.81 says fear is asleep. The honest gap is unchanged: I don't have a live credit-spread reading, so I can't confirm the all-clear from the bond side, and I won't invent it. The other caveat is the stale rates data and a payrolls print that hasn't reached our numbers yet.</w:t>
      </w:r>
    </w:p>
    <w:p>
      <w:r>
        <w:rPr>
          <w:b/>
        </w:rPr>
        <w:t>Scenarios for the weeks ahead:</w:t>
      </w:r>
    </w:p>
    <w:p>
      <w:pPr>
        <w:pStyle w:val="ListBullet"/>
      </w:pPr>
      <w:r>
        <w:rPr>
          <w:b/>
        </w:rPr>
        <w:t>Base case (60%):</w:t>
      </w:r>
      <w:r>
        <w:t xml:space="preserve"> The rotation keeps broadening. Money stays in payments, health care, software, and financials while breadth holds. The index grinds up or chops sideways. Boring and good.</w:t>
      </w:r>
    </w:p>
    <w:p>
      <w:pPr>
        <w:pStyle w:val="ListBullet"/>
      </w:pPr>
      <w:r>
        <w:rPr>
          <w:b/>
        </w:rPr>
        <w:t>Bull case (25%):</w:t>
      </w:r>
      <w:r>
        <w:t xml:space="preserve"> The jobs data cools, the "higher for longer" fear fades, and the new leadership groups get a fresh leg while the metals and builders stabilize. Broad breadth plus calming rates is the recipe for the next push higher.</w:t>
      </w:r>
    </w:p>
    <w:p>
      <w:pPr>
        <w:pStyle w:val="ListBullet"/>
      </w:pPr>
      <w:r>
        <w:rPr>
          <w:b/>
        </w:rPr>
        <w:t>Bear case (15%):</w:t>
      </w:r>
      <w:r>
        <w:t xml:space="preserve"> The Warsh crowd wins the argument, the Fed leans toward a hike on 4.2% CPI, yields back up, and the rate-sensitive leaders now doing the lifting roll over first. The tariff threats aimed at Europe add a tax-and-supply shock on top.</w:t>
      </w:r>
    </w:p>
    <w:p>
      <w:r>
        <w:t>Stance: lean constructive, favor the strong groups over the famous ones, and keep the bear case close to the jobs number and the Fed's tone.</w:t>
      </w:r>
    </w:p>
    <w:p>
      <w:pPr>
        <w:pBdr>
          <w:bottom w:val="single" w:sz="6" w:space="1" w:color="C0C0C0"/>
        </w:pBdr>
      </w:pPr>
    </w:p>
    <w:p>
      <w:pPr>
        <w:spacing w:before="240" w:after="80"/>
      </w:pPr>
      <w:r>
        <w:rPr>
          <w:b/>
          <w:color w:val="1F3864"/>
          <w:sz w:val="30"/>
        </w:rPr>
        <w:t>9. The Algo (educational paper track record)</w:t>
      </w:r>
    </w:p>
    <w:p>
      <w:r>
        <w:t>The paper strategy sits at $51,641, up 3.3% since it started on May 27, against the S&amp;P at -0.5% and the Nasdaq-100 at -2.3% over the same stretch. Week over week it added 1.1%, with a -2.7% drawdown, 20 positions open and 25 closed.</w:t>
      </w:r>
    </w:p>
    <w:p>
      <w:r>
        <w:t>Be honest about the record: across all 25 closed trades, only 8 were winners, a 32% win rate, averaging +0.4% per trade. This is a system built to lose small often and win big occasionally, and this week was all small losses, no home runs to point at.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Closed this week</w:t>
            </w:r>
          </w:p>
        </w:tc>
        <w:tc>
          <w:tcPr>
            <w:tcW w:type="dxa" w:w="1930"/>
            <w:shd w:val="clear" w:fill="1F3864"/>
          </w:tcPr>
          <w:p>
            <w:r>
              <w:rPr>
                <w:b/>
                <w:color w:val="FFFFFF"/>
                <w:sz w:val="19"/>
              </w:rPr>
              <w:t>P&amp;L</w:t>
            </w:r>
          </w:p>
        </w:tc>
        <w:tc>
          <w:tcPr>
            <w:tcW w:type="dxa" w:w="1930"/>
            <w:shd w:val="clear" w:fill="1F3864"/>
          </w:tcPr>
          <w:p>
            <w:r>
              <w:rPr>
                <w:b/>
                <w:color w:val="FFFFFF"/>
                <w:sz w:val="19"/>
              </w:rPr>
              <w:t>R</w:t>
            </w:r>
          </w:p>
        </w:tc>
        <w:tc>
          <w:tcPr>
            <w:tcW w:type="dxa" w:w="1930"/>
            <w:shd w:val="clear" w:fill="1F3864"/>
          </w:tcPr>
          <w:p>
            <w:r>
              <w:rPr>
                <w:b/>
                <w:color w:val="FFFFFF"/>
                <w:sz w:val="19"/>
              </w:rPr>
              <w:t>Reason</w:t>
            </w:r>
          </w:p>
        </w:tc>
        <w:tc>
          <w:tcPr>
            <w:tcW w:type="dxa" w:w="1930"/>
            <w:shd w:val="clear" w:fill="1F3864"/>
          </w:tcPr>
          <w:p>
            <w:r>
              <w:rPr>
                <w:b/>
                <w:color w:val="FFFFFF"/>
                <w:sz w:val="19"/>
              </w:rPr>
              <w:t>Days</w:t>
            </w:r>
          </w:p>
        </w:tc>
      </w:tr>
      <w:tr>
        <w:tc>
          <w:tcPr>
            <w:tcW w:type="dxa" w:w="1930"/>
          </w:tcPr>
          <w:p>
            <w:r>
              <w:rPr>
                <w:sz w:val="19"/>
              </w:rPr>
              <w:t>TER</w:t>
            </w:r>
          </w:p>
        </w:tc>
        <w:tc>
          <w:tcPr>
            <w:tcW w:type="dxa" w:w="1930"/>
          </w:tcPr>
          <w:p>
            <w:r>
              <w:rPr>
                <w:sz w:val="19"/>
              </w:rPr>
              <w:t>-0.0%</w:t>
            </w:r>
          </w:p>
        </w:tc>
        <w:tc>
          <w:tcPr>
            <w:tcW w:type="dxa" w:w="1930"/>
          </w:tcPr>
          <w:p>
            <w:r>
              <w:rPr>
                <w:sz w:val="19"/>
              </w:rPr>
              <w:t>+0.00R</w:t>
            </w:r>
          </w:p>
        </w:tc>
        <w:tc>
          <w:tcPr>
            <w:tcW w:type="dxa" w:w="1930"/>
          </w:tcPr>
          <w:p>
            <w:r>
              <w:rPr>
                <w:sz w:val="19"/>
              </w:rPr>
              <w:t>trail stop</w:t>
            </w:r>
          </w:p>
        </w:tc>
        <w:tc>
          <w:tcPr>
            <w:tcW w:type="dxa" w:w="1930"/>
          </w:tcPr>
          <w:p>
            <w:r>
              <w:rPr>
                <w:sz w:val="19"/>
              </w:rPr>
              <w:t>3</w:t>
            </w:r>
          </w:p>
        </w:tc>
      </w:tr>
      <w:tr>
        <w:tc>
          <w:tcPr>
            <w:tcW w:type="dxa" w:w="1930"/>
            <w:shd w:val="clear" w:fill="EEF1F7"/>
          </w:tcPr>
          <w:p>
            <w:r>
              <w:rPr>
                <w:sz w:val="19"/>
              </w:rPr>
              <w:t>HST</w:t>
            </w:r>
          </w:p>
        </w:tc>
        <w:tc>
          <w:tcPr>
            <w:tcW w:type="dxa" w:w="1930"/>
            <w:shd w:val="clear" w:fill="EEF1F7"/>
          </w:tcPr>
          <w:p>
            <w:r>
              <w:rPr>
                <w:sz w:val="19"/>
              </w:rPr>
              <w:t>-0.9%</w:t>
            </w:r>
          </w:p>
        </w:tc>
        <w:tc>
          <w:tcPr>
            <w:tcW w:type="dxa" w:w="1930"/>
            <w:shd w:val="clear" w:fill="EEF1F7"/>
          </w:tcPr>
          <w:p>
            <w:r>
              <w:rPr>
                <w:sz w:val="19"/>
              </w:rPr>
              <w:t>-0.20R</w:t>
            </w:r>
          </w:p>
        </w:tc>
        <w:tc>
          <w:tcPr>
            <w:tcW w:type="dxa" w:w="1930"/>
            <w:shd w:val="clear" w:fill="EEF1F7"/>
          </w:tcPr>
          <w:p>
            <w:r>
              <w:rPr>
                <w:sz w:val="19"/>
              </w:rPr>
              <w:t>time stop</w:t>
            </w:r>
          </w:p>
        </w:tc>
        <w:tc>
          <w:tcPr>
            <w:tcW w:type="dxa" w:w="1930"/>
            <w:shd w:val="clear" w:fill="EEF1F7"/>
          </w:tcPr>
          <w:p>
            <w:r>
              <w:rPr>
                <w:sz w:val="19"/>
              </w:rPr>
              <w:t>25</w:t>
            </w:r>
          </w:p>
        </w:tc>
      </w:tr>
      <w:tr>
        <w:tc>
          <w:tcPr>
            <w:tcW w:type="dxa" w:w="1930"/>
          </w:tcPr>
          <w:p>
            <w:r>
              <w:rPr>
                <w:sz w:val="19"/>
              </w:rPr>
              <w:t>IBKR</w:t>
            </w:r>
          </w:p>
        </w:tc>
        <w:tc>
          <w:tcPr>
            <w:tcW w:type="dxa" w:w="1930"/>
          </w:tcPr>
          <w:p>
            <w:r>
              <w:rPr>
                <w:sz w:val="19"/>
              </w:rPr>
              <w:t>-7.3%</w:t>
            </w:r>
          </w:p>
        </w:tc>
        <w:tc>
          <w:tcPr>
            <w:tcW w:type="dxa" w:w="1930"/>
          </w:tcPr>
          <w:p>
            <w:r>
              <w:rPr>
                <w:sz w:val="19"/>
              </w:rPr>
              <w:t>-1.02R</w:t>
            </w:r>
          </w:p>
        </w:tc>
        <w:tc>
          <w:tcPr>
            <w:tcW w:type="dxa" w:w="1930"/>
          </w:tcPr>
          <w:p>
            <w:r>
              <w:rPr>
                <w:sz w:val="19"/>
              </w:rPr>
              <w:t>stop</w:t>
            </w:r>
          </w:p>
        </w:tc>
        <w:tc>
          <w:tcPr>
            <w:tcW w:type="dxa" w:w="1930"/>
          </w:tcPr>
          <w:p>
            <w:r>
              <w:rPr>
                <w:sz w:val="19"/>
              </w:rPr>
              <w:t>9</w:t>
            </w:r>
          </w:p>
        </w:tc>
      </w:tr>
    </w:tbl>
    <w:p/>
    <w:p>
      <w:r>
        <w:t>The bigger tell is the open book. It's stacked with financials — BAC, MET, BNY, GL, CINF, MTB, Citi, CFG, AXP, USB, JPM, KEY, plus new adds Enova and Encore Capital — with health care carrying the gains (DaVita +10.6%, CVS +8.1%). That's the rotation from last month showing up as positions. It also puts the strategy on the opposite side of Oppenheimer's bank downgrades, which is the disagreement to watch. If the analysts are right and the banks top out, this book feels it. For now the mechanics are riding the rank climb.</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pBdr>
          <w:bottom w:val="single" w:sz="6" w:space="1" w:color="C0C0C0"/>
        </w:pBdr>
      </w:pPr>
    </w:p>
    <w:p>
      <w:pPr>
        <w:spacing w:before="240" w:after="80"/>
      </w:pPr>
      <w:r>
        <w:rPr>
          <w:b/>
          <w:color w:val="1F3864"/>
          <w:sz w:val="30"/>
        </w:rPr>
        <w:t>10. Key events next week</w:t>
      </w:r>
    </w:p>
    <w:p>
      <w:r>
        <w:t>The jobs data leads, and a handful of consumer and industrial names report.</w:t>
      </w:r>
    </w:p>
    <w:p>
      <w:pPr>
        <w:pStyle w:val="ListBullet"/>
      </w:pPr>
      <w:r>
        <w:rPr>
          <w:b/>
        </w:rPr>
        <w:t>Friday, July 3 — nonfarm payrolls &amp; unemployment.</w:t>
      </w:r>
      <w:r>
        <w:t xml:space="preserve"> The last print in our data is a hot +741k with unemployment at 4.3%. Watch wage growth, not the headline count. Hot wages on top of 4.2% CPI is the fuel for the hike fear; cooling wages with steady hiring is the soft-landing story that keeps this rally going.</w:t>
      </w:r>
    </w:p>
    <w:p>
      <w:pPr>
        <w:pStyle w:val="ListBullet"/>
      </w:pPr>
      <w:r>
        <w:rPr>
          <w:b/>
        </w:rPr>
        <w:t>Thursday, July 9 — initial jobless claims.</w:t>
      </w:r>
      <w:r>
        <w:t xml:space="preserve"> The early read on whether the labor market is finally softening. A jump here is the first crack that would take a hike off the table.</w:t>
      </w:r>
    </w:p>
    <w:p>
      <w:r>
        <w:t>Earnings worth watching:</w:t>
      </w:r>
    </w:p>
    <w:p>
      <w:pPr>
        <w:pStyle w:val="ListBullet"/>
      </w:pPr>
      <w:r>
        <w:rPr>
          <w:b/>
        </w:rPr>
        <w:t>Delta Air Lines (Fri, July 10).</w:t>
      </w:r>
      <w:r>
        <w:t xml:space="preserve"> With three airlines passing our watchlist screen, this is the group's first real number. The question is whether the rank climb has earnings behind it or is just cheap-fuel hope.</w:t>
      </w:r>
    </w:p>
    <w:p>
      <w:pPr>
        <w:pStyle w:val="ListBullet"/>
      </w:pPr>
      <w:r>
        <w:rPr>
          <w:b/>
        </w:rPr>
        <w:t>PepsiCo (Thu, July 9).</w:t>
      </w:r>
      <w:r>
        <w:t xml:space="preserve"> A clean read on whether the staples bid is about demand or defense, after General Mills came in firm this week.</w:t>
      </w:r>
    </w:p>
    <w:p>
      <w:pPr>
        <w:pStyle w:val="ListBullet"/>
      </w:pPr>
      <w:r>
        <w:rPr>
          <w:b/>
        </w:rPr>
        <w:t>Nurix Therapeutics (Thu, July 9).</w:t>
      </w:r>
      <w:r>
        <w:t xml:space="preserve"> A top-20 name on our board (#10) reporting into strength, the test of whether the biotech run is trading or fundamentals.</w:t>
      </w:r>
    </w:p>
    <w:p>
      <w:pPr>
        <w:pStyle w:val="ListBullet"/>
      </w:pPr>
      <w:r>
        <w:rPr>
          <w:b/>
        </w:rPr>
        <w:t>AZZ (July 8), Kura Sushi and Penguin Solutions and Enerpac (July 7), PriceSmart (July 8), Simply Good Foods and WD-40 (July 9).</w:t>
      </w:r>
      <w:r>
        <w:t xml:space="preserve"> A grab bag of consumer and industrial reads to check the breadth of the rotation.</w:t>
      </w:r>
    </w:p>
    <w:p>
      <w:pPr>
        <w:pBdr>
          <w:bottom w:val="single" w:sz="6" w:space="1" w:color="C0C0C0"/>
        </w:pBdr>
      </w:pP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"#6 in our system" means 6th-strongest of about 1,900.</w:t>
      </w:r>
    </w:p>
    <w:p>
      <w:pPr>
        <w:pStyle w:val="ListBullet"/>
      </w:pPr>
      <w:r>
        <w:rPr>
          <w:b/>
        </w:rPr>
        <w:t>Relative strength (RS):</w:t>
      </w:r>
      <w:r>
        <w:t xml:space="preserve"> how a stock performs against the rest of the market, not on its own. Rising RS means it's outpacing the pack.</w:t>
      </w:r>
    </w:p>
    <w:p>
      <w:pPr>
        <w:pStyle w:val="ListBullet"/>
      </w:pPr>
      <w:r>
        <w:rPr>
          <w:b/>
        </w:rPr>
        <w:t>Moving averages (20/50/200-day):</w:t>
      </w:r>
      <w:r>
        <w:t xml:space="preserve"> the average price over that many days, the trend lines. A healthy uptrend has price above a rising 20-day, which sits above the 200-day. "Stretched" means price has run far above the 20-day and is prone to snap back.</w:t>
      </w:r>
    </w:p>
    <w:p>
      <w:pPr>
        <w:pStyle w:val="ListBullet"/>
      </w:pPr>
      <w:r>
        <w:rPr>
          <w:b/>
        </w:rPr>
        <w:t>VIX:</w:t>
      </w:r>
      <w:r>
        <w:t xml:space="preserve"> the market's fear gauge. Below 20 is calm; above 20 is stress.</w:t>
      </w:r>
    </w:p>
    <w:p>
      <w:pPr>
        <w:pStyle w:val="ListBullet"/>
      </w:pPr>
      <w:r>
        <w:rPr>
          <w:b/>
        </w:rPr>
        <w:t>Credit spreads:</w:t>
      </w:r>
      <w:r>
        <w:t xml:space="preserve"> the extra yield investors demand to hold risky corporate bonds over safe government bonds. Widening is an early warning; tight means calm. Marked n/a this week.</w:t>
      </w:r>
    </w:p>
    <w:p>
      <w:pPr>
        <w:pStyle w:val="ListBullet"/>
      </w:pPr>
      <w:r>
        <w:rPr>
          <w:b/>
        </w:rPr>
        <w:t>Treasury yields / 2s10s:</w:t>
      </w:r>
      <w:r>
        <w:t xml:space="preserve"> the interest rate the government pays to borrow for 10 years vs 2 years. The 2s10s spread is the 10-year minus the 2-year; positive and steepening (31bp) is the normal, healthy shape.</w:t>
      </w:r>
    </w:p>
    <w:p>
      <w:pPr>
        <w:pStyle w:val="ListBullet"/>
      </w:pPr>
      <w:r>
        <w:rPr>
          <w:b/>
        </w:rPr>
        <w:t>Breadth:</w:t>
      </w:r>
      <w:r>
        <w:t xml:space="preserve"> how many stocks are participating. Broad breadth — most stocks above their 200-day, new highs beating new lows — signals a healthy rally rather than a few giants carrying a tired tape.</w:t>
      </w:r>
    </w:p>
    <w:p>
      <w:pPr>
        <w:pBdr>
          <w:bottom w:val="single" w:sz="6" w:space="1" w:color="C0C0C0"/>
        </w:pBdr>
      </w:pPr>
    </w:p>
    <w:p>
      <w:r>
        <w:t>The index caught up to its healthy internals this week, and leadership settled deeper into payments, health care, and software while the metals and builders fell away. As long as breadth stays this broad and the jobs number doesn't hand the Fed an excuse to hike, it's a tape you stay in, selectively, in the strong groups, not the famous ones. None of the above is advice; it's a map for your own homework.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