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1F3864"/>
          <w:sz w:val="48"/>
        </w:rPr>
        <w:t>Money Left the Banks and the Chips. It Didn't Leave the Market.</w:t>
      </w:r>
    </w:p>
    <w:p>
      <w:r>
        <w:rPr>
          <w:i/>
        </w:rPr>
        <w:t>Issue 34 · August 21, 2026 · a weekly read built on ranking ~1,900 US stocks by relative strength every day</w:t>
      </w:r>
    </w:p>
    <w:p>
      <w:r>
        <w:t>The S&amp;P slipped 1.4% on the week and closed 1.6% below its August 13 high, and yet almost twice as many stocks rose as fell. That's the tension this week. The index looked tired while the market underneath it churned hard: out of steel, banks and chips, into health care, energy and a fistful of commodity names. Oil and gold both jumped, which tells you where the nervous money went, and where it didn't.</w:t>
      </w:r>
    </w:p>
    <w:p>
      <w:pPr>
        <w:pBdr>
          <w:bottom w:val="single" w:sz="6" w:space="1" w:color="C0C0C0"/>
        </w:pBdr>
      </w:pPr>
    </w:p>
    <w:p>
      <w:pPr>
        <w:spacing w:before="240" w:after="80"/>
      </w:pPr>
      <w:r>
        <w:rPr>
          <w:b/>
          <w:color w:val="1F3864"/>
          <w:sz w:val="30"/>
        </w:rPr>
        <w:t>1. The index dipped; the rotation did the real work</w:t>
      </w:r>
    </w:p>
    <w:p>
      <w:r>
        <w:t>The S&amp;P fell 1.4% to 7674.37, still comfortably above its rising 200-day (7129.67). Advancers beat decliners 1268 to 658. A red index over a green market is the signature of rotation, not distribution. Money isn't leaving. It's changing seats.</w:t>
      </w:r>
    </w:p>
    <w:p>
      <w:r>
        <w:t>Our board shows the seat change in high definition. Steel fell from #3 to #80 as a peer group. Diversified Banks went from #18 to #93. Electronic Components dropped #29 to #97, and Electronic Equipment &amp; Instruments #23 to #82. On the other side, Soft Drinks &amp; Non-alcoholic Beverages vaulted from #110 to #43, and Health Care supplied 9 of the top 25 weekly climbers, with Financials adding 6 and Energy 4.</w:t>
      </w:r>
    </w:p>
    <w:p>
      <w:r>
        <w:t>So the groups that led the spring, big banks and the electronics complex tied to the AI build-out, spent this week getting sold, while defensive-growth like biotech and medical devices and the inflation-sensitive corner in energy and materials took the baton. The index number hides all of that. The board doesn't.</w:t>
      </w:r>
    </w:p>
    <w:p>
      <w:pPr>
        <w:pBdr>
          <w:bottom w:val="single" w:sz="6" w:space="1" w:color="C0C0C0"/>
        </w:pBdr>
      </w:pPr>
    </w:p>
    <w:p>
      <w:pPr>
        <w:spacing w:before="240" w:after="80"/>
      </w:pPr>
      <w:r>
        <w:rPr>
          <w:b/>
          <w:color w:val="1F3864"/>
          <w:sz w:val="30"/>
        </w:rPr>
        <w:t>2. Grading our own calls</w:t>
      </w:r>
    </w:p>
    <w:p>
      <w:r>
        <w:t>Three predictions from late June came due. All three held up, so this is a good week for the scorecard, and I'll flag where I'm grading on thinner evidence than I'd like.</w:t>
      </w:r>
    </w:p>
    <w:p>
      <w:r>
        <w:rPr>
          <w:b/>
        </w:rPr>
        <w:t>Call 1 — the health-care/biotech wave holds and confirms a real rotation. Grade: A−.</w:t>
      </w:r>
      <w:r>
        <w:t xml:space="preserve"> I can't reach back and quote the specific June names' ranks from this week's pack, so treat the minus as honesty about the evidence. But the theme is alive: biotech and medical names fill the top 20 today (XNCR, ATRC, HAE, HALO, IOVA), and health care led the weekly climbers. The rotation wasn't a one-week spark.</w:t>
      </w:r>
    </w:p>
    <w:p>
      <w:r>
        <w:rPr>
          <w:b/>
        </w:rPr>
        <w:t>Call 2 — semis stay in the lower half and don't reclaim a top-20 peer rank. Grade: A.</w:t>
      </w:r>
      <w:r>
        <w:t xml:space="preserve"> The electronics groups fell down the board again this week, and the mega-cap chips sit deep in the pack: Nvidia #568, Broadcom #1575, TSM #1057. The chip trade is still consolidating.</w:t>
      </w:r>
    </w:p>
    <w:p>
      <w:r>
        <w:rPr>
          <w:b/>
        </w:rPr>
        <w:t>Call 3 — regime stays healthy, VIX under 20 and breadth above 60%. Grade: A.</w:t>
      </w:r>
      <w:r>
        <w:t xml:space="preserve"> VIX closed at 15.13; 68.29% of stocks are above their 200-day. Both boxes checked with room to spare.</w:t>
      </w:r>
    </w:p>
    <w:p>
      <w:pPr>
        <w:pBdr>
          <w:bottom w:val="single" w:sz="6" w:space="1" w:color="C0C0C0"/>
        </w:pBdr>
      </w:pPr>
    </w:p>
    <w:p>
      <w:pPr>
        <w:spacing w:before="240" w:after="80"/>
      </w:pPr>
      <w:r>
        <w:rPr>
          <w:b/>
          <w:color w:val="1F3864"/>
          <w:sz w:val="30"/>
        </w:rPr>
        <w:t>3. Oil and gold both spiked — read them together, not apart</w:t>
      </w:r>
    </w:p>
    <w:p>
      <w:r>
        <w:t>Brent crude rose 6.6% on the week, back above the $90s, on renewed US–Iran tension around the Strait of Hormuz. That's the headline behind every "Sensex falls on crude" wire and behind Japan printing its hottest inflation of the year on energy costs. When the world's chokepoint for seaborne oil gets a scare, the premium shows up in Brent first.</w:t>
      </w:r>
    </w:p>
    <w:p>
      <w:r>
        <w:t>Gold did something similar, up 6.8%. Two safe-ish assets rising at once usually means fear, so look at the rest of the panel before you conclude fear owns the tape. The VIX is asleep at 15.13. High-yield bonds barely moved (-0.1%). The dollar fell 0.9% on the week, which is the opposite of a flight-to-safety bid. So the anxiety is concentrated in the commodity aisle, oil on geopolitics and gold on a mix of geopolitics and inflation worry, while credit and equity-vol shrugged.</w:t>
      </w:r>
    </w:p>
    <w:p>
      <w:r>
        <w:t>That distinction matters. If gold, junk and the dollar had all turned together, I'd tell you the market was hedging for real. Instead you've got a supply-and-inflation story in commodities that hasn't infected the plumbing. The tell that it's inflation and not just war: the 10-year yield rose 6bp to 4.69% the same week gold rallied. Growth-fear buys gold and sells yields; inflation-fear buys gold and sells bonds. This looks like the second one.</w:t>
      </w:r>
    </w:p>
    <w:p>
      <w:r>
        <w:t>The clean read-through is Energy on our watchlist, which I'll get to. The dirtier one is that a persistent $90s Brent keeps upward pressure on CPI, which already sits at 3.4%.</w:t>
      </w:r>
    </w:p>
    <w:p>
      <w:pPr>
        <w:pBdr>
          <w:bottom w:val="single" w:sz="6" w:space="1" w:color="C0C0C0"/>
        </w:pBdr>
      </w:pPr>
    </w:p>
    <w:p>
      <w:pPr>
        <w:spacing w:before="240" w:after="80"/>
      </w:pPr>
      <w:r>
        <w:rPr>
          <w:b/>
          <w:color w:val="1F3864"/>
          <w:sz w:val="30"/>
        </w:rPr>
        <w:t>4. The Fed's strange spot, and a curve that's steepening</w:t>
      </w:r>
    </w:p>
    <w:p>
      <w:r>
        <w:t xml:space="preserve">Most of the year the debate was when the Fed cuts. Now the betting markets are chewing on whether it </w:t>
      </w:r>
      <w:r>
        <w:rPr>
          <w:i/>
        </w:rPr>
        <w:t>hikes</w:t>
      </w:r>
      <w:r>
        <w:t xml:space="preserve"> in September. Odds of a hike reportedly fell to around one-in-four, but the fact that a hike is even on the table tells you inflation hasn't been beaten. Fed funds sit at 3.63% (upper target), CPI at 3.4%, and the last payrolls print was actually </w:t>
      </w:r>
      <w:r>
        <w:rPr>
          <w:i/>
        </w:rPr>
        <w:t>negative</w:t>
      </w:r>
      <w:r>
        <w:t xml:space="preserve"> at -23k. A central bank staring at soft jobs and sticky prices is the hardest kind to trade around.</w:t>
      </w:r>
    </w:p>
    <w:p>
      <w:r>
        <w:t>The bond market's own vote: the 2s10s spread is a positive 50bp and steepening, with the 10-year at 4.69% and the 2-year at 4.19%. A steepening curve off a positive base usually says growth-and-inflation, not imminent recession, and it fits the oil-and-gold picture above. A rising long yield is a headwind for the most expensive, longest-duration stocks, which is one more reason the chip and software mega-caps couldn't get out of their own way this week.</w:t>
      </w:r>
    </w:p>
    <w:p>
      <w:r>
        <w:t xml:space="preserve">Weekly jobless claims land next Thursday and matter more than usual. Claims </w:t>
      </w:r>
      <w:r>
        <w:rPr>
          <w:i/>
        </w:rPr>
        <w:t>dropped</w:t>
      </w:r>
      <w:r>
        <w:t xml:space="preserve"> to 206k in the latest read, layoffs still sparse. The puzzle is that it's easy to keep a job and hard to find one. Another low claims number keeps the hawks talking.</w:t>
      </w:r>
    </w:p>
    <w:p>
      <w:pPr>
        <w:pBdr>
          <w:bottom w:val="single" w:sz="6" w:space="1" w:color="C0C0C0"/>
        </w:pBdr>
      </w:pPr>
    </w:p>
    <w:p>
      <w:pPr>
        <w:spacing w:before="240" w:after="80"/>
      </w:pPr>
      <w:r>
        <w:rPr>
          <w:b/>
          <w:color w:val="1F3864"/>
          <w:sz w:val="30"/>
        </w:rPr>
        <w:t>5. Theme of the Week — Food &amp; Agriculture, from the seed to the table</w:t>
      </w:r>
    </w:p>
    <w:p>
      <w:r>
        <w:t>Set the market noise aside for a minute. This week's teaching spotlight is the food supply chain, a clean way to see how money picks a link in a chain and parks there.</w:t>
      </w:r>
    </w:p>
    <w:p>
      <w:r>
        <w:t>Think of getting food to a plate as a relay with five runners. First, the inputs that make a crop possible: seeds and fertilizer. Then the machinery that plants and harvests it. Then animal health, keeping livestock alive and productive. Then the processors and ingredient makers who turn raw commodities into things you'd actually eat. Finally, the distributors who truck it to restaurants and stores. Value flows to whichever runner is scarcest at the moment, the link everyone else has to go through.</w:t>
      </w:r>
    </w:p>
    <w:p>
      <w:r>
        <w:t>Right now our platform's momentum scores (a 0-100 blend of rank, trend and price vs the 50-day, where 50 is dead average) say the baton is with the front of the chain. Seeds and fertilizer is the hottest link at 56, the names there being CF, CTVA, FMC, MOS and NTR. Processing sits close behind at 54 (ADM, BG, DAR, INGR). Equipment is middling at 50 (AGCO, CNH, DE, LNN). Animal health lags at 38, and distribution at 43. The theme as a whole warmed up fast, from a median 36 a week ago to 49 now.</w:t>
      </w:r>
    </w:p>
    <w:p>
      <w:r>
        <w:t>Why the front of the chain? When crop prices and input costs move, the fertilizer and seed makers feel it first. They sit at the pinch point where a whole season's economics gets set. The cost flows downstream to the processor and the distributor, but the pricing power tends to sit upstream. Money's been following that logic.</w:t>
      </w:r>
    </w:p>
    <w:p>
      <w:r>
        <w:t>Two names the data flagged, and neither is advice, just where to start reading. US Foods (USFD) is the strongest single member at a momentum score of 80 and an RS rank of #319, a distributor bucking its own sleepy link. And Bunge (BG) screens as the cheapest on growth-adjusted sales, with a price-to-sales ratio of 0.2 against 88% year-over-year revenue growth, a number worth understanding before you trust it, because a figure that extreme usually means a merger or an accounting quirk is inflating the top line. Do the homework; that's the point of the spotlight.</w:t>
      </w:r>
    </w:p>
    <w:p>
      <w:r>
        <w:t>One housekeeping note: this theme covers only part of the ~1,900-name universe. It's this week's lesson, not a call that agriculture is about to lead the market. The broad rotation read lives in the next section.</w:t>
      </w:r>
    </w:p>
    <w:p>
      <w:pPr>
        <w:pBdr>
          <w:bottom w:val="single" w:sz="6" w:space="1" w:color="C0C0C0"/>
        </w:pBdr>
      </w:pPr>
    </w:p>
    <w:p>
      <w:pPr>
        <w:spacing w:before="240" w:after="80"/>
      </w:pPr>
      <w:r>
        <w:rPr>
          <w:b/>
          <w:color w:val="1F3864"/>
          <w:sz w:val="30"/>
        </w:rPr>
        <w:t>6. Where the money is going</w:t>
      </w:r>
    </w:p>
    <w:p>
      <w:r>
        <w:t>The strongest names on the board, top to bottom:</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930"/>
            <w:shd w:val="clear" w:fill="1F3864"/>
          </w:tcPr>
          <w:p>
            <w:r>
              <w:rPr>
                <w:b/>
                <w:color w:val="FFFFFF"/>
                <w:sz w:val="19"/>
              </w:rPr>
              <w:t>#</w:t>
            </w:r>
          </w:p>
        </w:tc>
        <w:tc>
          <w:tcPr>
            <w:tcW w:type="dxa" w:w="1930"/>
            <w:shd w:val="clear" w:fill="1F3864"/>
          </w:tcPr>
          <w:p>
            <w:r>
              <w:rPr>
                <w:b/>
                <w:color w:val="FFFFFF"/>
                <w:sz w:val="19"/>
              </w:rPr>
              <w:t>Ticker</w:t>
            </w:r>
          </w:p>
        </w:tc>
        <w:tc>
          <w:tcPr>
            <w:tcW w:type="dxa" w:w="1930"/>
            <w:shd w:val="clear" w:fill="1F3864"/>
          </w:tcPr>
          <w:p>
            <w:r>
              <w:rPr>
                <w:b/>
                <w:color w:val="FFFFFF"/>
                <w:sz w:val="19"/>
              </w:rPr>
              <w:t>Company</w:t>
            </w:r>
          </w:p>
        </w:tc>
        <w:tc>
          <w:tcPr>
            <w:tcW w:type="dxa" w:w="1930"/>
            <w:shd w:val="clear" w:fill="1F3864"/>
          </w:tcPr>
          <w:p>
            <w:r>
              <w:rPr>
                <w:b/>
                <w:color w:val="FFFFFF"/>
                <w:sz w:val="19"/>
              </w:rPr>
              <w:t>Industry</w:t>
            </w:r>
          </w:p>
        </w:tc>
        <w:tc>
          <w:tcPr>
            <w:tcW w:type="dxa" w:w="1930"/>
            <w:shd w:val="clear" w:fill="1F3864"/>
          </w:tcPr>
          <w:p>
            <w:r>
              <w:rPr>
                <w:b/>
                <w:color w:val="FFFFFF"/>
                <w:sz w:val="19"/>
              </w:rPr>
              <w:t>Wk %</w:t>
            </w:r>
          </w:p>
        </w:tc>
      </w:tr>
      <w:tr>
        <w:tc>
          <w:tcPr>
            <w:tcW w:type="dxa" w:w="1930"/>
          </w:tcPr>
          <w:p>
            <w:r>
              <w:rPr>
                <w:sz w:val="19"/>
              </w:rPr>
              <w:t>1</w:t>
            </w:r>
          </w:p>
        </w:tc>
        <w:tc>
          <w:tcPr>
            <w:tcW w:type="dxa" w:w="1930"/>
          </w:tcPr>
          <w:p>
            <w:r>
              <w:rPr>
                <w:sz w:val="19"/>
              </w:rPr>
              <w:t>HTFL</w:t>
            </w:r>
          </w:p>
        </w:tc>
        <w:tc>
          <w:tcPr>
            <w:tcW w:type="dxa" w:w="1930"/>
          </w:tcPr>
          <w:p>
            <w:r>
              <w:rPr>
                <w:sz w:val="19"/>
              </w:rPr>
              <w:t>Heartflow</w:t>
            </w:r>
          </w:p>
        </w:tc>
        <w:tc>
          <w:tcPr>
            <w:tcW w:type="dxa" w:w="1930"/>
          </w:tcPr>
          <w:p>
            <w:r>
              <w:rPr>
                <w:sz w:val="19"/>
              </w:rPr>
              <w:t>Health Information Services</w:t>
            </w:r>
          </w:p>
        </w:tc>
        <w:tc>
          <w:tcPr>
            <w:tcW w:type="dxa" w:w="1930"/>
          </w:tcPr>
          <w:p>
            <w:r>
              <w:rPr>
                <w:sz w:val="19"/>
              </w:rPr>
              <w:t>+18.2%</w:t>
            </w:r>
          </w:p>
        </w:tc>
      </w:tr>
      <w:tr>
        <w:tc>
          <w:tcPr>
            <w:tcW w:type="dxa" w:w="1930"/>
            <w:shd w:val="clear" w:fill="EEF1F7"/>
          </w:tcPr>
          <w:p>
            <w:r>
              <w:rPr>
                <w:sz w:val="19"/>
              </w:rPr>
              <w:t>2</w:t>
            </w:r>
          </w:p>
        </w:tc>
        <w:tc>
          <w:tcPr>
            <w:tcW w:type="dxa" w:w="1930"/>
            <w:shd w:val="clear" w:fill="EEF1F7"/>
          </w:tcPr>
          <w:p>
            <w:r>
              <w:rPr>
                <w:sz w:val="19"/>
              </w:rPr>
              <w:t>HZO</w:t>
            </w:r>
          </w:p>
        </w:tc>
        <w:tc>
          <w:tcPr>
            <w:tcW w:type="dxa" w:w="1930"/>
            <w:shd w:val="clear" w:fill="EEF1F7"/>
          </w:tcPr>
          <w:p>
            <w:r>
              <w:rPr>
                <w:sz w:val="19"/>
              </w:rPr>
              <w:t>MarineMax</w:t>
            </w:r>
          </w:p>
        </w:tc>
        <w:tc>
          <w:tcPr>
            <w:tcW w:type="dxa" w:w="1930"/>
            <w:shd w:val="clear" w:fill="EEF1F7"/>
          </w:tcPr>
          <w:p>
            <w:r>
              <w:rPr>
                <w:sz w:val="19"/>
              </w:rPr>
              <w:t>Specialty Stores</w:t>
            </w:r>
          </w:p>
        </w:tc>
        <w:tc>
          <w:tcPr>
            <w:tcW w:type="dxa" w:w="1930"/>
            <w:shd w:val="clear" w:fill="EEF1F7"/>
          </w:tcPr>
          <w:p>
            <w:r>
              <w:rPr>
                <w:sz w:val="19"/>
              </w:rPr>
              <w:t>+0.3%</w:t>
            </w:r>
          </w:p>
        </w:tc>
      </w:tr>
      <w:tr>
        <w:tc>
          <w:tcPr>
            <w:tcW w:type="dxa" w:w="1930"/>
          </w:tcPr>
          <w:p>
            <w:r>
              <w:rPr>
                <w:sz w:val="19"/>
              </w:rPr>
              <w:t>3</w:t>
            </w:r>
          </w:p>
        </w:tc>
        <w:tc>
          <w:tcPr>
            <w:tcW w:type="dxa" w:w="1930"/>
          </w:tcPr>
          <w:p>
            <w:r>
              <w:rPr>
                <w:sz w:val="19"/>
              </w:rPr>
              <w:t>ABCL</w:t>
            </w:r>
          </w:p>
        </w:tc>
        <w:tc>
          <w:tcPr>
            <w:tcW w:type="dxa" w:w="1930"/>
          </w:tcPr>
          <w:p>
            <w:r>
              <w:rPr>
                <w:sz w:val="19"/>
              </w:rPr>
              <w:t>AbCellera Biologics</w:t>
            </w:r>
          </w:p>
        </w:tc>
        <w:tc>
          <w:tcPr>
            <w:tcW w:type="dxa" w:w="1930"/>
          </w:tcPr>
          <w:p>
            <w:r>
              <w:rPr>
                <w:sz w:val="19"/>
              </w:rPr>
              <w:t>Biotechnology</w:t>
            </w:r>
          </w:p>
        </w:tc>
        <w:tc>
          <w:tcPr>
            <w:tcW w:type="dxa" w:w="1930"/>
          </w:tcPr>
          <w:p>
            <w:r>
              <w:rPr>
                <w:sz w:val="19"/>
              </w:rPr>
              <w:t>-0.5%</w:t>
            </w:r>
          </w:p>
        </w:tc>
      </w:tr>
      <w:tr>
        <w:tc>
          <w:tcPr>
            <w:tcW w:type="dxa" w:w="1930"/>
            <w:shd w:val="clear" w:fill="EEF1F7"/>
          </w:tcPr>
          <w:p>
            <w:r>
              <w:rPr>
                <w:sz w:val="19"/>
              </w:rPr>
              <w:t>4</w:t>
            </w:r>
          </w:p>
        </w:tc>
        <w:tc>
          <w:tcPr>
            <w:tcW w:type="dxa" w:w="1930"/>
            <w:shd w:val="clear" w:fill="EEF1F7"/>
          </w:tcPr>
          <w:p>
            <w:r>
              <w:rPr>
                <w:sz w:val="19"/>
              </w:rPr>
              <w:t>TEAM</w:t>
            </w:r>
          </w:p>
        </w:tc>
        <w:tc>
          <w:tcPr>
            <w:tcW w:type="dxa" w:w="1930"/>
            <w:shd w:val="clear" w:fill="EEF1F7"/>
          </w:tcPr>
          <w:p>
            <w:r>
              <w:rPr>
                <w:sz w:val="19"/>
              </w:rPr>
              <w:t>Atlassian</w:t>
            </w:r>
          </w:p>
        </w:tc>
        <w:tc>
          <w:tcPr>
            <w:tcW w:type="dxa" w:w="1930"/>
            <w:shd w:val="clear" w:fill="EEF1F7"/>
          </w:tcPr>
          <w:p>
            <w:r>
              <w:rPr>
                <w:sz w:val="19"/>
              </w:rPr>
              <w:t>Software - Application</w:t>
            </w:r>
          </w:p>
        </w:tc>
        <w:tc>
          <w:tcPr>
            <w:tcW w:type="dxa" w:w="1930"/>
            <w:shd w:val="clear" w:fill="EEF1F7"/>
          </w:tcPr>
          <w:p>
            <w:r>
              <w:rPr>
                <w:sz w:val="19"/>
              </w:rPr>
              <w:t>+5.9%</w:t>
            </w:r>
          </w:p>
        </w:tc>
      </w:tr>
      <w:tr>
        <w:tc>
          <w:tcPr>
            <w:tcW w:type="dxa" w:w="1930"/>
          </w:tcPr>
          <w:p>
            <w:r>
              <w:rPr>
                <w:sz w:val="19"/>
              </w:rPr>
              <w:t>5</w:t>
            </w:r>
          </w:p>
        </w:tc>
        <w:tc>
          <w:tcPr>
            <w:tcW w:type="dxa" w:w="1930"/>
          </w:tcPr>
          <w:p>
            <w:r>
              <w:rPr>
                <w:sz w:val="19"/>
              </w:rPr>
              <w:t>ESTC</w:t>
            </w:r>
          </w:p>
        </w:tc>
        <w:tc>
          <w:tcPr>
            <w:tcW w:type="dxa" w:w="1930"/>
          </w:tcPr>
          <w:p>
            <w:r>
              <w:rPr>
                <w:sz w:val="19"/>
              </w:rPr>
              <w:t>Elastic</w:t>
            </w:r>
          </w:p>
        </w:tc>
        <w:tc>
          <w:tcPr>
            <w:tcW w:type="dxa" w:w="1930"/>
          </w:tcPr>
          <w:p>
            <w:r>
              <w:rPr>
                <w:sz w:val="19"/>
              </w:rPr>
              <w:t>Application Software</w:t>
            </w:r>
          </w:p>
        </w:tc>
        <w:tc>
          <w:tcPr>
            <w:tcW w:type="dxa" w:w="1930"/>
          </w:tcPr>
          <w:p>
            <w:r>
              <w:rPr>
                <w:sz w:val="19"/>
              </w:rPr>
              <w:t>-0.9%</w:t>
            </w:r>
          </w:p>
        </w:tc>
      </w:tr>
      <w:tr>
        <w:tc>
          <w:tcPr>
            <w:tcW w:type="dxa" w:w="1930"/>
            <w:shd w:val="clear" w:fill="EEF1F7"/>
          </w:tcPr>
          <w:p>
            <w:r>
              <w:rPr>
                <w:sz w:val="19"/>
              </w:rPr>
              <w:t>6</w:t>
            </w:r>
          </w:p>
        </w:tc>
        <w:tc>
          <w:tcPr>
            <w:tcW w:type="dxa" w:w="1930"/>
            <w:shd w:val="clear" w:fill="EEF1F7"/>
          </w:tcPr>
          <w:p>
            <w:r>
              <w:rPr>
                <w:sz w:val="19"/>
              </w:rPr>
              <w:t>ITGR</w:t>
            </w:r>
          </w:p>
        </w:tc>
        <w:tc>
          <w:tcPr>
            <w:tcW w:type="dxa" w:w="1930"/>
            <w:shd w:val="clear" w:fill="EEF1F7"/>
          </w:tcPr>
          <w:p>
            <w:r>
              <w:rPr>
                <w:sz w:val="19"/>
              </w:rPr>
              <w:t>Integer Holdings</w:t>
            </w:r>
          </w:p>
        </w:tc>
        <w:tc>
          <w:tcPr>
            <w:tcW w:type="dxa" w:w="1930"/>
            <w:shd w:val="clear" w:fill="EEF1F7"/>
          </w:tcPr>
          <w:p>
            <w:r>
              <w:rPr>
                <w:sz w:val="19"/>
              </w:rPr>
              <w:t>Health Care Equipment</w:t>
            </w:r>
          </w:p>
        </w:tc>
        <w:tc>
          <w:tcPr>
            <w:tcW w:type="dxa" w:w="1930"/>
            <w:shd w:val="clear" w:fill="EEF1F7"/>
          </w:tcPr>
          <w:p>
            <w:r>
              <w:rPr>
                <w:sz w:val="19"/>
              </w:rPr>
              <w:t>-0.0%</w:t>
            </w:r>
          </w:p>
        </w:tc>
      </w:tr>
      <w:tr>
        <w:tc>
          <w:tcPr>
            <w:tcW w:type="dxa" w:w="1930"/>
          </w:tcPr>
          <w:p>
            <w:r>
              <w:rPr>
                <w:sz w:val="19"/>
              </w:rPr>
              <w:t>7</w:t>
            </w:r>
          </w:p>
        </w:tc>
        <w:tc>
          <w:tcPr>
            <w:tcW w:type="dxa" w:w="1930"/>
          </w:tcPr>
          <w:p>
            <w:r>
              <w:rPr>
                <w:sz w:val="19"/>
              </w:rPr>
              <w:t>XNCR</w:t>
            </w:r>
          </w:p>
        </w:tc>
        <w:tc>
          <w:tcPr>
            <w:tcW w:type="dxa" w:w="1930"/>
          </w:tcPr>
          <w:p>
            <w:r>
              <w:rPr>
                <w:sz w:val="19"/>
              </w:rPr>
              <w:t>Xencor</w:t>
            </w:r>
          </w:p>
        </w:tc>
        <w:tc>
          <w:tcPr>
            <w:tcW w:type="dxa" w:w="1930"/>
          </w:tcPr>
          <w:p>
            <w:r>
              <w:rPr>
                <w:sz w:val="19"/>
              </w:rPr>
              <w:t>Biotechnology</w:t>
            </w:r>
          </w:p>
        </w:tc>
        <w:tc>
          <w:tcPr>
            <w:tcW w:type="dxa" w:w="1930"/>
          </w:tcPr>
          <w:p>
            <w:r>
              <w:rPr>
                <w:sz w:val="19"/>
              </w:rPr>
              <w:t>+19.1%</w:t>
            </w:r>
          </w:p>
        </w:tc>
      </w:tr>
      <w:tr>
        <w:tc>
          <w:tcPr>
            <w:tcW w:type="dxa" w:w="1930"/>
            <w:shd w:val="clear" w:fill="EEF1F7"/>
          </w:tcPr>
          <w:p>
            <w:r>
              <w:rPr>
                <w:sz w:val="19"/>
              </w:rPr>
              <w:t>8</w:t>
            </w:r>
          </w:p>
        </w:tc>
        <w:tc>
          <w:tcPr>
            <w:tcW w:type="dxa" w:w="1930"/>
            <w:shd w:val="clear" w:fill="EEF1F7"/>
          </w:tcPr>
          <w:p>
            <w:r>
              <w:rPr>
                <w:sz w:val="19"/>
              </w:rPr>
              <w:t>ATRC</w:t>
            </w:r>
          </w:p>
        </w:tc>
        <w:tc>
          <w:tcPr>
            <w:tcW w:type="dxa" w:w="1930"/>
            <w:shd w:val="clear" w:fill="EEF1F7"/>
          </w:tcPr>
          <w:p>
            <w:r>
              <w:rPr>
                <w:sz w:val="19"/>
              </w:rPr>
              <w:t>AtriCure</w:t>
            </w:r>
          </w:p>
        </w:tc>
        <w:tc>
          <w:tcPr>
            <w:tcW w:type="dxa" w:w="1930"/>
            <w:shd w:val="clear" w:fill="EEF1F7"/>
          </w:tcPr>
          <w:p>
            <w:r>
              <w:rPr>
                <w:sz w:val="19"/>
              </w:rPr>
              <w:t>Medical Instruments</w:t>
            </w:r>
          </w:p>
        </w:tc>
        <w:tc>
          <w:tcPr>
            <w:tcW w:type="dxa" w:w="1930"/>
            <w:shd w:val="clear" w:fill="EEF1F7"/>
          </w:tcPr>
          <w:p>
            <w:r>
              <w:rPr>
                <w:sz w:val="19"/>
              </w:rPr>
              <w:t>+10.6%</w:t>
            </w:r>
          </w:p>
        </w:tc>
      </w:tr>
      <w:tr>
        <w:tc>
          <w:tcPr>
            <w:tcW w:type="dxa" w:w="1930"/>
          </w:tcPr>
          <w:p>
            <w:r>
              <w:rPr>
                <w:sz w:val="19"/>
              </w:rPr>
              <w:t>9</w:t>
            </w:r>
          </w:p>
        </w:tc>
        <w:tc>
          <w:tcPr>
            <w:tcW w:type="dxa" w:w="1930"/>
          </w:tcPr>
          <w:p>
            <w:r>
              <w:rPr>
                <w:sz w:val="19"/>
              </w:rPr>
              <w:t>PAYC</w:t>
            </w:r>
          </w:p>
        </w:tc>
        <w:tc>
          <w:tcPr>
            <w:tcW w:type="dxa" w:w="1930"/>
          </w:tcPr>
          <w:p>
            <w:r>
              <w:rPr>
                <w:sz w:val="19"/>
              </w:rPr>
              <w:t>Paycom</w:t>
            </w:r>
          </w:p>
        </w:tc>
        <w:tc>
          <w:tcPr>
            <w:tcW w:type="dxa" w:w="1930"/>
          </w:tcPr>
          <w:p>
            <w:r>
              <w:rPr>
                <w:sz w:val="19"/>
              </w:rPr>
              <w:t>HR &amp; Employment Services</w:t>
            </w:r>
          </w:p>
        </w:tc>
        <w:tc>
          <w:tcPr>
            <w:tcW w:type="dxa" w:w="1930"/>
          </w:tcPr>
          <w:p>
            <w:r>
              <w:rPr>
                <w:sz w:val="19"/>
              </w:rPr>
              <w:t>+5.0%</w:t>
            </w:r>
          </w:p>
        </w:tc>
      </w:tr>
      <w:tr>
        <w:tc>
          <w:tcPr>
            <w:tcW w:type="dxa" w:w="1930"/>
            <w:shd w:val="clear" w:fill="EEF1F7"/>
          </w:tcPr>
          <w:p>
            <w:r>
              <w:rPr>
                <w:sz w:val="19"/>
              </w:rPr>
              <w:t>10</w:t>
            </w:r>
          </w:p>
        </w:tc>
        <w:tc>
          <w:tcPr>
            <w:tcW w:type="dxa" w:w="1930"/>
            <w:shd w:val="clear" w:fill="EEF1F7"/>
          </w:tcPr>
          <w:p>
            <w:r>
              <w:rPr>
                <w:sz w:val="19"/>
              </w:rPr>
              <w:t>HAE</w:t>
            </w:r>
          </w:p>
        </w:tc>
        <w:tc>
          <w:tcPr>
            <w:tcW w:type="dxa" w:w="1930"/>
            <w:shd w:val="clear" w:fill="EEF1F7"/>
          </w:tcPr>
          <w:p>
            <w:r>
              <w:rPr>
                <w:sz w:val="19"/>
              </w:rPr>
              <w:t>Haemonetics</w:t>
            </w:r>
          </w:p>
        </w:tc>
        <w:tc>
          <w:tcPr>
            <w:tcW w:type="dxa" w:w="1930"/>
            <w:shd w:val="clear" w:fill="EEF1F7"/>
          </w:tcPr>
          <w:p>
            <w:r>
              <w:rPr>
                <w:sz w:val="19"/>
              </w:rPr>
              <w:t>Health Care Supplies</w:t>
            </w:r>
          </w:p>
        </w:tc>
        <w:tc>
          <w:tcPr>
            <w:tcW w:type="dxa" w:w="1930"/>
            <w:shd w:val="clear" w:fill="EEF1F7"/>
          </w:tcPr>
          <w:p>
            <w:r>
              <w:rPr>
                <w:sz w:val="19"/>
              </w:rPr>
              <w:t>+19.8%</w:t>
            </w:r>
          </w:p>
        </w:tc>
      </w:tr>
    </w:tbl>
    <w:p/>
    <w:p>
      <w:r>
        <w:t>Count them: seven of the top ten are health care or biotech. Not a coincidence of one hot week, but the same rotation that's been building since spring, now sitting at the top of the board. The two software names (Atlassian, Elastic) and one enterprise-payroll name (Paycom) round it out. Just below the cut are more of the same: HALO, IOVA, REGN, AZTA, biotech and life-science tools.</w:t>
      </w:r>
    </w:p>
    <w:p>
      <w:r>
        <w:t>The weekly climbers show where the fast money moved, and here the picture gets more speculative:</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930"/>
            <w:shd w:val="clear" w:fill="1F3864"/>
          </w:tcPr>
          <w:p>
            <w:r>
              <w:rPr>
                <w:b/>
                <w:color w:val="FFFFFF"/>
                <w:sz w:val="19"/>
              </w:rPr>
              <w:t>Ticker</w:t>
            </w:r>
          </w:p>
        </w:tc>
        <w:tc>
          <w:tcPr>
            <w:tcW w:type="dxa" w:w="1930"/>
            <w:shd w:val="clear" w:fill="1F3864"/>
          </w:tcPr>
          <w:p>
            <w:r>
              <w:rPr>
                <w:b/>
                <w:color w:val="FFFFFF"/>
                <w:sz w:val="19"/>
              </w:rPr>
              <w:t>Sector</w:t>
            </w:r>
          </w:p>
        </w:tc>
        <w:tc>
          <w:tcPr>
            <w:tcW w:type="dxa" w:w="1930"/>
            <w:shd w:val="clear" w:fill="1F3864"/>
          </w:tcPr>
          <w:p>
            <w:r>
              <w:rPr>
                <w:b/>
                <w:color w:val="FFFFFF"/>
                <w:sz w:val="19"/>
              </w:rPr>
              <w:t>Rank: week ago → now</w:t>
            </w:r>
          </w:p>
        </w:tc>
        <w:tc>
          <w:tcPr>
            <w:tcW w:type="dxa" w:w="1930"/>
            <w:shd w:val="clear" w:fill="1F3864"/>
          </w:tcPr>
          <w:p>
            <w:r>
              <w:rPr>
                <w:b/>
                <w:color w:val="FFFFFF"/>
                <w:sz w:val="19"/>
              </w:rPr>
              <w:t>Climb</w:t>
            </w:r>
          </w:p>
        </w:tc>
        <w:tc>
          <w:tcPr>
            <w:tcW w:type="dxa" w:w="1930"/>
            <w:shd w:val="clear" w:fill="1F3864"/>
          </w:tcPr>
          <w:p>
            <w:r>
              <w:rPr>
                <w:b/>
                <w:color w:val="FFFFFF"/>
                <w:sz w:val="19"/>
              </w:rPr>
              <w:t>Wk %</w:t>
            </w:r>
          </w:p>
        </w:tc>
      </w:tr>
      <w:tr>
        <w:tc>
          <w:tcPr>
            <w:tcW w:type="dxa" w:w="1930"/>
          </w:tcPr>
          <w:p>
            <w:r>
              <w:rPr>
                <w:sz w:val="19"/>
              </w:rPr>
              <w:t>PURR</w:t>
            </w:r>
          </w:p>
        </w:tc>
        <w:tc>
          <w:tcPr>
            <w:tcW w:type="dxa" w:w="1930"/>
          </w:tcPr>
          <w:p>
            <w:r>
              <w:rPr>
                <w:sz w:val="19"/>
              </w:rPr>
              <w:t>Financials</w:t>
            </w:r>
          </w:p>
        </w:tc>
        <w:tc>
          <w:tcPr>
            <w:tcW w:type="dxa" w:w="1930"/>
          </w:tcPr>
          <w:p>
            <w:r>
              <w:rPr>
                <w:sz w:val="19"/>
              </w:rPr>
              <w:t>1484 → 226</w:t>
            </w:r>
          </w:p>
        </w:tc>
        <w:tc>
          <w:tcPr>
            <w:tcW w:type="dxa" w:w="1930"/>
          </w:tcPr>
          <w:p>
            <w:r>
              <w:rPr>
                <w:sz w:val="19"/>
              </w:rPr>
              <w:t>+1258</w:t>
            </w:r>
          </w:p>
        </w:tc>
        <w:tc>
          <w:tcPr>
            <w:tcW w:type="dxa" w:w="1930"/>
          </w:tcPr>
          <w:p>
            <w:r>
              <w:rPr>
                <w:sz w:val="19"/>
              </w:rPr>
              <w:t>+58.4%</w:t>
            </w:r>
          </w:p>
        </w:tc>
      </w:tr>
      <w:tr>
        <w:tc>
          <w:tcPr>
            <w:tcW w:type="dxa" w:w="1930"/>
            <w:shd w:val="clear" w:fill="EEF1F7"/>
          </w:tcPr>
          <w:p>
            <w:r>
              <w:rPr>
                <w:sz w:val="19"/>
              </w:rPr>
              <w:t>ARGX</w:t>
            </w:r>
          </w:p>
        </w:tc>
        <w:tc>
          <w:tcPr>
            <w:tcW w:type="dxa" w:w="1930"/>
            <w:shd w:val="clear" w:fill="EEF1F7"/>
          </w:tcPr>
          <w:p>
            <w:r>
              <w:rPr>
                <w:sz w:val="19"/>
              </w:rPr>
              <w:t>Health Care</w:t>
            </w:r>
          </w:p>
        </w:tc>
        <w:tc>
          <w:tcPr>
            <w:tcW w:type="dxa" w:w="1930"/>
            <w:shd w:val="clear" w:fill="EEF1F7"/>
          </w:tcPr>
          <w:p>
            <w:r>
              <w:rPr>
                <w:sz w:val="19"/>
              </w:rPr>
              <w:t>1394 → 264</w:t>
            </w:r>
          </w:p>
        </w:tc>
        <w:tc>
          <w:tcPr>
            <w:tcW w:type="dxa" w:w="1930"/>
            <w:shd w:val="clear" w:fill="EEF1F7"/>
          </w:tcPr>
          <w:p>
            <w:r>
              <w:rPr>
                <w:sz w:val="19"/>
              </w:rPr>
              <w:t>+1130</w:t>
            </w:r>
          </w:p>
        </w:tc>
        <w:tc>
          <w:tcPr>
            <w:tcW w:type="dxa" w:w="1930"/>
            <w:shd w:val="clear" w:fill="EEF1F7"/>
          </w:tcPr>
          <w:p>
            <w:r>
              <w:rPr>
                <w:sz w:val="19"/>
              </w:rPr>
              <w:t>+22.1%</w:t>
            </w:r>
          </w:p>
        </w:tc>
      </w:tr>
      <w:tr>
        <w:tc>
          <w:tcPr>
            <w:tcW w:type="dxa" w:w="1930"/>
          </w:tcPr>
          <w:p>
            <w:r>
              <w:rPr>
                <w:sz w:val="19"/>
              </w:rPr>
              <w:t>HTHT</w:t>
            </w:r>
          </w:p>
        </w:tc>
        <w:tc>
          <w:tcPr>
            <w:tcW w:type="dxa" w:w="1930"/>
          </w:tcPr>
          <w:p>
            <w:r>
              <w:rPr>
                <w:sz w:val="19"/>
              </w:rPr>
              <w:t>Cons. Disc.</w:t>
            </w:r>
          </w:p>
        </w:tc>
        <w:tc>
          <w:tcPr>
            <w:tcW w:type="dxa" w:w="1930"/>
          </w:tcPr>
          <w:p>
            <w:r>
              <w:rPr>
                <w:sz w:val="19"/>
              </w:rPr>
              <w:t>1437 → 354</w:t>
            </w:r>
          </w:p>
        </w:tc>
        <w:tc>
          <w:tcPr>
            <w:tcW w:type="dxa" w:w="1930"/>
          </w:tcPr>
          <w:p>
            <w:r>
              <w:rPr>
                <w:sz w:val="19"/>
              </w:rPr>
              <w:t>+1083</w:t>
            </w:r>
          </w:p>
        </w:tc>
        <w:tc>
          <w:tcPr>
            <w:tcW w:type="dxa" w:w="1930"/>
          </w:tcPr>
          <w:p>
            <w:r>
              <w:rPr>
                <w:sz w:val="19"/>
              </w:rPr>
              <w:t>+17.4%</w:t>
            </w:r>
          </w:p>
        </w:tc>
      </w:tr>
      <w:tr>
        <w:tc>
          <w:tcPr>
            <w:tcW w:type="dxa" w:w="1930"/>
            <w:shd w:val="clear" w:fill="EEF1F7"/>
          </w:tcPr>
          <w:p>
            <w:r>
              <w:rPr>
                <w:sz w:val="19"/>
              </w:rPr>
              <w:t>BNTX</w:t>
            </w:r>
          </w:p>
        </w:tc>
        <w:tc>
          <w:tcPr>
            <w:tcW w:type="dxa" w:w="1930"/>
            <w:shd w:val="clear" w:fill="EEF1F7"/>
          </w:tcPr>
          <w:p>
            <w:r>
              <w:rPr>
                <w:sz w:val="19"/>
              </w:rPr>
              <w:t>Health Care</w:t>
            </w:r>
          </w:p>
        </w:tc>
        <w:tc>
          <w:tcPr>
            <w:tcW w:type="dxa" w:w="1930"/>
            <w:shd w:val="clear" w:fill="EEF1F7"/>
          </w:tcPr>
          <w:p>
            <w:r>
              <w:rPr>
                <w:sz w:val="19"/>
              </w:rPr>
              <w:t>1256 → 254</w:t>
            </w:r>
          </w:p>
        </w:tc>
        <w:tc>
          <w:tcPr>
            <w:tcW w:type="dxa" w:w="1930"/>
            <w:shd w:val="clear" w:fill="EEF1F7"/>
          </w:tcPr>
          <w:p>
            <w:r>
              <w:rPr>
                <w:sz w:val="19"/>
              </w:rPr>
              <w:t>+1002</w:t>
            </w:r>
          </w:p>
        </w:tc>
        <w:tc>
          <w:tcPr>
            <w:tcW w:type="dxa" w:w="1930"/>
            <w:shd w:val="clear" w:fill="EEF1F7"/>
          </w:tcPr>
          <w:p>
            <w:r>
              <w:rPr>
                <w:sz w:val="19"/>
              </w:rPr>
              <w:t>+25.2%</w:t>
            </w:r>
          </w:p>
        </w:tc>
      </w:tr>
      <w:tr>
        <w:tc>
          <w:tcPr>
            <w:tcW w:type="dxa" w:w="1930"/>
          </w:tcPr>
          <w:p>
            <w:r>
              <w:rPr>
                <w:sz w:val="19"/>
              </w:rPr>
              <w:t>AMR</w:t>
            </w:r>
          </w:p>
        </w:tc>
        <w:tc>
          <w:tcPr>
            <w:tcW w:type="dxa" w:w="1930"/>
          </w:tcPr>
          <w:p>
            <w:r>
              <w:rPr>
                <w:sz w:val="19"/>
              </w:rPr>
              <w:t>Materials</w:t>
            </w:r>
          </w:p>
        </w:tc>
        <w:tc>
          <w:tcPr>
            <w:tcW w:type="dxa" w:w="1930"/>
          </w:tcPr>
          <w:p>
            <w:r>
              <w:rPr>
                <w:sz w:val="19"/>
              </w:rPr>
              <w:t>1009 → 120</w:t>
            </w:r>
          </w:p>
        </w:tc>
        <w:tc>
          <w:tcPr>
            <w:tcW w:type="dxa" w:w="1930"/>
          </w:tcPr>
          <w:p>
            <w:r>
              <w:rPr>
                <w:sz w:val="19"/>
              </w:rPr>
              <w:t>+889</w:t>
            </w:r>
          </w:p>
        </w:tc>
        <w:tc>
          <w:tcPr>
            <w:tcW w:type="dxa" w:w="1930"/>
          </w:tcPr>
          <w:p>
            <w:r>
              <w:rPr>
                <w:sz w:val="19"/>
              </w:rPr>
              <w:t>+26.5%</w:t>
            </w:r>
          </w:p>
        </w:tc>
      </w:tr>
      <w:tr>
        <w:tc>
          <w:tcPr>
            <w:tcW w:type="dxa" w:w="1930"/>
            <w:shd w:val="clear" w:fill="EEF1F7"/>
          </w:tcPr>
          <w:p>
            <w:r>
              <w:rPr>
                <w:sz w:val="19"/>
              </w:rPr>
              <w:t>ASST</w:t>
            </w:r>
          </w:p>
        </w:tc>
        <w:tc>
          <w:tcPr>
            <w:tcW w:type="dxa" w:w="1930"/>
            <w:shd w:val="clear" w:fill="EEF1F7"/>
          </w:tcPr>
          <w:p>
            <w:r>
              <w:rPr>
                <w:sz w:val="19"/>
              </w:rPr>
              <w:t>Financials</w:t>
            </w:r>
          </w:p>
        </w:tc>
        <w:tc>
          <w:tcPr>
            <w:tcW w:type="dxa" w:w="1930"/>
            <w:shd w:val="clear" w:fill="EEF1F7"/>
          </w:tcPr>
          <w:p>
            <w:r>
              <w:rPr>
                <w:sz w:val="19"/>
              </w:rPr>
              <w:t>1160 → 276</w:t>
            </w:r>
          </w:p>
        </w:tc>
        <w:tc>
          <w:tcPr>
            <w:tcW w:type="dxa" w:w="1930"/>
            <w:shd w:val="clear" w:fill="EEF1F7"/>
          </w:tcPr>
          <w:p>
            <w:r>
              <w:rPr>
                <w:sz w:val="19"/>
              </w:rPr>
              <w:t>+884</w:t>
            </w:r>
          </w:p>
        </w:tc>
        <w:tc>
          <w:tcPr>
            <w:tcW w:type="dxa" w:w="1930"/>
            <w:shd w:val="clear" w:fill="EEF1F7"/>
          </w:tcPr>
          <w:p>
            <w:r>
              <w:rPr>
                <w:sz w:val="19"/>
              </w:rPr>
              <w:t>+47.9%</w:t>
            </w:r>
          </w:p>
        </w:tc>
      </w:tr>
      <w:tr>
        <w:tc>
          <w:tcPr>
            <w:tcW w:type="dxa" w:w="1930"/>
          </w:tcPr>
          <w:p>
            <w:r>
              <w:rPr>
                <w:sz w:val="19"/>
              </w:rPr>
              <w:t>MRNA</w:t>
            </w:r>
          </w:p>
        </w:tc>
        <w:tc>
          <w:tcPr>
            <w:tcW w:type="dxa" w:w="1930"/>
          </w:tcPr>
          <w:p>
            <w:r>
              <w:rPr>
                <w:sz w:val="19"/>
              </w:rPr>
              <w:t>Health Care</w:t>
            </w:r>
          </w:p>
        </w:tc>
        <w:tc>
          <w:tcPr>
            <w:tcW w:type="dxa" w:w="1930"/>
          </w:tcPr>
          <w:p>
            <w:r>
              <w:rPr>
                <w:sz w:val="19"/>
              </w:rPr>
              <w:t>959 → 162</w:t>
            </w:r>
          </w:p>
        </w:tc>
        <w:tc>
          <w:tcPr>
            <w:tcW w:type="dxa" w:w="1930"/>
          </w:tcPr>
          <w:p>
            <w:r>
              <w:rPr>
                <w:sz w:val="19"/>
              </w:rPr>
              <w:t>+797</w:t>
            </w:r>
          </w:p>
        </w:tc>
        <w:tc>
          <w:tcPr>
            <w:tcW w:type="dxa" w:w="1930"/>
          </w:tcPr>
          <w:p>
            <w:r>
              <w:rPr>
                <w:sz w:val="19"/>
              </w:rPr>
              <w:t>+129.2%</w:t>
            </w:r>
          </w:p>
        </w:tc>
      </w:tr>
      <w:tr>
        <w:tc>
          <w:tcPr>
            <w:tcW w:type="dxa" w:w="1930"/>
            <w:shd w:val="clear" w:fill="EEF1F7"/>
          </w:tcPr>
          <w:p>
            <w:r>
              <w:rPr>
                <w:sz w:val="19"/>
              </w:rPr>
              <w:t>SQM</w:t>
            </w:r>
          </w:p>
        </w:tc>
        <w:tc>
          <w:tcPr>
            <w:tcW w:type="dxa" w:w="1930"/>
            <w:shd w:val="clear" w:fill="EEF1F7"/>
          </w:tcPr>
          <w:p>
            <w:r>
              <w:rPr>
                <w:sz w:val="19"/>
              </w:rPr>
              <w:t>Materials</w:t>
            </w:r>
          </w:p>
        </w:tc>
        <w:tc>
          <w:tcPr>
            <w:tcW w:type="dxa" w:w="1930"/>
            <w:shd w:val="clear" w:fill="EEF1F7"/>
          </w:tcPr>
          <w:p>
            <w:r>
              <w:rPr>
                <w:sz w:val="19"/>
              </w:rPr>
              <w:t>1135 → 378</w:t>
            </w:r>
          </w:p>
        </w:tc>
        <w:tc>
          <w:tcPr>
            <w:tcW w:type="dxa" w:w="1930"/>
            <w:shd w:val="clear" w:fill="EEF1F7"/>
          </w:tcPr>
          <w:p>
            <w:r>
              <w:rPr>
                <w:sz w:val="19"/>
              </w:rPr>
              <w:t>+757</w:t>
            </w:r>
          </w:p>
        </w:tc>
        <w:tc>
          <w:tcPr>
            <w:tcW w:type="dxa" w:w="1930"/>
            <w:shd w:val="clear" w:fill="EEF1F7"/>
          </w:tcPr>
          <w:p>
            <w:r>
              <w:rPr>
                <w:sz w:val="19"/>
              </w:rPr>
              <w:t>+10.3%</w:t>
            </w:r>
          </w:p>
        </w:tc>
      </w:tr>
      <w:tr>
        <w:tc>
          <w:tcPr>
            <w:tcW w:type="dxa" w:w="1930"/>
          </w:tcPr>
          <w:p>
            <w:r>
              <w:rPr>
                <w:sz w:val="19"/>
              </w:rPr>
              <w:t>CPRT</w:t>
            </w:r>
          </w:p>
        </w:tc>
        <w:tc>
          <w:tcPr>
            <w:tcW w:type="dxa" w:w="1930"/>
          </w:tcPr>
          <w:p>
            <w:r>
              <w:rPr>
                <w:sz w:val="19"/>
              </w:rPr>
              <w:t>Industrials</w:t>
            </w:r>
          </w:p>
        </w:tc>
        <w:tc>
          <w:tcPr>
            <w:tcW w:type="dxa" w:w="1930"/>
          </w:tcPr>
          <w:p>
            <w:r>
              <w:rPr>
                <w:sz w:val="19"/>
              </w:rPr>
              <w:t>962 → 238</w:t>
            </w:r>
          </w:p>
        </w:tc>
        <w:tc>
          <w:tcPr>
            <w:tcW w:type="dxa" w:w="1930"/>
          </w:tcPr>
          <w:p>
            <w:r>
              <w:rPr>
                <w:sz w:val="19"/>
              </w:rPr>
              <w:t>+724</w:t>
            </w:r>
          </w:p>
        </w:tc>
        <w:tc>
          <w:tcPr>
            <w:tcW w:type="dxa" w:w="1930"/>
          </w:tcPr>
          <w:p>
            <w:r>
              <w:rPr>
                <w:sz w:val="19"/>
              </w:rPr>
              <w:t>+6.9%</w:t>
            </w:r>
          </w:p>
        </w:tc>
      </w:tr>
      <w:tr>
        <w:tc>
          <w:tcPr>
            <w:tcW w:type="dxa" w:w="1930"/>
            <w:shd w:val="clear" w:fill="EEF1F7"/>
          </w:tcPr>
          <w:p>
            <w:r>
              <w:rPr>
                <w:sz w:val="19"/>
              </w:rPr>
              <w:t>FIGR</w:t>
            </w:r>
          </w:p>
        </w:tc>
        <w:tc>
          <w:tcPr>
            <w:tcW w:type="dxa" w:w="1930"/>
            <w:shd w:val="clear" w:fill="EEF1F7"/>
          </w:tcPr>
          <w:p>
            <w:r>
              <w:rPr>
                <w:sz w:val="19"/>
              </w:rPr>
              <w:t>Financials</w:t>
            </w:r>
          </w:p>
        </w:tc>
        <w:tc>
          <w:tcPr>
            <w:tcW w:type="dxa" w:w="1930"/>
            <w:shd w:val="clear" w:fill="EEF1F7"/>
          </w:tcPr>
          <w:p>
            <w:r>
              <w:rPr>
                <w:sz w:val="19"/>
              </w:rPr>
              <w:t>900 → 183</w:t>
            </w:r>
          </w:p>
        </w:tc>
        <w:tc>
          <w:tcPr>
            <w:tcW w:type="dxa" w:w="1930"/>
            <w:shd w:val="clear" w:fill="EEF1F7"/>
          </w:tcPr>
          <w:p>
            <w:r>
              <w:rPr>
                <w:sz w:val="19"/>
              </w:rPr>
              <w:t>+717</w:t>
            </w:r>
          </w:p>
        </w:tc>
        <w:tc>
          <w:tcPr>
            <w:tcW w:type="dxa" w:w="1930"/>
            <w:shd w:val="clear" w:fill="EEF1F7"/>
          </w:tcPr>
          <w:p>
            <w:r>
              <w:rPr>
                <w:sz w:val="19"/>
              </w:rPr>
              <w:t>+24.4%</w:t>
            </w:r>
          </w:p>
        </w:tc>
      </w:tr>
    </w:tbl>
    <w:p/>
    <w:p>
      <w:r>
        <w:t>Moderna nearly doubled on the week, up 129%, on the launch of a personalized cancer vaccine, with BioNTech riding the same mRNA wave (+25%). A genuine catalyst, not a meme, though a 129% week is exactly the kind of vertical move you never chase; you wait for it to pause and prove it can hold the gain. H World (HTHT) and Estée Lauder (EL, +18% and a climber) both jumped on earnings, the China-travel and beauty-recovery trades respectively. AMR and SQM are the materials tell, met coal and lithium catching the commodity bid alongside oil and gold.</w:t>
      </w:r>
    </w:p>
    <w:p>
      <w:r>
        <w:rPr>
          <w:b/>
        </w:rPr>
        <w:t>The Two Clocks — price vs rank.</w:t>
      </w:r>
      <w:r>
        <w:t xml:space="preserve"> The mega-caps that drive the index mostly fell on </w:t>
      </w:r>
      <w:r>
        <w:rPr>
          <w:i/>
        </w:rPr>
        <w:t>both</w:t>
      </w:r>
      <w:r>
        <w:t xml:space="preserve"> clocks this week: Nvidia -4.6% (rank -191 to #568), Broadcom -6.2% (rank down a brutal 879 spots to #1575), Meta -6.8% (rank #1738). Microsoft held up better on rank (#136) but still slid on price. That's an orderly exit from the biggest AI names, and it's why the index sagged even with breadth green. A handful of trillion-dollar stocks weighed on the tape while the median stock did fine.</w:t>
      </w:r>
    </w:p>
    <w:p>
      <w:r>
        <w:t>The exceptions cut the other way. Tesla rose 6% and its rank leapt 612 spots, and Lilly rose 6.4% with rank up 350, real mega-cap strength that fits the health-care leadership.</w:t>
      </w:r>
    </w:p>
    <w:p>
      <w:r>
        <w:t>Then the crypto proxies, which deserve a caution flag. Bitcoin ripped 24.4% on the week, and MSTR (+28.2%), Coinbase (+25.6%), MARA (+22.4%) and Circle (+22.9%) all ran with it. But look at where the board leaves them: MSTR at #711, Coinbase at #790, MARA at #1488. Ranks improved off a low base, sure, but a name up 28% on price that still can't crack the top third of the board is telling you the move is a sentiment pop, not durable leadership. A stock can hold every moving average and still be losing the rank race, and the rank has been the better guide to the months ahead. Since the US close, Bitcoin already gave back about 1% over the weekend, which lands on Monday's open.</w:t>
      </w:r>
    </w:p>
    <w:p>
      <w:r>
        <w:t>A word on PURR (Hyperliquid), the week's biggest climber at +58%: the catalyst was a signal that the US may open a compliant path for the Hyperliquid exchange, and the traditional exchange stocks tumbled on the same news. That fits the Diversified Banks and exchange groups sliding down the board.</w:t>
      </w:r>
    </w:p>
    <w:p>
      <w:r>
        <w:rPr>
          <w:b/>
        </w:rPr>
        <w:t>Analyst moves worth noting.</w:t>
      </w:r>
      <w:r>
        <w:t xml:space="preserve"> Merck got both a downgrade (RBC, to Sector Perform) and an upgrade (Morgan Stanley, to Overweight) in the same week. When the Street is that split, the disagreement </w:t>
      </w:r>
      <w:r>
        <w:rPr>
          <w:i/>
        </w:rPr>
        <w:t>is</w:t>
      </w:r>
      <w:r>
        <w:t xml:space="preserve"> the information; nobody has an edge. BMO opened coverage on Nvidia, AMD, Broadcom and Marvell all at Outperform, even as our board has that whole group in the basement. That's the Street leaning into a group the ranks are fading, worth watching which clock is right. And APA got an upgrade to Buy from Argus, which lines up with the energy names climbing our own board.</w:t>
      </w:r>
    </w:p>
    <w:p>
      <w:pPr>
        <w:pBdr>
          <w:bottom w:val="single" w:sz="6" w:space="1" w:color="C0C0C0"/>
        </w:pBdr>
      </w:pPr>
    </w:p>
    <w:p>
      <w:pPr>
        <w:spacing w:before="240" w:after="80"/>
      </w:pPr>
      <w:r>
        <w:rPr>
          <w:b/>
          <w:color w:val="1F3864"/>
          <w:sz w:val="30"/>
        </w:rPr>
        <w:t>7. A few names worth looking at</w:t>
      </w:r>
    </w:p>
    <w:p>
      <w:r>
        <w:t>These pass four filters at once: strong sector, rank climbing, a real uptrend (price above a rising 20-, 50- and 200-day), and not stretched (within 10% of the 20-day, so you're not chasing). It's a starting point for your own research, not a buy list.</w:t>
      </w:r>
    </w:p>
    <w:tbl>
      <w:tblPr>
        <w:tblStyle w:val="TableGrid"/>
        <w:tblW w:type="auto" w:w="0"/>
        <w:jc w:val="center"/>
        <w:tblLook w:firstColumn="1" w:firstRow="1" w:lastColumn="0" w:lastRow="0" w:noHBand="0" w:noVBand="1" w:val="04A0"/>
      </w:tblPr>
      <w:tblGrid>
        <w:gridCol w:w="1608"/>
        <w:gridCol w:w="1608"/>
        <w:gridCol w:w="1608"/>
        <w:gridCol w:w="1608"/>
        <w:gridCol w:w="1608"/>
        <w:gridCol w:w="1608"/>
      </w:tblGrid>
      <w:tr>
        <w:tc>
          <w:tcPr>
            <w:tcW w:type="dxa" w:w="1608"/>
            <w:shd w:val="clear" w:fill="1F3864"/>
          </w:tcPr>
          <w:p>
            <w:r>
              <w:rPr>
                <w:b/>
                <w:color w:val="FFFFFF"/>
                <w:sz w:val="19"/>
              </w:rPr>
              <w:t>Ticker</w:t>
            </w:r>
          </w:p>
        </w:tc>
        <w:tc>
          <w:tcPr>
            <w:tcW w:type="dxa" w:w="1608"/>
            <w:shd w:val="clear" w:fill="1F3864"/>
          </w:tcPr>
          <w:p>
            <w:r>
              <w:rPr>
                <w:b/>
                <w:color w:val="FFFFFF"/>
                <w:sz w:val="19"/>
              </w:rPr>
              <w:t>Company</w:t>
            </w:r>
          </w:p>
        </w:tc>
        <w:tc>
          <w:tcPr>
            <w:tcW w:type="dxa" w:w="1608"/>
            <w:shd w:val="clear" w:fill="1F3864"/>
          </w:tcPr>
          <w:p>
            <w:r>
              <w:rPr>
                <w:b/>
                <w:color w:val="FFFFFF"/>
                <w:sz w:val="19"/>
              </w:rPr>
              <w:t>Sector</w:t>
            </w:r>
          </w:p>
        </w:tc>
        <w:tc>
          <w:tcPr>
            <w:tcW w:type="dxa" w:w="1608"/>
            <w:shd w:val="clear" w:fill="1F3864"/>
          </w:tcPr>
          <w:p>
            <w:r>
              <w:rPr>
                <w:b/>
                <w:color w:val="FFFFFF"/>
                <w:sz w:val="19"/>
              </w:rPr>
              <w:t>Rank (Δwk)</w:t>
            </w:r>
          </w:p>
        </w:tc>
        <w:tc>
          <w:tcPr>
            <w:tcW w:type="dxa" w:w="1608"/>
            <w:shd w:val="clear" w:fill="1F3864"/>
          </w:tcPr>
          <w:p>
            <w:r>
              <w:rPr>
                <w:b/>
                <w:color w:val="FFFFFF"/>
                <w:sz w:val="19"/>
              </w:rPr>
              <w:t>Conviction</w:t>
            </w:r>
          </w:p>
        </w:tc>
        <w:tc>
          <w:tcPr>
            <w:tcW w:type="dxa" w:w="1608"/>
            <w:shd w:val="clear" w:fill="1F3864"/>
          </w:tcPr>
          <w:p>
            <w:r>
              <w:rPr>
                <w:b/>
                <w:color w:val="FFFFFF"/>
                <w:sz w:val="19"/>
              </w:rPr>
              <w:t>% above 20d</w:t>
            </w:r>
          </w:p>
        </w:tc>
      </w:tr>
      <w:tr>
        <w:tc>
          <w:tcPr>
            <w:tcW w:type="dxa" w:w="1608"/>
          </w:tcPr>
          <w:p>
            <w:r>
              <w:rPr>
                <w:sz w:val="19"/>
              </w:rPr>
              <w:t>PSX</w:t>
            </w:r>
          </w:p>
        </w:tc>
        <w:tc>
          <w:tcPr>
            <w:tcW w:type="dxa" w:w="1608"/>
          </w:tcPr>
          <w:p>
            <w:r>
              <w:rPr>
                <w:sz w:val="19"/>
              </w:rPr>
              <w:t>Phillips 66</w:t>
            </w:r>
          </w:p>
        </w:tc>
        <w:tc>
          <w:tcPr>
            <w:tcW w:type="dxa" w:w="1608"/>
          </w:tcPr>
          <w:p>
            <w:r>
              <w:rPr>
                <w:sz w:val="19"/>
              </w:rPr>
              <w:t>Energy</w:t>
            </w:r>
          </w:p>
        </w:tc>
        <w:tc>
          <w:tcPr>
            <w:tcW w:type="dxa" w:w="1608"/>
          </w:tcPr>
          <w:p>
            <w:r>
              <w:rPr>
                <w:sz w:val="19"/>
              </w:rPr>
              <w:t>26 (+109)</w:t>
            </w:r>
          </w:p>
        </w:tc>
        <w:tc>
          <w:tcPr>
            <w:tcW w:type="dxa" w:w="1608"/>
          </w:tcPr>
          <w:p>
            <w:r>
              <w:rPr>
                <w:sz w:val="19"/>
              </w:rPr>
              <w:t>C</w:t>
            </w:r>
          </w:p>
        </w:tc>
        <w:tc>
          <w:tcPr>
            <w:tcW w:type="dxa" w:w="1608"/>
          </w:tcPr>
          <w:p>
            <w:r>
              <w:rPr>
                <w:sz w:val="19"/>
              </w:rPr>
              <w:t>+8.9%</w:t>
            </w:r>
          </w:p>
        </w:tc>
      </w:tr>
      <w:tr>
        <w:tc>
          <w:tcPr>
            <w:tcW w:type="dxa" w:w="1608"/>
            <w:shd w:val="clear" w:fill="EEF1F7"/>
          </w:tcPr>
          <w:p>
            <w:r>
              <w:rPr>
                <w:sz w:val="19"/>
              </w:rPr>
              <w:t>MPC</w:t>
            </w:r>
          </w:p>
        </w:tc>
        <w:tc>
          <w:tcPr>
            <w:tcW w:type="dxa" w:w="1608"/>
            <w:shd w:val="clear" w:fill="EEF1F7"/>
          </w:tcPr>
          <w:p>
            <w:r>
              <w:rPr>
                <w:sz w:val="19"/>
              </w:rPr>
              <w:t>Marathon Petroleum</w:t>
            </w:r>
          </w:p>
        </w:tc>
        <w:tc>
          <w:tcPr>
            <w:tcW w:type="dxa" w:w="1608"/>
            <w:shd w:val="clear" w:fill="EEF1F7"/>
          </w:tcPr>
          <w:p>
            <w:r>
              <w:rPr>
                <w:sz w:val="19"/>
              </w:rPr>
              <w:t>Energy</w:t>
            </w:r>
          </w:p>
        </w:tc>
        <w:tc>
          <w:tcPr>
            <w:tcW w:type="dxa" w:w="1608"/>
            <w:shd w:val="clear" w:fill="EEF1F7"/>
          </w:tcPr>
          <w:p>
            <w:r>
              <w:rPr>
                <w:sz w:val="19"/>
              </w:rPr>
              <w:t>45 (+84)</w:t>
            </w:r>
          </w:p>
        </w:tc>
        <w:tc>
          <w:tcPr>
            <w:tcW w:type="dxa" w:w="1608"/>
            <w:shd w:val="clear" w:fill="EEF1F7"/>
          </w:tcPr>
          <w:p>
            <w:r>
              <w:rPr>
                <w:sz w:val="19"/>
              </w:rPr>
              <w:t>B</w:t>
            </w:r>
          </w:p>
        </w:tc>
        <w:tc>
          <w:tcPr>
            <w:tcW w:type="dxa" w:w="1608"/>
            <w:shd w:val="clear" w:fill="EEF1F7"/>
          </w:tcPr>
          <w:p>
            <w:r>
              <w:rPr>
                <w:sz w:val="19"/>
              </w:rPr>
              <w:t>+7.8%</w:t>
            </w:r>
          </w:p>
        </w:tc>
      </w:tr>
      <w:tr>
        <w:tc>
          <w:tcPr>
            <w:tcW w:type="dxa" w:w="1608"/>
          </w:tcPr>
          <w:p>
            <w:r>
              <w:rPr>
                <w:sz w:val="19"/>
              </w:rPr>
              <w:t>BIO</w:t>
            </w:r>
          </w:p>
        </w:tc>
        <w:tc>
          <w:tcPr>
            <w:tcW w:type="dxa" w:w="1608"/>
          </w:tcPr>
          <w:p>
            <w:r>
              <w:rPr>
                <w:sz w:val="19"/>
              </w:rPr>
              <w:t>Bio-Rad Laboratories</w:t>
            </w:r>
          </w:p>
        </w:tc>
        <w:tc>
          <w:tcPr>
            <w:tcW w:type="dxa" w:w="1608"/>
          </w:tcPr>
          <w:p>
            <w:r>
              <w:rPr>
                <w:sz w:val="19"/>
              </w:rPr>
              <w:t>Health Care</w:t>
            </w:r>
          </w:p>
        </w:tc>
        <w:tc>
          <w:tcPr>
            <w:tcW w:type="dxa" w:w="1608"/>
          </w:tcPr>
          <w:p>
            <w:r>
              <w:rPr>
                <w:sz w:val="19"/>
              </w:rPr>
              <w:t>47 (+42)</w:t>
            </w:r>
          </w:p>
        </w:tc>
        <w:tc>
          <w:tcPr>
            <w:tcW w:type="dxa" w:w="1608"/>
          </w:tcPr>
          <w:p>
            <w:r>
              <w:rPr>
                <w:sz w:val="19"/>
              </w:rPr>
              <w:t>C</w:t>
            </w:r>
          </w:p>
        </w:tc>
        <w:tc>
          <w:tcPr>
            <w:tcW w:type="dxa" w:w="1608"/>
          </w:tcPr>
          <w:p>
            <w:r>
              <w:rPr>
                <w:sz w:val="19"/>
              </w:rPr>
              <w:t>+8.9%</w:t>
            </w:r>
          </w:p>
        </w:tc>
      </w:tr>
      <w:tr>
        <w:tc>
          <w:tcPr>
            <w:tcW w:type="dxa" w:w="1608"/>
            <w:shd w:val="clear" w:fill="EEF1F7"/>
          </w:tcPr>
          <w:p>
            <w:r>
              <w:rPr>
                <w:sz w:val="19"/>
              </w:rPr>
              <w:t>HP</w:t>
            </w:r>
          </w:p>
        </w:tc>
        <w:tc>
          <w:tcPr>
            <w:tcW w:type="dxa" w:w="1608"/>
            <w:shd w:val="clear" w:fill="EEF1F7"/>
          </w:tcPr>
          <w:p>
            <w:r>
              <w:rPr>
                <w:sz w:val="19"/>
              </w:rPr>
              <w:t>Helmerich &amp; Payne</w:t>
            </w:r>
          </w:p>
        </w:tc>
        <w:tc>
          <w:tcPr>
            <w:tcW w:type="dxa" w:w="1608"/>
            <w:shd w:val="clear" w:fill="EEF1F7"/>
          </w:tcPr>
          <w:p>
            <w:r>
              <w:rPr>
                <w:sz w:val="19"/>
              </w:rPr>
              <w:t>Energy</w:t>
            </w:r>
          </w:p>
        </w:tc>
        <w:tc>
          <w:tcPr>
            <w:tcW w:type="dxa" w:w="1608"/>
            <w:shd w:val="clear" w:fill="EEF1F7"/>
          </w:tcPr>
          <w:p>
            <w:r>
              <w:rPr>
                <w:sz w:val="19"/>
              </w:rPr>
              <w:t>48 (+79)</w:t>
            </w:r>
          </w:p>
        </w:tc>
        <w:tc>
          <w:tcPr>
            <w:tcW w:type="dxa" w:w="1608"/>
            <w:shd w:val="clear" w:fill="EEF1F7"/>
          </w:tcPr>
          <w:p>
            <w:r>
              <w:rPr>
                <w:sz w:val="19"/>
              </w:rPr>
              <w:t>C</w:t>
            </w:r>
          </w:p>
        </w:tc>
        <w:tc>
          <w:tcPr>
            <w:tcW w:type="dxa" w:w="1608"/>
            <w:shd w:val="clear" w:fill="EEF1F7"/>
          </w:tcPr>
          <w:p>
            <w:r>
              <w:rPr>
                <w:sz w:val="19"/>
              </w:rPr>
              <w:t>+8.4%</w:t>
            </w:r>
          </w:p>
        </w:tc>
      </w:tr>
      <w:tr>
        <w:tc>
          <w:tcPr>
            <w:tcW w:type="dxa" w:w="1608"/>
          </w:tcPr>
          <w:p>
            <w:r>
              <w:rPr>
                <w:sz w:val="19"/>
              </w:rPr>
              <w:t>MAN</w:t>
            </w:r>
          </w:p>
        </w:tc>
        <w:tc>
          <w:tcPr>
            <w:tcW w:type="dxa" w:w="1608"/>
          </w:tcPr>
          <w:p>
            <w:r>
              <w:rPr>
                <w:sz w:val="19"/>
              </w:rPr>
              <w:t>ManpowerGroup</w:t>
            </w:r>
          </w:p>
        </w:tc>
        <w:tc>
          <w:tcPr>
            <w:tcW w:type="dxa" w:w="1608"/>
          </w:tcPr>
          <w:p>
            <w:r>
              <w:rPr>
                <w:sz w:val="19"/>
              </w:rPr>
              <w:t>Industrials</w:t>
            </w:r>
          </w:p>
        </w:tc>
        <w:tc>
          <w:tcPr>
            <w:tcW w:type="dxa" w:w="1608"/>
          </w:tcPr>
          <w:p>
            <w:r>
              <w:rPr>
                <w:sz w:val="19"/>
              </w:rPr>
              <w:t>52 (+13)</w:t>
            </w:r>
          </w:p>
        </w:tc>
        <w:tc>
          <w:tcPr>
            <w:tcW w:type="dxa" w:w="1608"/>
          </w:tcPr>
          <w:p>
            <w:r>
              <w:rPr>
                <w:sz w:val="19"/>
              </w:rPr>
              <w:t>C</w:t>
            </w:r>
          </w:p>
        </w:tc>
        <w:tc>
          <w:tcPr>
            <w:tcW w:type="dxa" w:w="1608"/>
          </w:tcPr>
          <w:p>
            <w:r>
              <w:rPr>
                <w:sz w:val="19"/>
              </w:rPr>
              <w:t>+9.9%</w:t>
            </w:r>
          </w:p>
        </w:tc>
      </w:tr>
      <w:tr>
        <w:tc>
          <w:tcPr>
            <w:tcW w:type="dxa" w:w="1608"/>
            <w:shd w:val="clear" w:fill="EEF1F7"/>
          </w:tcPr>
          <w:p>
            <w:r>
              <w:rPr>
                <w:sz w:val="19"/>
              </w:rPr>
              <w:t>A</w:t>
            </w:r>
          </w:p>
        </w:tc>
        <w:tc>
          <w:tcPr>
            <w:tcW w:type="dxa" w:w="1608"/>
            <w:shd w:val="clear" w:fill="EEF1F7"/>
          </w:tcPr>
          <w:p>
            <w:r>
              <w:rPr>
                <w:sz w:val="19"/>
              </w:rPr>
              <w:t>Agilent</w:t>
            </w:r>
          </w:p>
        </w:tc>
        <w:tc>
          <w:tcPr>
            <w:tcW w:type="dxa" w:w="1608"/>
            <w:shd w:val="clear" w:fill="EEF1F7"/>
          </w:tcPr>
          <w:p>
            <w:r>
              <w:rPr>
                <w:sz w:val="19"/>
              </w:rPr>
              <w:t>Health Care</w:t>
            </w:r>
          </w:p>
        </w:tc>
        <w:tc>
          <w:tcPr>
            <w:tcW w:type="dxa" w:w="1608"/>
            <w:shd w:val="clear" w:fill="EEF1F7"/>
          </w:tcPr>
          <w:p>
            <w:r>
              <w:rPr>
                <w:sz w:val="19"/>
              </w:rPr>
              <w:t>78 (+196)</w:t>
            </w:r>
          </w:p>
        </w:tc>
        <w:tc>
          <w:tcPr>
            <w:tcW w:type="dxa" w:w="1608"/>
            <w:shd w:val="clear" w:fill="EEF1F7"/>
          </w:tcPr>
          <w:p>
            <w:r>
              <w:rPr>
                <w:sz w:val="19"/>
              </w:rPr>
              <w:t>B</w:t>
            </w:r>
          </w:p>
        </w:tc>
        <w:tc>
          <w:tcPr>
            <w:tcW w:type="dxa" w:w="1608"/>
            <w:shd w:val="clear" w:fill="EEF1F7"/>
          </w:tcPr>
          <w:p>
            <w:r>
              <w:rPr>
                <w:sz w:val="19"/>
              </w:rPr>
              <w:t>+8.2%</w:t>
            </w:r>
          </w:p>
        </w:tc>
      </w:tr>
      <w:tr>
        <w:tc>
          <w:tcPr>
            <w:tcW w:type="dxa" w:w="1608"/>
          </w:tcPr>
          <w:p>
            <w:r>
              <w:rPr>
                <w:sz w:val="19"/>
              </w:rPr>
              <w:t>VLO</w:t>
            </w:r>
          </w:p>
        </w:tc>
        <w:tc>
          <w:tcPr>
            <w:tcW w:type="dxa" w:w="1608"/>
          </w:tcPr>
          <w:p>
            <w:r>
              <w:rPr>
                <w:sz w:val="19"/>
              </w:rPr>
              <w:t>Valero</w:t>
            </w:r>
          </w:p>
        </w:tc>
        <w:tc>
          <w:tcPr>
            <w:tcW w:type="dxa" w:w="1608"/>
          </w:tcPr>
          <w:p>
            <w:r>
              <w:rPr>
                <w:sz w:val="19"/>
              </w:rPr>
              <w:t>Energy</w:t>
            </w:r>
          </w:p>
        </w:tc>
        <w:tc>
          <w:tcPr>
            <w:tcW w:type="dxa" w:w="1608"/>
          </w:tcPr>
          <w:p>
            <w:r>
              <w:rPr>
                <w:sz w:val="19"/>
              </w:rPr>
              <w:t>87 (+100)</w:t>
            </w:r>
          </w:p>
        </w:tc>
        <w:tc>
          <w:tcPr>
            <w:tcW w:type="dxa" w:w="1608"/>
          </w:tcPr>
          <w:p>
            <w:r>
              <w:rPr>
                <w:sz w:val="19"/>
              </w:rPr>
              <w:t>C</w:t>
            </w:r>
          </w:p>
        </w:tc>
        <w:tc>
          <w:tcPr>
            <w:tcW w:type="dxa" w:w="1608"/>
          </w:tcPr>
          <w:p>
            <w:r>
              <w:rPr>
                <w:sz w:val="19"/>
              </w:rPr>
              <w:t>+7.2%</w:t>
            </w:r>
          </w:p>
        </w:tc>
      </w:tr>
      <w:tr>
        <w:tc>
          <w:tcPr>
            <w:tcW w:type="dxa" w:w="1608"/>
            <w:shd w:val="clear" w:fill="EEF1F7"/>
          </w:tcPr>
          <w:p>
            <w:r>
              <w:rPr>
                <w:sz w:val="19"/>
              </w:rPr>
              <w:t>SEIC</w:t>
            </w:r>
          </w:p>
        </w:tc>
        <w:tc>
          <w:tcPr>
            <w:tcW w:type="dxa" w:w="1608"/>
            <w:shd w:val="clear" w:fill="EEF1F7"/>
          </w:tcPr>
          <w:p>
            <w:r>
              <w:rPr>
                <w:sz w:val="19"/>
              </w:rPr>
              <w:t>SEI Investments</w:t>
            </w:r>
          </w:p>
        </w:tc>
        <w:tc>
          <w:tcPr>
            <w:tcW w:type="dxa" w:w="1608"/>
            <w:shd w:val="clear" w:fill="EEF1F7"/>
          </w:tcPr>
          <w:p>
            <w:r>
              <w:rPr>
                <w:sz w:val="19"/>
              </w:rPr>
              <w:t>Financials</w:t>
            </w:r>
          </w:p>
        </w:tc>
        <w:tc>
          <w:tcPr>
            <w:tcW w:type="dxa" w:w="1608"/>
            <w:shd w:val="clear" w:fill="EEF1F7"/>
          </w:tcPr>
          <w:p>
            <w:r>
              <w:rPr>
                <w:sz w:val="19"/>
              </w:rPr>
              <w:t>112 (+133)</w:t>
            </w:r>
          </w:p>
        </w:tc>
        <w:tc>
          <w:tcPr>
            <w:tcW w:type="dxa" w:w="1608"/>
            <w:shd w:val="clear" w:fill="EEF1F7"/>
          </w:tcPr>
          <w:p>
            <w:r>
              <w:rPr>
                <w:sz w:val="19"/>
              </w:rPr>
              <w:t>C</w:t>
            </w:r>
          </w:p>
        </w:tc>
        <w:tc>
          <w:tcPr>
            <w:tcW w:type="dxa" w:w="1608"/>
            <w:shd w:val="clear" w:fill="EEF1F7"/>
          </w:tcPr>
          <w:p>
            <w:r>
              <w:rPr>
                <w:sz w:val="19"/>
              </w:rPr>
              <w:t>+4.7%</w:t>
            </w:r>
          </w:p>
        </w:tc>
      </w:tr>
      <w:tr>
        <w:tc>
          <w:tcPr>
            <w:tcW w:type="dxa" w:w="1608"/>
          </w:tcPr>
          <w:p>
            <w:r>
              <w:rPr>
                <w:sz w:val="19"/>
              </w:rPr>
              <w:t>COP</w:t>
            </w:r>
          </w:p>
        </w:tc>
        <w:tc>
          <w:tcPr>
            <w:tcW w:type="dxa" w:w="1608"/>
          </w:tcPr>
          <w:p>
            <w:r>
              <w:rPr>
                <w:sz w:val="19"/>
              </w:rPr>
              <w:t>ConocoPhillips</w:t>
            </w:r>
          </w:p>
        </w:tc>
        <w:tc>
          <w:tcPr>
            <w:tcW w:type="dxa" w:w="1608"/>
          </w:tcPr>
          <w:p>
            <w:r>
              <w:rPr>
                <w:sz w:val="19"/>
              </w:rPr>
              <w:t>Energy</w:t>
            </w:r>
          </w:p>
        </w:tc>
        <w:tc>
          <w:tcPr>
            <w:tcW w:type="dxa" w:w="1608"/>
          </w:tcPr>
          <w:p>
            <w:r>
              <w:rPr>
                <w:sz w:val="19"/>
              </w:rPr>
              <w:t>171 (+284)</w:t>
            </w:r>
          </w:p>
        </w:tc>
        <w:tc>
          <w:tcPr>
            <w:tcW w:type="dxa" w:w="1608"/>
          </w:tcPr>
          <w:p>
            <w:r>
              <w:rPr>
                <w:sz w:val="19"/>
              </w:rPr>
              <w:t>C</w:t>
            </w:r>
          </w:p>
        </w:tc>
        <w:tc>
          <w:tcPr>
            <w:tcW w:type="dxa" w:w="1608"/>
          </w:tcPr>
          <w:p>
            <w:r>
              <w:rPr>
                <w:sz w:val="19"/>
              </w:rPr>
              <w:t>+8.7%</w:t>
            </w:r>
          </w:p>
        </w:tc>
      </w:tr>
      <w:tr>
        <w:tc>
          <w:tcPr>
            <w:tcW w:type="dxa" w:w="1608"/>
            <w:shd w:val="clear" w:fill="EEF1F7"/>
          </w:tcPr>
          <w:p>
            <w:r>
              <w:rPr>
                <w:sz w:val="19"/>
              </w:rPr>
              <w:t>TMO</w:t>
            </w:r>
          </w:p>
        </w:tc>
        <w:tc>
          <w:tcPr>
            <w:tcW w:type="dxa" w:w="1608"/>
            <w:shd w:val="clear" w:fill="EEF1F7"/>
          </w:tcPr>
          <w:p>
            <w:r>
              <w:rPr>
                <w:sz w:val="19"/>
              </w:rPr>
              <w:t>Thermo Fisher</w:t>
            </w:r>
          </w:p>
        </w:tc>
        <w:tc>
          <w:tcPr>
            <w:tcW w:type="dxa" w:w="1608"/>
            <w:shd w:val="clear" w:fill="EEF1F7"/>
          </w:tcPr>
          <w:p>
            <w:r>
              <w:rPr>
                <w:sz w:val="19"/>
              </w:rPr>
              <w:t>Health Care</w:t>
            </w:r>
          </w:p>
        </w:tc>
        <w:tc>
          <w:tcPr>
            <w:tcW w:type="dxa" w:w="1608"/>
            <w:shd w:val="clear" w:fill="EEF1F7"/>
          </w:tcPr>
          <w:p>
            <w:r>
              <w:rPr>
                <w:sz w:val="19"/>
              </w:rPr>
              <w:t>172 (+109)</w:t>
            </w:r>
          </w:p>
        </w:tc>
        <w:tc>
          <w:tcPr>
            <w:tcW w:type="dxa" w:w="1608"/>
            <w:shd w:val="clear" w:fill="EEF1F7"/>
          </w:tcPr>
          <w:p>
            <w:r>
              <w:rPr>
                <w:sz w:val="19"/>
              </w:rPr>
              <w:t>C</w:t>
            </w:r>
          </w:p>
        </w:tc>
        <w:tc>
          <w:tcPr>
            <w:tcW w:type="dxa" w:w="1608"/>
            <w:shd w:val="clear" w:fill="EEF1F7"/>
          </w:tcPr>
          <w:p>
            <w:r>
              <w:rPr>
                <w:sz w:val="19"/>
              </w:rPr>
              <w:t>+6.9%</w:t>
            </w:r>
          </w:p>
        </w:tc>
      </w:tr>
    </w:tbl>
    <w:p/>
    <w:p>
      <w:r>
        <w:t>The two clusters won't surprise you by now: energy refiners and drillers riding the Brent spike (PSX, MPC, HP, VLO, COP), and health-care/life-science tools riding the rotation (BIO, A, TMO, plus IQV lower down). Agilent stands out for a 196-spot rank jump, and it reports earnings next week, so that's a name where you'd want to see the print before committing, not front-run it. Most of these carry a "C" conviction, meaning one or two signals fired, not a stack of them; size accordingly.</w:t>
      </w:r>
    </w:p>
    <w:p>
      <w:r>
        <w:rPr>
          <w:i/>
        </w:rPr>
        <w:t>This is educational commentary, not advice. Do your own homework before risking a dollar.</w:t>
      </w:r>
    </w:p>
    <w:p>
      <w:pPr>
        <w:pBdr>
          <w:bottom w:val="single" w:sz="6" w:space="1" w:color="C0C0C0"/>
        </w:pBdr>
      </w:pPr>
    </w:p>
    <w:p>
      <w:pPr>
        <w:spacing w:before="240" w:after="80"/>
      </w:pPr>
      <w:r>
        <w:rPr>
          <w:b/>
          <w:color w:val="1F3864"/>
          <w:sz w:val="30"/>
        </w:rPr>
        <w:t>8. Where We Stand</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fill="1F3864"/>
          </w:tcPr>
          <w:p>
            <w:r>
              <w:rPr>
                <w:b/>
                <w:color w:val="FFFFFF"/>
                <w:sz w:val="19"/>
              </w:rPr>
              <w:t>Check</w:t>
            </w:r>
          </w:p>
        </w:tc>
        <w:tc>
          <w:tcPr>
            <w:tcW w:type="dxa" w:w="3216"/>
            <w:shd w:val="clear" w:fill="1F3864"/>
          </w:tcPr>
          <w:p>
            <w:r>
              <w:rPr>
                <w:b/>
                <w:color w:val="FFFFFF"/>
                <w:sz w:val="19"/>
              </w:rPr>
              <w:t>Reading</w:t>
            </w:r>
          </w:p>
        </w:tc>
        <w:tc>
          <w:tcPr>
            <w:tcW w:type="dxa" w:w="3216"/>
            <w:shd w:val="clear" w:fill="1F3864"/>
          </w:tcPr>
          <w:p>
            <w:r>
              <w:rPr>
                <w:b/>
                <w:color w:val="FFFFFF"/>
                <w:sz w:val="19"/>
              </w:rPr>
              <w:t>Note</w:t>
            </w:r>
          </w:p>
        </w:tc>
      </w:tr>
      <w:tr>
        <w:tc>
          <w:tcPr>
            <w:tcW w:type="dxa" w:w="3216"/>
          </w:tcPr>
          <w:p>
            <w:r>
              <w:rPr>
                <w:sz w:val="19"/>
              </w:rPr>
              <w:t>S&amp;P 500 level</w:t>
            </w:r>
          </w:p>
        </w:tc>
        <w:tc>
          <w:tcPr>
            <w:tcW w:type="dxa" w:w="3216"/>
          </w:tcPr>
          <w:p>
            <w:r>
              <w:rPr>
                <w:sz w:val="19"/>
              </w:rPr>
              <w:t>7674.37</w:t>
            </w:r>
          </w:p>
        </w:tc>
        <w:tc>
          <w:tcPr>
            <w:tcW w:type="dxa" w:w="3216"/>
          </w:tcPr>
          <w:p>
            <w:r>
              <w:rPr>
                <w:sz w:val="19"/>
              </w:rPr>
              <w:t>1.6% below the Aug 13 high</w:t>
            </w:r>
          </w:p>
        </w:tc>
      </w:tr>
      <w:tr>
        <w:tc>
          <w:tcPr>
            <w:tcW w:type="dxa" w:w="3216"/>
            <w:shd w:val="clear" w:fill="EEF1F7"/>
          </w:tcPr>
          <w:p>
            <w:r>
              <w:rPr>
                <w:sz w:val="19"/>
              </w:rPr>
              <w:t>S&amp;P vs 200-day</w:t>
            </w:r>
          </w:p>
        </w:tc>
        <w:tc>
          <w:tcPr>
            <w:tcW w:type="dxa" w:w="3216"/>
            <w:shd w:val="clear" w:fill="EEF1F7"/>
          </w:tcPr>
          <w:p>
            <w:r>
              <w:rPr>
                <w:sz w:val="19"/>
              </w:rPr>
              <w:t>ABOVE</w:t>
            </w:r>
          </w:p>
        </w:tc>
        <w:tc>
          <w:tcPr>
            <w:tcW w:type="dxa" w:w="3216"/>
            <w:shd w:val="clear" w:fill="EEF1F7"/>
          </w:tcPr>
          <w:p>
            <w:r>
              <w:rPr>
                <w:sz w:val="19"/>
              </w:rPr>
              <w:t>7674.37 vs 7129.67</w:t>
            </w:r>
          </w:p>
        </w:tc>
      </w:tr>
      <w:tr>
        <w:tc>
          <w:tcPr>
            <w:tcW w:type="dxa" w:w="3216"/>
          </w:tcPr>
          <w:p>
            <w:r>
              <w:rPr>
                <w:sz w:val="19"/>
              </w:rPr>
              <w:t>Stocks above 200-day</w:t>
            </w:r>
          </w:p>
        </w:tc>
        <w:tc>
          <w:tcPr>
            <w:tcW w:type="dxa" w:w="3216"/>
          </w:tcPr>
          <w:p>
            <w:r>
              <w:rPr>
                <w:sz w:val="19"/>
              </w:rPr>
              <w:t>68.29%</w:t>
            </w:r>
          </w:p>
        </w:tc>
        <w:tc>
          <w:tcPr>
            <w:tcW w:type="dxa" w:w="3216"/>
          </w:tcPr>
          <w:p>
            <w:r>
              <w:rPr>
                <w:sz w:val="19"/>
              </w:rPr>
              <w:t>broad</w:t>
            </w:r>
          </w:p>
        </w:tc>
      </w:tr>
      <w:tr>
        <w:tc>
          <w:tcPr>
            <w:tcW w:type="dxa" w:w="3216"/>
            <w:shd w:val="clear" w:fill="EEF1F7"/>
          </w:tcPr>
          <w:p>
            <w:r>
              <w:rPr>
                <w:sz w:val="19"/>
              </w:rPr>
              <w:t>Stocks above 50-day</w:t>
            </w:r>
          </w:p>
        </w:tc>
        <w:tc>
          <w:tcPr>
            <w:tcW w:type="dxa" w:w="3216"/>
            <w:shd w:val="clear" w:fill="EEF1F7"/>
          </w:tcPr>
          <w:p>
            <w:r>
              <w:rPr>
                <w:sz w:val="19"/>
              </w:rPr>
              <w:t>56.23%</w:t>
            </w:r>
          </w:p>
        </w:tc>
        <w:tc>
          <w:tcPr>
            <w:tcW w:type="dxa" w:w="3216"/>
            <w:shd w:val="clear" w:fill="EEF1F7"/>
          </w:tcPr>
          <w:p/>
        </w:tc>
      </w:tr>
      <w:tr>
        <w:tc>
          <w:tcPr>
            <w:tcW w:type="dxa" w:w="3216"/>
          </w:tcPr>
          <w:p>
            <w:r>
              <w:rPr>
                <w:sz w:val="19"/>
              </w:rPr>
              <w:t>New 52w highs vs lows</w:t>
            </w:r>
          </w:p>
        </w:tc>
        <w:tc>
          <w:tcPr>
            <w:tcW w:type="dxa" w:w="3216"/>
          </w:tcPr>
          <w:p>
            <w:r>
              <w:rPr>
                <w:sz w:val="19"/>
              </w:rPr>
              <w:t>0 vs 1</w:t>
            </w:r>
          </w:p>
        </w:tc>
        <w:tc>
          <w:tcPr>
            <w:tcW w:type="dxa" w:w="3216"/>
          </w:tcPr>
          <w:p>
            <w:r>
              <w:rPr>
                <w:sz w:val="19"/>
              </w:rPr>
              <w:t>thin</w:t>
            </w:r>
          </w:p>
        </w:tc>
      </w:tr>
      <w:tr>
        <w:tc>
          <w:tcPr>
            <w:tcW w:type="dxa" w:w="3216"/>
            <w:shd w:val="clear" w:fill="EEF1F7"/>
          </w:tcPr>
          <w:p>
            <w:r>
              <w:rPr>
                <w:sz w:val="19"/>
              </w:rPr>
              <w:t>Advancers vs decliners</w:t>
            </w:r>
          </w:p>
        </w:tc>
        <w:tc>
          <w:tcPr>
            <w:tcW w:type="dxa" w:w="3216"/>
            <w:shd w:val="clear" w:fill="EEF1F7"/>
          </w:tcPr>
          <w:p>
            <w:r>
              <w:rPr>
                <w:sz w:val="19"/>
              </w:rPr>
              <w:t>1268 vs 658</w:t>
            </w:r>
          </w:p>
        </w:tc>
        <w:tc>
          <w:tcPr>
            <w:tcW w:type="dxa" w:w="3216"/>
            <w:shd w:val="clear" w:fill="EEF1F7"/>
          </w:tcPr>
          <w:p>
            <w:r>
              <w:rPr>
                <w:sz w:val="19"/>
              </w:rPr>
              <w:t>healthy</w:t>
            </w:r>
          </w:p>
        </w:tc>
      </w:tr>
      <w:tr>
        <w:tc>
          <w:tcPr>
            <w:tcW w:type="dxa" w:w="3216"/>
          </w:tcPr>
          <w:p>
            <w:r>
              <w:rPr>
                <w:sz w:val="19"/>
              </w:rPr>
              <w:t>VIX</w:t>
            </w:r>
          </w:p>
        </w:tc>
        <w:tc>
          <w:tcPr>
            <w:tcW w:type="dxa" w:w="3216"/>
          </w:tcPr>
          <w:p>
            <w:r>
              <w:rPr>
                <w:sz w:val="19"/>
              </w:rPr>
              <w:t>15.13</w:t>
            </w:r>
          </w:p>
        </w:tc>
        <w:tc>
          <w:tcPr>
            <w:tcW w:type="dxa" w:w="3216"/>
          </w:tcPr>
          <w:p>
            <w:r>
              <w:rPr>
                <w:sz w:val="19"/>
              </w:rPr>
              <w:t>calm</w:t>
            </w:r>
          </w:p>
        </w:tc>
      </w:tr>
      <w:tr>
        <w:tc>
          <w:tcPr>
            <w:tcW w:type="dxa" w:w="3216"/>
            <w:shd w:val="clear" w:fill="EEF1F7"/>
          </w:tcPr>
          <w:p>
            <w:r>
              <w:rPr>
                <w:sz w:val="19"/>
              </w:rPr>
              <w:t>Credit spreads</w:t>
            </w:r>
          </w:p>
        </w:tc>
        <w:tc>
          <w:tcPr>
            <w:tcW w:type="dxa" w:w="3216"/>
            <w:shd w:val="clear" w:fill="EEF1F7"/>
          </w:tcPr>
          <w:p>
            <w:r>
              <w:rPr>
                <w:sz w:val="19"/>
              </w:rPr>
              <w:t>n/a</w:t>
            </w:r>
          </w:p>
        </w:tc>
        <w:tc>
          <w:tcPr>
            <w:tcW w:type="dxa" w:w="3216"/>
            <w:shd w:val="clear" w:fill="EEF1F7"/>
          </w:tcPr>
          <w:p>
            <w:r>
              <w:rPr>
                <w:sz w:val="19"/>
              </w:rPr>
              <w:t>FRED pending</w:t>
            </w:r>
          </w:p>
        </w:tc>
      </w:tr>
      <w:tr>
        <w:tc>
          <w:tcPr>
            <w:tcW w:type="dxa" w:w="3216"/>
          </w:tcPr>
          <w:p>
            <w:r>
              <w:rPr>
                <w:sz w:val="19"/>
              </w:rPr>
              <w:t>Gold</w:t>
            </w:r>
          </w:p>
        </w:tc>
        <w:tc>
          <w:tcPr>
            <w:tcW w:type="dxa" w:w="3216"/>
          </w:tcPr>
          <w:p>
            <w:r>
              <w:rPr>
                <w:sz w:val="19"/>
              </w:rPr>
              <w:t>+6.8% wk</w:t>
            </w:r>
          </w:p>
        </w:tc>
        <w:tc>
          <w:tcPr>
            <w:tcW w:type="dxa" w:w="3216"/>
          </w:tcPr>
          <w:p>
            <w:r>
              <w:rPr>
                <w:sz w:val="19"/>
              </w:rPr>
              <w:t>fear/inflation bid</w:t>
            </w:r>
          </w:p>
        </w:tc>
      </w:tr>
      <w:tr>
        <w:tc>
          <w:tcPr>
            <w:tcW w:type="dxa" w:w="3216"/>
            <w:shd w:val="clear" w:fill="EEF1F7"/>
          </w:tcPr>
          <w:p>
            <w:r>
              <w:rPr>
                <w:sz w:val="19"/>
              </w:rPr>
              <w:t>High-yield (HYG)</w:t>
            </w:r>
          </w:p>
        </w:tc>
        <w:tc>
          <w:tcPr>
            <w:tcW w:type="dxa" w:w="3216"/>
            <w:shd w:val="clear" w:fill="EEF1F7"/>
          </w:tcPr>
          <w:p>
            <w:r>
              <w:rPr>
                <w:sz w:val="19"/>
              </w:rPr>
              <w:t>-0.1% wk</w:t>
            </w:r>
          </w:p>
        </w:tc>
        <w:tc>
          <w:tcPr>
            <w:tcW w:type="dxa" w:w="3216"/>
            <w:shd w:val="clear" w:fill="EEF1F7"/>
          </w:tcPr>
          <w:p>
            <w:r>
              <w:rPr>
                <w:sz w:val="19"/>
              </w:rPr>
              <w:t>steady, risk-on</w:t>
            </w:r>
          </w:p>
        </w:tc>
      </w:tr>
      <w:tr>
        <w:tc>
          <w:tcPr>
            <w:tcW w:type="dxa" w:w="3216"/>
          </w:tcPr>
          <w:p>
            <w:r>
              <w:rPr>
                <w:sz w:val="19"/>
              </w:rPr>
              <w:t>US dollar (DXY)</w:t>
            </w:r>
          </w:p>
        </w:tc>
        <w:tc>
          <w:tcPr>
            <w:tcW w:type="dxa" w:w="3216"/>
          </w:tcPr>
          <w:p>
            <w:r>
              <w:rPr>
                <w:sz w:val="19"/>
              </w:rPr>
              <w:t>-0.9% wk</w:t>
            </w:r>
          </w:p>
        </w:tc>
        <w:tc>
          <w:tcPr>
            <w:tcW w:type="dxa" w:w="3216"/>
          </w:tcPr>
          <w:p>
            <w:r>
              <w:rPr>
                <w:sz w:val="19"/>
              </w:rPr>
              <w:t>soft, risk-on</w:t>
            </w:r>
          </w:p>
        </w:tc>
      </w:tr>
    </w:tbl>
    <w:p/>
    <w:p>
      <w:r>
        <w:t>The core is healthy. Two-thirds of stocks above their 200-day, breadth green, junk steady, the dollar soft, vol asleep. The two yellow flags are real but narrow: the new-highs list has gone quiet (0 highs vs 1 low, after 2-vs-0 the prior week), and gold plus oil are both pricing something the equity market isn't. Credit spreads are unavailable this week, so I won't guess. One gauge dark.</w:t>
      </w:r>
    </w:p>
    <w:p>
      <w:r>
        <w:rPr>
          <w:b/>
        </w:rPr>
        <w:t>The cross-asset read:</w:t>
      </w:r>
      <w:r>
        <w:t xml:space="preserve"> of the five fear channels, two turned (gold, oil) and three didn't (VIX, junk, dollar). A commodity-and-inflation story, not a systemic risk-off. If junk starts to crack or the dollar suddenly bids, the math changes and I'll say so. For now, treat the oil scare as contained but inflationary.</w:t>
      </w:r>
    </w:p>
    <w:p>
      <w:r>
        <w:rPr>
          <w:b/>
        </w:rPr>
        <w:t>Scenarios for the weeks ahead:</w:t>
      </w:r>
    </w:p>
    <w:p>
      <w:pPr>
        <w:pStyle w:val="ListBullet"/>
      </w:pPr>
      <w:r>
        <w:rPr>
          <w:b/>
        </w:rPr>
        <w:t>Base case (60%):</w:t>
      </w:r>
      <w:r>
        <w:t xml:space="preserve"> The rotation keeps grinding, health care, energy and select financials lead, the AI mega-caps consolidate sideways, and the index chops just below its highs while the median stock does fine. Breadth carries it.</w:t>
      </w:r>
    </w:p>
    <w:p>
      <w:pPr>
        <w:pStyle w:val="ListBullet"/>
      </w:pPr>
      <w:r>
        <w:rPr>
          <w:b/>
        </w:rPr>
        <w:t>Bull case (25%):</w:t>
      </w:r>
      <w:r>
        <w:t xml:space="preserve"> Oil calms, the Fed signals it's done hiking, and the mega-caps stop bleeding rank. The generals rejoin the troops and the index takes out the August 13 high on broad participation.</w:t>
      </w:r>
    </w:p>
    <w:p>
      <w:pPr>
        <w:pStyle w:val="ListBullet"/>
      </w:pPr>
      <w:r>
        <w:rPr>
          <w:b/>
        </w:rPr>
        <w:t>Bear case (15%):</w:t>
      </w:r>
      <w:r>
        <w:t xml:space="preserve"> Brent stays hot, the 10-year pushes higher, a jobless-claims or inflation surprise revives the hike fear, and the long-duration selling in chips and software spreads to the rest of the tape. Gold was the tell.</w:t>
      </w:r>
    </w:p>
    <w:p>
      <w:r>
        <w:t>Stance: constructive but selective. Own the leaders, respect the trend in front of you, and don't chase the vertical crypto and biotech pops.</w:t>
      </w:r>
    </w:p>
    <w:p>
      <w:pPr>
        <w:pBdr>
          <w:bottom w:val="single" w:sz="6" w:space="1" w:color="C0C0C0"/>
        </w:pBdr>
      </w:pPr>
    </w:p>
    <w:p>
      <w:pPr>
        <w:spacing w:before="240" w:after="80"/>
      </w:pPr>
      <w:r>
        <w:rPr>
          <w:b/>
          <w:color w:val="1F3864"/>
          <w:sz w:val="30"/>
        </w:rPr>
        <w:t>9. The Algo (educational paper track record)</w:t>
      </w:r>
    </w:p>
    <w:p>
      <w:r>
        <w:t>The paper strategy sits at $50,521, up 1.0% since inception on May 27, against the S&amp;P's +2.0% and QQQ's -2.2% over the same stretch, ahead of the Nasdaq and behind the S&amp;P. It gained 0.1% on the week, is 4.8% off its peak, and runs 18 open, 59 closed. The honest headline: 59 closed trades, 19 winners, a 32% win rate, averaging -0.9% and -0.12R per trade. That's a low hit rate carried by letting the winners run far past the losers.</w:t>
      </w:r>
    </w:p>
    <w:p>
      <w:r>
        <w:t>You can see that in this week's exits. It trailed out of a stack of banks — BAC +12.4% (+3.06R), MET +12.2%, MTB +7.2% — and timed out of USB and CFG for small gains, right as Diversified Banks fell from #18 to #93 on our board. The system doesn't read the rotation news; the trailing stops just do their job when a group rolls over. The one loser it cut, MLKN at -8.2%, hit its hard stop. The math of the strategy: several small losses and time-stops, paid for by the occasional +3R trail-out.</w:t>
      </w:r>
    </w:p>
    <w:p>
      <w:r>
        <w:t>The open book has already rotated into where the board is strong — energy (MPC +19.2% unrealized, CRGY), health care (TMO, IQV, A, ADUS), materials/gold (WPM, NEM), and payments/financials (MA, WEX, JPM, SEIC). New this week: A, WPM, CRGY and NEM, energy, gold and health care, the exact groups leading the tape.</w:t>
      </w:r>
    </w:p>
    <w:p>
      <w:r>
        <w:rPr>
          <w:i/>
        </w:rPr>
        <w:t>Methodology. The Algo is a long-only, rules-based paper strategy on a $50,000 notional sleeve, trading the same ~1,900-stock universe. A name is bought only if it clears every gate: its sector ranks near the top of the board with broad participation, earnings are growing year-over-year in both revenue and profit, it isn't already held, and it's past a 21-day cooldown. Qualifying setups are sorted into four conviction tiers by how many independent signals fire — from T1 (multiple 'strong' chart patterns, risked at 1.5% of the sleeve) down to T4 (relative-strength acceleration, 0.5%). Size is set by risk, not dollars: each trade is sized so a stop 2×ATR below entry costs only that tier's risk budget, capped at $2,000–$6,000. Exits are mechanical — scale out a third at +2R and a third at +4R (1R = the initial stop distance), trail the remainder by 2×ATR, book some after a +25% spike, and time out positions left flat after 25 trading days. New entries pause if the book is down 2% on the day or 8% from its peak. Signals are generated after the close and filled the next session at the live price plus 0.15% slippage. These are educational paper results — not advice, and not a live account.</w:t>
      </w:r>
    </w:p>
    <w:p>
      <w:pPr>
        <w:pBdr>
          <w:bottom w:val="single" w:sz="6" w:space="1" w:color="C0C0C0"/>
        </w:pBdr>
      </w:pPr>
    </w:p>
    <w:p>
      <w:pPr>
        <w:spacing w:before="240" w:after="80"/>
      </w:pPr>
      <w:r>
        <w:rPr>
          <w:b/>
          <w:color w:val="1F3864"/>
          <w:sz w:val="30"/>
        </w:rPr>
        <w:t>10. Key events next week</w:t>
      </w:r>
    </w:p>
    <w:p>
      <w:pPr>
        <w:pStyle w:val="ListBullet"/>
      </w:pPr>
      <w:r>
        <w:rPr>
          <w:b/>
        </w:rPr>
        <w:t>Agilent (A) — Tuesday, Aug 26.</w:t>
      </w:r>
      <w:r>
        <w:t xml:space="preserve"> It's on our watchlist with a 196-spot rank jump and it's held by the Algo. The real tell: whether life-science-tools demand is recovering or the rank move ran ahead of the fundamentals.</w:t>
      </w:r>
    </w:p>
    <w:p>
      <w:pPr>
        <w:pStyle w:val="ListBullet"/>
      </w:pPr>
      <w:r>
        <w:rPr>
          <w:b/>
        </w:rPr>
        <w:t>Autodesk (ADSK) — Thursday, Aug 27.</w:t>
      </w:r>
      <w:r>
        <w:t xml:space="preserve"> A software bellwether into a week where software (Atlassian, Elastic) crept back onto the board. The tell is the subscription and billings guide, not the headline EPS. Note Workday was downgraded this week; watch whether the whole design/enterprise-software group is being faded.</w:t>
      </w:r>
    </w:p>
    <w:p>
      <w:pPr>
        <w:pStyle w:val="ListBullet"/>
      </w:pPr>
      <w:r>
        <w:rPr>
          <w:b/>
        </w:rPr>
        <w:t>Affirm (AFRM) — Thursday, Aug 27.</w:t>
      </w:r>
      <w:r>
        <w:t xml:space="preserve"> The consumer-credit read. With payrolls negative and lower-end spending cracking (Advance Auto Parts fell 25% this week on exactly that), Affirm's delinquency and take-rate numbers are a window into whether the consumer is holding.</w:t>
      </w:r>
    </w:p>
    <w:p>
      <w:pPr>
        <w:pStyle w:val="ListBullet"/>
      </w:pPr>
      <w:r>
        <w:rPr>
          <w:b/>
        </w:rPr>
        <w:t>AnaptysBio (ANAB) — Monday, Aug 24.</w:t>
      </w:r>
      <w:r>
        <w:t xml:space="preserve"> A small biotech into a red-hot biotech tape; a clean beat feeds the rotation, a miss tests how much of the move is froth.</w:t>
      </w:r>
    </w:p>
    <w:p>
      <w:pPr>
        <w:pStyle w:val="ListBullet"/>
      </w:pPr>
      <w:r>
        <w:rPr>
          <w:b/>
        </w:rPr>
        <w:t>Initial jobless claims — Thursday, Aug 27.</w:t>
      </w:r>
      <w:r>
        <w:t xml:space="preserve"> After the surprise drop to 206k, another low number keeps the Fed's hawks talking and pressures long-duration stocks. A jump the other way would ease the hike fear and help the chips. This is the macro print of the week.</w:t>
      </w:r>
    </w:p>
    <w:p>
      <w:pPr>
        <w:pBdr>
          <w:bottom w:val="single" w:sz="6" w:space="1" w:color="C0C0C0"/>
        </w:pBdr>
      </w:pPr>
    </w:p>
    <w:p>
      <w:pPr>
        <w:spacing w:before="240" w:after="80"/>
      </w:pPr>
      <w:r>
        <w:rPr>
          <w:b/>
          <w:color w:val="1F3864"/>
          <w:sz w:val="30"/>
        </w:rPr>
        <w:t>11. Glossary</w:t>
      </w:r>
    </w:p>
    <w:p>
      <w:pPr>
        <w:pStyle w:val="ListBullet"/>
      </w:pPr>
      <w:r>
        <w:rPr>
          <w:b/>
        </w:rPr>
        <w:t>Our rank / the board:</w:t>
      </w:r>
      <w:r>
        <w:t xml:space="preserve"> we rank every US stock we track by relative strength, #1 strongest. "#8 in our system" = 8th-strongest of ~1,900.</w:t>
      </w:r>
    </w:p>
    <w:p>
      <w:pPr>
        <w:pStyle w:val="ListBullet"/>
      </w:pPr>
      <w:r>
        <w:rPr>
          <w:b/>
        </w:rPr>
        <w:t>Relative strength (RS):</w:t>
      </w:r>
      <w:r>
        <w:t xml:space="preserve"> performance vs the rest of the market. Rising RS = outperforming.</w:t>
      </w:r>
    </w:p>
    <w:p>
      <w:pPr>
        <w:pStyle w:val="ListBullet"/>
      </w:pPr>
      <w:r>
        <w:rPr>
          <w:b/>
        </w:rPr>
        <w:t>Moving averages (20/50/200-day):</w:t>
      </w:r>
      <w:r>
        <w:t xml:space="preserve"> the trend lines. A healthy uptrend has price above a rising 20-day, itself above the 200-day. "Extended" = far above the 20-day and prone to a pullback.</w:t>
      </w:r>
    </w:p>
    <w:p>
      <w:pPr>
        <w:pStyle w:val="ListBullet"/>
      </w:pPr>
      <w:r>
        <w:rPr>
          <w:b/>
        </w:rPr>
        <w:t>VIX:</w:t>
      </w:r>
      <w:r>
        <w:t xml:space="preserve"> the market's fear gauge. Below 20 = calm.</w:t>
      </w:r>
    </w:p>
    <w:p>
      <w:pPr>
        <w:pStyle w:val="ListBullet"/>
      </w:pPr>
      <w:r>
        <w:rPr>
          <w:b/>
        </w:rPr>
        <w:t>Credit spreads:</w:t>
      </w:r>
      <w:r>
        <w:t xml:space="preserve"> the extra yield on risky corporate bonds vs safe government bonds. Widening = warning; tight = calm.</w:t>
      </w:r>
    </w:p>
    <w:p>
      <w:pPr>
        <w:pStyle w:val="ListBullet"/>
      </w:pPr>
      <w:r>
        <w:rPr>
          <w:b/>
        </w:rPr>
        <w:t>Treasury yields / 2s10s:</w:t>
      </w:r>
      <w:r>
        <w:t xml:space="preserve"> the 10-year vs 2-year government borrowing rate; the spread is 10y minus 2y. A rising 10-year pressures expensive, long-duration stocks.</w:t>
      </w:r>
    </w:p>
    <w:p>
      <w:pPr>
        <w:pStyle w:val="ListBullet"/>
      </w:pPr>
      <w:r>
        <w:rPr>
          <w:b/>
        </w:rPr>
        <w:t>Breadth:</w:t>
      </w:r>
      <w:r>
        <w:t xml:space="preserve"> how many stocks participate. Strong breadth = broad, healthy rally.</w:t>
      </w:r>
    </w:p>
    <w:p>
      <w:pPr>
        <w:pStyle w:val="ListBullet"/>
      </w:pPr>
      <w:r>
        <w:rPr>
          <w:b/>
        </w:rPr>
        <w:t>High-yield / junk bonds:</w:t>
      </w:r>
      <w:r>
        <w:t xml:space="preserve"> bonds from riskier companies. Falling prices are an early credit-stress signal.</w:t>
      </w:r>
    </w:p>
    <w:p>
      <w:pPr>
        <w:pStyle w:val="ListBullet"/>
      </w:pPr>
      <w:r>
        <w:rPr>
          <w:b/>
        </w:rPr>
        <w:t>Safe havens (gold, the dollar):</w:t>
      </w:r>
      <w:r>
        <w:t xml:space="preserve"> where money runs when it's scared. A rally signals real fear; flat through a scary headline signals calm.</w:t>
      </w:r>
    </w:p>
    <w:p>
      <w:pPr>
        <w:pStyle w:val="ListBullet"/>
      </w:pPr>
      <w:r>
        <w:rPr>
          <w:b/>
        </w:rPr>
        <w:t>Node / momentum score:</w:t>
      </w:r>
      <w:r>
        <w:t xml:space="preserve"> the platform's 0-100 composite of RS rank, trend and price vs the 50-day. 50 is average, not a rank.</w:t>
      </w:r>
    </w:p>
    <w:p>
      <w:pPr>
        <w:pBdr>
          <w:bottom w:val="single" w:sz="6" w:space="1" w:color="C0C0C0"/>
        </w:pBdr>
      </w:pPr>
    </w:p>
    <w:p>
      <w:r>
        <w:t>The picture holds together: the index took a breather while money quietly rotated out of banks and the AI mega-caps and into health care, energy and hard assets, with oil and gold flashing an inflation warning the credit market hasn't confirmed. Own the leaders the board is actually pointing at, keep the crypto and biotech moon-shots on a short leash, and watch Thursday's claims number for whether the Fed's hike talk gets louder. Stay invested, stay selective, and we'll see you next Sunday.</w:t>
      </w:r>
    </w:p>
    <w:p>
      <w:r>
        <w:rPr>
          <w:i/>
        </w:rPr>
        <w:t>Educational market commentary, not financial advice. Everything here is a starting point for your own research, never a recommendation.</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