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The Hike Nobody Panicked About</w:t>
      </w:r>
    </w:p>
    <w:p>
      <w:r>
        <w:rPr>
          <w:i/>
        </w:rPr>
        <w:t>Weekly US market letter — week of September 25, 2026</w:t>
      </w:r>
    </w:p>
    <w:p>
      <w:r>
        <w:t>The Fed raised rates this week. Not a cut, not a pause, but a hike under new chair Kevin Warsh, and the bond market answered by shoving the 10-year Treasury yield to a 19-year high. The textbook says stocks fall when money gets more expensive. Instead the S&amp;P 500 rose 1.2% on the week, and the money that moved didn't run to cash. It crowded into cancer diagnostics, biotech, and a fresh wave of chip names. Everything below rests on our daily ranking of about 1,900 US stocks, and this week the board and the bond market told two very different stories.</w:t>
      </w:r>
    </w:p>
    <w:p>
      <w:pPr>
        <w:spacing w:before="240" w:after="80"/>
      </w:pPr>
      <w:r>
        <w:rPr>
          <w:b/>
          <w:color w:val="1F3864"/>
          <w:sz w:val="30"/>
        </w:rPr>
        <w:t>1. The lead: a rate hike the market shrugged off</w:t>
      </w:r>
    </w:p>
    <w:p>
      <w:r>
        <w:t>Warsh's FOMC hiked, Treasury Secretary Bessent said he has "great confidence" in the chair, and yields did the rest of the talking. The 10-year sits at 5.18%, up 24 basis points on the week; the 2-year is 4.87%, up 20. The 2s10s spread is a positive 31 basis points and steepening, which matters: the long end is selling off faster than the short end, so the bond market is pricing more inflation and term premium, not a recession. Fed funds now top out at 3.63%, against CPI still running 3.4% year over year.</w:t>
      </w:r>
    </w:p>
    <w:p>
      <w:r>
        <w:t>Higher long yields are supposed to punish expensive, long-duration stocks first, the growth names whose value sits years out. That's the part worth sitting with. The Fed tightened, borrowing costs jumped to levels not seen since the mid-2000s, and the index still closed green while leadership rotated toward companies with earnings you can touch today. The market isn't fighting the Fed. It's repricing which businesses deserve the money now that the money costs more.</w:t>
      </w:r>
    </w:p>
    <w:p>
      <w:pPr>
        <w:spacing w:before="240" w:after="80"/>
      </w:pPr>
      <w:r>
        <w:rPr>
          <w:b/>
          <w:color w:val="1F3864"/>
          <w:sz w:val="30"/>
        </w:rPr>
        <w:t>2. Grading our June calls</w:t>
      </w:r>
    </w:p>
    <w:p>
      <w:r>
        <w:t>Three predictions from June 26 came due back on July 3. I'm closing them out honestly against the trend they were betting on, and reading where the board landed.</w:t>
      </w:r>
    </w:p>
    <w:p>
      <w:r>
        <w:rPr>
          <w:b/>
        </w:rPr>
        <w:t>Call 1 — the health-care/biotech wave holds and confirms a real rotation. Grade: A.</w:t>
      </w:r>
      <w:r>
        <w:t xml:space="preserve"> This one aged into a bull's-eye. The top of our board is now a wall of diagnostics, biotech and life-sciences tools — NTRA at #1, GRAL at #4, a dozen more in the top 20. Whatever happened in that first July week, the rotation was the real thing.</w:t>
      </w:r>
    </w:p>
    <w:p>
      <w:r>
        <w:rPr>
          <w:b/>
        </w:rPr>
        <w:t>Call 2 — semis stay in the lower half and don't reclaim a top-20 peer rank. Grade: F.</w:t>
      </w:r>
      <w:r>
        <w:t xml:space="preserve"> Wrong, and not close by now. Electronic Manufacturing Services just surged to peer-group #12, AMD sits at #19 overall, and semis are the single biggest cluster among this week's fastest climbers. The chip trade didn't keep consolidating.</w:t>
      </w:r>
    </w:p>
    <w:p>
      <w:r>
        <w:rPr>
          <w:b/>
        </w:rPr>
        <w:t>Call 3 — regime stays healthy: VIX under 20 and breadth above 60%. Grade: C.</w:t>
      </w:r>
      <w:r>
        <w:t xml:space="preserve"> Half right. The VIX is a sleepy 14.84, so the fear side held. But only 46% of stocks are above their 200-day now, well short of 60%. The calm is real; the participation isn't.</w:t>
      </w:r>
    </w:p>
    <w:p>
      <w:pPr>
        <w:spacing w:before="240" w:after="80"/>
      </w:pPr>
      <w:r>
        <w:rPr>
          <w:b/>
          <w:color w:val="1F3864"/>
          <w:sz w:val="30"/>
        </w:rPr>
        <w:t>3. Oil, the dollar, and the world into our open</w:t>
      </w:r>
    </w:p>
    <w:p>
      <w:r>
        <w:t>Asia traded into the US hike with more nerve than you'd expect. Taiwan's TAIEX rose 1.8% and Korea's KOSPI jumped 2.7%, the memory-and-chip complex firming right before Micron reports next week, a quiet vote of confidence in the semi cycle. Japan's Nikkei added 2.1% with no sign of a carry-trade unwind, though USD/JPY, up 1.7% on the week to 157.2, has ticked back about 1% since our close. That's mild yen firming into Monday, worth a glance, not a worry. Hong Kong's Hang Seng slipped 1%, the one soft spot, telling you China demand is still lagging.</w:t>
      </w:r>
    </w:p>
    <w:p>
      <w:r>
        <w:t>The dollar index rose 0.8% to 101, partly the rate hike and partly a low-grade safety bid, and a firmer dollar is a headwind for US multinationals and anything priced in it. Which brings up the week's loudest commodity move: Brent crude fell 6.2% to 97.44, with no Middle-East supply scare attached. Cheaper oil is disinflationary and a straight gift to fuel-heavy businesses, part of why airlines lit up the board (more on that below). Copper rose 2.3%, so the growth barometer isn't flashing red, and Bitcoin's 3.9% gain says risk appetite is intact.</w:t>
      </w:r>
    </w:p>
    <w:p>
      <w:pPr>
        <w:spacing w:before="240" w:after="80"/>
      </w:pPr>
      <w:r>
        <w:rPr>
          <w:b/>
          <w:color w:val="1F3864"/>
          <w:sz w:val="30"/>
        </w:rPr>
        <w:t>4. Where the money went at the very top: health care</w:t>
      </w:r>
    </w:p>
    <w:p>
      <w:r>
        <w:t>The top of our board isn't subtle this week. GRAIL rose 57% and ranks #4 after an FDA advisory committee voted to back its Galleri multi-cancer blood test, a real catalyst rather than a chart wiggle. Moderna climbed 29% to a new 52-week high (#13) on oncology data presented at ESMO. Natera leads the whole board at #1, up 11.7%. Around them sit the life-sciences tool makers: Agilent at #17 (+10.4%), Thermo Fisher at #18, Illumina at #20 (+12.7%).</w:t>
      </w:r>
    </w:p>
    <w:p>
      <w:r>
        <w:t>Read it as a flight to earnings you can see. When the discount rate jumps, the market gets pickier about growth, and it's paying up for biotech with real data and diagnostics with real approvals rather than promises. Notice too that a few names near the top actually fell on the week — AtriCure up just 0.5%, CVR Energy down 4%, Strive down 2.2%. High rank, soft week. That's what a leader looks like when it pauses without giving up its position, and pauses in strong names are where the discipline lives.</w:t>
      </w:r>
    </w:p>
    <w:p>
      <w:pPr>
        <w:spacing w:before="240" w:after="80"/>
      </w:pPr>
      <w:r>
        <w:rPr>
          <w:b/>
          <w:color w:val="1F3864"/>
          <w:sz w:val="30"/>
        </w:rPr>
        <w:t>5. Theme of the week: quantum computing</w:t>
      </w:r>
    </w:p>
    <w:p>
      <w:r>
        <w:t>Set aside the hype and quantum computing is a supply chain like any other, and money in a supply chain flows to the chokepoint, the one link everybody needs no matter who wins. Our theme momentum score jumped to 77 from 67 a week ago, so this chain is heating up. Here's how it's built.</w:t>
      </w:r>
    </w:p>
    <w:p>
      <w:r>
        <w:t>At the front are the components — the lasers, photonics and precision test gear from Coherent, FormFactor, Lumentum and MKS. Behind them, the big-tech machine builders: Alphabet, Honeywell, IBM, Microsoft, Nvidia. Then the pure-plays — IonQ, D-Wave, Quantum Computing Inc., Rigetti — the lottery tickets betting on specific qubit designs. And last, the quantum-safe security layer (Arqit, SEALSQ) racing to build encryption that a working quantum computer couldn't crack.</w:t>
      </w:r>
    </w:p>
    <w:p>
      <w:r>
        <w:t>The tell is where the momentum sits. Components score 78 and pure-plays 78, big tech 77, but the security layer lags at 64. In plain terms, the money is on the machines and the parts that go in them, not yet on the shield against them. The single strongest node is FormFactor, momentum 92 and ranked #141 of our whole universe, the picks-and-shovels play. When you don't know which horse wins the race, you sell every rider a saddle, and the saddle-makers are winning.</w:t>
      </w:r>
    </w:p>
    <w:p>
      <w:r>
        <w:t xml:space="preserve">One caution the same theme hands you: Xanadu, a quantum name, fell 33% this week. And the "cheapest on growth" screen flags Quantum Computing Inc. at a price-to-sales ratio of 206 against revenue growth of </w:t>
      </w:r>
      <w:r>
        <w:rPr>
          <w:b/>
        </w:rPr>
        <w:t>9,000%</w:t>
      </w:r>
      <w:r>
        <w:t xml:space="preserve"> year over year — numbers so extreme they tell you this is a story stock priced for a future that may or may not arrive. That's a screen, not a suggestion. Treat this whole link as a lesson in how a value chain concentrates, not a shopping list.</w:t>
      </w:r>
    </w:p>
    <w:p>
      <w:pPr>
        <w:spacing w:before="240" w:after="80"/>
      </w:pPr>
      <w:r>
        <w:rPr>
          <w:b/>
          <w:color w:val="1F3864"/>
          <w:sz w:val="30"/>
        </w:rPr>
        <w:t>6. Where the money is going</w:t>
      </w:r>
    </w:p>
    <w:p>
      <w:r>
        <w:t>The strongest names on the board, top 10 in order: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r>
              <w:rPr>
                <w:b/>
                <w:color w:val="FFFFFF"/>
                <w:sz w:val="19"/>
              </w:rPr>
              <w:t>#</w:t>
            </w:r>
          </w:p>
        </w:tc>
        <w:tc>
          <w:tcPr>
            <w:tcW w:type="dxa" w:w="2412"/>
            <w:shd w:val="clear" w:fill="1F3864"/>
          </w:tcPr>
          <w:p>
            <w:r>
              <w:rPr>
                <w:b/>
                <w:color w:val="FFFFFF"/>
                <w:sz w:val="19"/>
              </w:rPr>
              <w:t>Ticker</w:t>
            </w:r>
          </w:p>
        </w:tc>
        <w:tc>
          <w:tcPr>
            <w:tcW w:type="dxa" w:w="2412"/>
            <w:shd w:val="clear" w:fill="1F3864"/>
          </w:tcPr>
          <w:p>
            <w:r>
              <w:rPr>
                <w:b/>
                <w:color w:val="FFFFFF"/>
                <w:sz w:val="19"/>
              </w:rPr>
              <w:t>Company</w:t>
            </w:r>
          </w:p>
        </w:tc>
        <w:tc>
          <w:tcPr>
            <w:tcW w:type="dxa" w:w="2412"/>
            <w:shd w:val="clear" w:fill="1F3864"/>
          </w:tcPr>
          <w:p>
            <w:r>
              <w:rPr>
                <w:b/>
                <w:color w:val="FFFFFF"/>
                <w:sz w:val="19"/>
              </w:rPr>
              <w:t>Wk %</w:t>
            </w:r>
          </w:p>
        </w:tc>
      </w:tr>
      <w:tr>
        <w:tc>
          <w:tcPr>
            <w:tcW w:type="dxa" w:w="2412"/>
          </w:tcPr>
          <w:p>
            <w:r>
              <w:rPr>
                <w:sz w:val="19"/>
              </w:rPr>
              <w:t>1</w:t>
            </w:r>
          </w:p>
        </w:tc>
        <w:tc>
          <w:tcPr>
            <w:tcW w:type="dxa" w:w="2412"/>
          </w:tcPr>
          <w:p>
            <w:r>
              <w:rPr>
                <w:sz w:val="19"/>
              </w:rPr>
              <w:t>NTRA</w:t>
            </w:r>
          </w:p>
        </w:tc>
        <w:tc>
          <w:tcPr>
            <w:tcW w:type="dxa" w:w="2412"/>
          </w:tcPr>
          <w:p>
            <w:r>
              <w:rPr>
                <w:sz w:val="19"/>
              </w:rPr>
              <w:t>Natera</w:t>
            </w:r>
          </w:p>
        </w:tc>
        <w:tc>
          <w:tcPr>
            <w:tcW w:type="dxa" w:w="2412"/>
          </w:tcPr>
          <w:p>
            <w:r>
              <w:rPr>
                <w:sz w:val="19"/>
              </w:rPr>
              <w:t>+11.7%</w:t>
            </w:r>
          </w:p>
        </w:tc>
      </w:tr>
      <w:tr>
        <w:tc>
          <w:tcPr>
            <w:tcW w:type="dxa" w:w="2412"/>
            <w:shd w:val="clear" w:fill="EEF1F7"/>
          </w:tcPr>
          <w:p>
            <w:r>
              <w:rPr>
                <w:sz w:val="19"/>
              </w:rPr>
              <w:t>2</w:t>
            </w:r>
          </w:p>
        </w:tc>
        <w:tc>
          <w:tcPr>
            <w:tcW w:type="dxa" w:w="2412"/>
            <w:shd w:val="clear" w:fill="EEF1F7"/>
          </w:tcPr>
          <w:p>
            <w:r>
              <w:rPr>
                <w:sz w:val="19"/>
              </w:rPr>
              <w:t>ATRC</w:t>
            </w:r>
          </w:p>
        </w:tc>
        <w:tc>
          <w:tcPr>
            <w:tcW w:type="dxa" w:w="2412"/>
            <w:shd w:val="clear" w:fill="EEF1F7"/>
          </w:tcPr>
          <w:p>
            <w:r>
              <w:rPr>
                <w:sz w:val="19"/>
              </w:rPr>
              <w:t>AtriCure</w:t>
            </w:r>
          </w:p>
        </w:tc>
        <w:tc>
          <w:tcPr>
            <w:tcW w:type="dxa" w:w="2412"/>
            <w:shd w:val="clear" w:fill="EEF1F7"/>
          </w:tcPr>
          <w:p>
            <w:r>
              <w:rPr>
                <w:sz w:val="19"/>
              </w:rPr>
              <w:t>+0.5%</w:t>
            </w:r>
          </w:p>
        </w:tc>
      </w:tr>
      <w:tr>
        <w:tc>
          <w:tcPr>
            <w:tcW w:type="dxa" w:w="2412"/>
          </w:tcPr>
          <w:p>
            <w:r>
              <w:rPr>
                <w:sz w:val="19"/>
              </w:rPr>
              <w:t>3</w:t>
            </w:r>
          </w:p>
        </w:tc>
        <w:tc>
          <w:tcPr>
            <w:tcW w:type="dxa" w:w="2412"/>
          </w:tcPr>
          <w:p>
            <w:r>
              <w:rPr>
                <w:sz w:val="19"/>
              </w:rPr>
              <w:t>ASST</w:t>
            </w:r>
          </w:p>
        </w:tc>
        <w:tc>
          <w:tcPr>
            <w:tcW w:type="dxa" w:w="2412"/>
          </w:tcPr>
          <w:p>
            <w:r>
              <w:rPr>
                <w:sz w:val="19"/>
              </w:rPr>
              <w:t>Strive</w:t>
            </w:r>
          </w:p>
        </w:tc>
        <w:tc>
          <w:tcPr>
            <w:tcW w:type="dxa" w:w="2412"/>
          </w:tcPr>
          <w:p>
            <w:r>
              <w:rPr>
                <w:sz w:val="19"/>
              </w:rPr>
              <w:t>-2.2%</w:t>
            </w:r>
          </w:p>
        </w:tc>
      </w:tr>
      <w:tr>
        <w:tc>
          <w:tcPr>
            <w:tcW w:type="dxa" w:w="2412"/>
            <w:shd w:val="clear" w:fill="EEF1F7"/>
          </w:tcPr>
          <w:p>
            <w:r>
              <w:rPr>
                <w:sz w:val="19"/>
              </w:rPr>
              <w:t>4</w:t>
            </w:r>
          </w:p>
        </w:tc>
        <w:tc>
          <w:tcPr>
            <w:tcW w:type="dxa" w:w="2412"/>
            <w:shd w:val="clear" w:fill="EEF1F7"/>
          </w:tcPr>
          <w:p>
            <w:r>
              <w:rPr>
                <w:sz w:val="19"/>
              </w:rPr>
              <w:t>GRAL</w:t>
            </w:r>
          </w:p>
        </w:tc>
        <w:tc>
          <w:tcPr>
            <w:tcW w:type="dxa" w:w="2412"/>
            <w:shd w:val="clear" w:fill="EEF1F7"/>
          </w:tcPr>
          <w:p>
            <w:r>
              <w:rPr>
                <w:sz w:val="19"/>
              </w:rPr>
              <w:t>GRAIL</w:t>
            </w:r>
          </w:p>
        </w:tc>
        <w:tc>
          <w:tcPr>
            <w:tcW w:type="dxa" w:w="2412"/>
            <w:shd w:val="clear" w:fill="EEF1F7"/>
          </w:tcPr>
          <w:p>
            <w:r>
              <w:rPr>
                <w:sz w:val="19"/>
              </w:rPr>
              <w:t>+57.1%</w:t>
            </w:r>
          </w:p>
        </w:tc>
      </w:tr>
      <w:tr>
        <w:tc>
          <w:tcPr>
            <w:tcW w:type="dxa" w:w="2412"/>
          </w:tcPr>
          <w:p>
            <w:r>
              <w:rPr>
                <w:sz w:val="19"/>
              </w:rPr>
              <w:t>5</w:t>
            </w:r>
          </w:p>
        </w:tc>
        <w:tc>
          <w:tcPr>
            <w:tcW w:type="dxa" w:w="2412"/>
          </w:tcPr>
          <w:p>
            <w:r>
              <w:rPr>
                <w:sz w:val="19"/>
              </w:rPr>
              <w:t>TXG</w:t>
            </w:r>
          </w:p>
        </w:tc>
        <w:tc>
          <w:tcPr>
            <w:tcW w:type="dxa" w:w="2412"/>
          </w:tcPr>
          <w:p>
            <w:r>
              <w:rPr>
                <w:sz w:val="19"/>
              </w:rPr>
              <w:t>10x Genomics</w:t>
            </w:r>
          </w:p>
        </w:tc>
        <w:tc>
          <w:tcPr>
            <w:tcW w:type="dxa" w:w="2412"/>
          </w:tcPr>
          <w:p>
            <w:r>
              <w:rPr>
                <w:sz w:val="19"/>
              </w:rPr>
              <w:t>+11.9%</w:t>
            </w:r>
          </w:p>
        </w:tc>
      </w:tr>
      <w:tr>
        <w:tc>
          <w:tcPr>
            <w:tcW w:type="dxa" w:w="2412"/>
            <w:shd w:val="clear" w:fill="EEF1F7"/>
          </w:tcPr>
          <w:p>
            <w:r>
              <w:rPr>
                <w:sz w:val="19"/>
              </w:rPr>
              <w:t>6</w:t>
            </w:r>
          </w:p>
        </w:tc>
        <w:tc>
          <w:tcPr>
            <w:tcW w:type="dxa" w:w="2412"/>
            <w:shd w:val="clear" w:fill="EEF1F7"/>
          </w:tcPr>
          <w:p>
            <w:r>
              <w:rPr>
                <w:sz w:val="19"/>
              </w:rPr>
              <w:t>META</w:t>
            </w:r>
          </w:p>
        </w:tc>
        <w:tc>
          <w:tcPr>
            <w:tcW w:type="dxa" w:w="2412"/>
            <w:shd w:val="clear" w:fill="EEF1F7"/>
          </w:tcPr>
          <w:p>
            <w:r>
              <w:rPr>
                <w:sz w:val="19"/>
              </w:rPr>
              <w:t>Meta Platforms</w:t>
            </w:r>
          </w:p>
        </w:tc>
        <w:tc>
          <w:tcPr>
            <w:tcW w:type="dxa" w:w="2412"/>
            <w:shd w:val="clear" w:fill="EEF1F7"/>
          </w:tcPr>
          <w:p>
            <w:r>
              <w:rPr>
                <w:sz w:val="19"/>
              </w:rPr>
              <w:t>+13.0%</w:t>
            </w:r>
          </w:p>
        </w:tc>
      </w:tr>
      <w:tr>
        <w:tc>
          <w:tcPr>
            <w:tcW w:type="dxa" w:w="2412"/>
          </w:tcPr>
          <w:p>
            <w:r>
              <w:rPr>
                <w:sz w:val="19"/>
              </w:rPr>
              <w:t>7</w:t>
            </w:r>
          </w:p>
        </w:tc>
        <w:tc>
          <w:tcPr>
            <w:tcW w:type="dxa" w:w="2412"/>
          </w:tcPr>
          <w:p>
            <w:r>
              <w:rPr>
                <w:sz w:val="19"/>
              </w:rPr>
              <w:t>GME</w:t>
            </w:r>
          </w:p>
        </w:tc>
        <w:tc>
          <w:tcPr>
            <w:tcW w:type="dxa" w:w="2412"/>
          </w:tcPr>
          <w:p>
            <w:r>
              <w:rPr>
                <w:sz w:val="19"/>
              </w:rPr>
              <w:t>GameStop</w:t>
            </w:r>
          </w:p>
        </w:tc>
        <w:tc>
          <w:tcPr>
            <w:tcW w:type="dxa" w:w="2412"/>
          </w:tcPr>
          <w:p>
            <w:r>
              <w:rPr>
                <w:sz w:val="19"/>
              </w:rPr>
              <w:t>+3.3%</w:t>
            </w:r>
          </w:p>
        </w:tc>
      </w:tr>
      <w:tr>
        <w:tc>
          <w:tcPr>
            <w:tcW w:type="dxa" w:w="2412"/>
            <w:shd w:val="clear" w:fill="EEF1F7"/>
          </w:tcPr>
          <w:p>
            <w:r>
              <w:rPr>
                <w:sz w:val="19"/>
              </w:rPr>
              <w:t>8</w:t>
            </w:r>
          </w:p>
        </w:tc>
        <w:tc>
          <w:tcPr>
            <w:tcW w:type="dxa" w:w="2412"/>
            <w:shd w:val="clear" w:fill="EEF1F7"/>
          </w:tcPr>
          <w:p>
            <w:r>
              <w:rPr>
                <w:sz w:val="19"/>
              </w:rPr>
              <w:t>CVI</w:t>
            </w:r>
          </w:p>
        </w:tc>
        <w:tc>
          <w:tcPr>
            <w:tcW w:type="dxa" w:w="2412"/>
            <w:shd w:val="clear" w:fill="EEF1F7"/>
          </w:tcPr>
          <w:p>
            <w:r>
              <w:rPr>
                <w:sz w:val="19"/>
              </w:rPr>
              <w:t>CVR Energy</w:t>
            </w:r>
          </w:p>
        </w:tc>
        <w:tc>
          <w:tcPr>
            <w:tcW w:type="dxa" w:w="2412"/>
            <w:shd w:val="clear" w:fill="EEF1F7"/>
          </w:tcPr>
          <w:p>
            <w:r>
              <w:rPr>
                <w:sz w:val="19"/>
              </w:rPr>
              <w:t>-4.0%</w:t>
            </w:r>
          </w:p>
        </w:tc>
      </w:tr>
      <w:tr>
        <w:tc>
          <w:tcPr>
            <w:tcW w:type="dxa" w:w="2412"/>
          </w:tcPr>
          <w:p>
            <w:r>
              <w:rPr>
                <w:sz w:val="19"/>
              </w:rPr>
              <w:t>9</w:t>
            </w:r>
          </w:p>
        </w:tc>
        <w:tc>
          <w:tcPr>
            <w:tcW w:type="dxa" w:w="2412"/>
          </w:tcPr>
          <w:p>
            <w:r>
              <w:rPr>
                <w:sz w:val="19"/>
              </w:rPr>
              <w:t>CAI</w:t>
            </w:r>
          </w:p>
        </w:tc>
        <w:tc>
          <w:tcPr>
            <w:tcW w:type="dxa" w:w="2412"/>
          </w:tcPr>
          <w:p>
            <w:r>
              <w:rPr>
                <w:sz w:val="19"/>
              </w:rPr>
              <w:t>Caris Life Sciences</w:t>
            </w:r>
          </w:p>
        </w:tc>
        <w:tc>
          <w:tcPr>
            <w:tcW w:type="dxa" w:w="2412"/>
          </w:tcPr>
          <w:p>
            <w:r>
              <w:rPr>
                <w:sz w:val="19"/>
              </w:rPr>
              <w:t>+6.7%</w:t>
            </w:r>
          </w:p>
        </w:tc>
      </w:tr>
      <w:tr>
        <w:tc>
          <w:tcPr>
            <w:tcW w:type="dxa" w:w="2412"/>
            <w:shd w:val="clear" w:fill="EEF1F7"/>
          </w:tcPr>
          <w:p>
            <w:r>
              <w:rPr>
                <w:sz w:val="19"/>
              </w:rPr>
              <w:t>10</w:t>
            </w:r>
          </w:p>
        </w:tc>
        <w:tc>
          <w:tcPr>
            <w:tcW w:type="dxa" w:w="2412"/>
            <w:shd w:val="clear" w:fill="EEF1F7"/>
          </w:tcPr>
          <w:p>
            <w:r>
              <w:rPr>
                <w:sz w:val="19"/>
              </w:rPr>
              <w:t>IOVA</w:t>
            </w:r>
          </w:p>
        </w:tc>
        <w:tc>
          <w:tcPr>
            <w:tcW w:type="dxa" w:w="2412"/>
            <w:shd w:val="clear" w:fill="EEF1F7"/>
          </w:tcPr>
          <w:p>
            <w:r>
              <w:rPr>
                <w:sz w:val="19"/>
              </w:rPr>
              <w:t>Iovance Biotherapeutics</w:t>
            </w:r>
          </w:p>
        </w:tc>
        <w:tc>
          <w:tcPr>
            <w:tcW w:type="dxa" w:w="2412"/>
            <w:shd w:val="clear" w:fill="EEF1F7"/>
          </w:tcPr>
          <w:p>
            <w:r>
              <w:rPr>
                <w:sz w:val="19"/>
              </w:rPr>
              <w:t>+7.3%</w:t>
            </w:r>
          </w:p>
        </w:tc>
      </w:tr>
    </w:tbl>
    <w:p/>
    <w:p>
      <w:r>
        <w:t xml:space="preserve">Health care owns the top; Meta at #6 (+13%) is the one megacap that belongs there on its own merit. But the </w:t>
      </w:r>
      <w:r>
        <w:rPr>
          <w:i/>
        </w:rPr>
        <w:t>fastest</w:t>
      </w:r>
      <w:r>
        <w:t xml:space="preserve"> movers tell the semiconductor half of the story. Fourteen of the top 25 weekly climbers are Information Technology, most of them chips and chip-design tools: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r>
              <w:rPr>
                <w:b/>
                <w:color w:val="FFFFFF"/>
                <w:sz w:val="19"/>
              </w:rPr>
              <w:t>Ticker</w:t>
            </w:r>
          </w:p>
        </w:tc>
        <w:tc>
          <w:tcPr>
            <w:tcW w:type="dxa" w:w="2412"/>
            <w:shd w:val="clear" w:fill="1F3864"/>
          </w:tcPr>
          <w:p>
            <w:r>
              <w:rPr>
                <w:b/>
                <w:color w:val="FFFFFF"/>
                <w:sz w:val="19"/>
              </w:rPr>
              <w:t>Sector</w:t>
            </w:r>
          </w:p>
        </w:tc>
        <w:tc>
          <w:tcPr>
            <w:tcW w:type="dxa" w:w="2412"/>
            <w:shd w:val="clear" w:fill="1F3864"/>
          </w:tcPr>
          <w:p>
            <w:r>
              <w:rPr>
                <w:b/>
                <w:color w:val="FFFFFF"/>
                <w:sz w:val="19"/>
              </w:rPr>
              <w:t>Rank: was → now</w:t>
            </w:r>
          </w:p>
        </w:tc>
        <w:tc>
          <w:tcPr>
            <w:tcW w:type="dxa" w:w="2412"/>
            <w:shd w:val="clear" w:fill="1F3864"/>
          </w:tcPr>
          <w:p>
            <w:r>
              <w:rPr>
                <w:b/>
                <w:color w:val="FFFFFF"/>
                <w:sz w:val="19"/>
              </w:rPr>
              <w:t>Wk %</w:t>
            </w:r>
          </w:p>
        </w:tc>
      </w:tr>
      <w:tr>
        <w:tc>
          <w:tcPr>
            <w:tcW w:type="dxa" w:w="2412"/>
          </w:tcPr>
          <w:p>
            <w:r>
              <w:rPr>
                <w:sz w:val="19"/>
              </w:rPr>
              <w:t>VKTX</w:t>
            </w:r>
          </w:p>
        </w:tc>
        <w:tc>
          <w:tcPr>
            <w:tcW w:type="dxa" w:w="2412"/>
          </w:tcPr>
          <w:p>
            <w:r>
              <w:rPr>
                <w:sz w:val="19"/>
              </w:rPr>
              <w:t>Health Care</w:t>
            </w:r>
          </w:p>
        </w:tc>
        <w:tc>
          <w:tcPr>
            <w:tcW w:type="dxa" w:w="2412"/>
          </w:tcPr>
          <w:p>
            <w:r>
              <w:rPr>
                <w:sz w:val="19"/>
              </w:rPr>
              <w:t>1562 → 350</w:t>
            </w:r>
          </w:p>
        </w:tc>
        <w:tc>
          <w:tcPr>
            <w:tcW w:type="dxa" w:w="2412"/>
          </w:tcPr>
          <w:p>
            <w:r>
              <w:rPr>
                <w:sz w:val="19"/>
              </w:rPr>
              <w:t>+22.7%</w:t>
            </w:r>
          </w:p>
        </w:tc>
      </w:tr>
      <w:tr>
        <w:tc>
          <w:tcPr>
            <w:tcW w:type="dxa" w:w="2412"/>
            <w:shd w:val="clear" w:fill="EEF1F7"/>
          </w:tcPr>
          <w:p>
            <w:r>
              <w:rPr>
                <w:sz w:val="19"/>
              </w:rPr>
              <w:t>MPWR</w:t>
            </w:r>
          </w:p>
        </w:tc>
        <w:tc>
          <w:tcPr>
            <w:tcW w:type="dxa" w:w="2412"/>
            <w:shd w:val="clear" w:fill="EEF1F7"/>
          </w:tcPr>
          <w:p>
            <w:r>
              <w:rPr>
                <w:sz w:val="19"/>
              </w:rPr>
              <w:t>Info Tech</w:t>
            </w:r>
          </w:p>
        </w:tc>
        <w:tc>
          <w:tcPr>
            <w:tcW w:type="dxa" w:w="2412"/>
            <w:shd w:val="clear" w:fill="EEF1F7"/>
          </w:tcPr>
          <w:p>
            <w:r>
              <w:rPr>
                <w:sz w:val="19"/>
              </w:rPr>
              <w:t>1434 → 305</w:t>
            </w:r>
          </w:p>
        </w:tc>
        <w:tc>
          <w:tcPr>
            <w:tcW w:type="dxa" w:w="2412"/>
            <w:shd w:val="clear" w:fill="EEF1F7"/>
          </w:tcPr>
          <w:p>
            <w:r>
              <w:rPr>
                <w:sz w:val="19"/>
              </w:rPr>
              <w:t>+12.3%</w:t>
            </w:r>
          </w:p>
        </w:tc>
      </w:tr>
      <w:tr>
        <w:tc>
          <w:tcPr>
            <w:tcW w:type="dxa" w:w="2412"/>
          </w:tcPr>
          <w:p>
            <w:r>
              <w:rPr>
                <w:sz w:val="19"/>
              </w:rPr>
              <w:t>RMBS</w:t>
            </w:r>
          </w:p>
        </w:tc>
        <w:tc>
          <w:tcPr>
            <w:tcW w:type="dxa" w:w="2412"/>
          </w:tcPr>
          <w:p>
            <w:r>
              <w:rPr>
                <w:sz w:val="19"/>
              </w:rPr>
              <w:t>Info Tech</w:t>
            </w:r>
          </w:p>
        </w:tc>
        <w:tc>
          <w:tcPr>
            <w:tcW w:type="dxa" w:w="2412"/>
          </w:tcPr>
          <w:p>
            <w:r>
              <w:rPr>
                <w:sz w:val="19"/>
              </w:rPr>
              <w:t>1201 → 162</w:t>
            </w:r>
          </w:p>
        </w:tc>
        <w:tc>
          <w:tcPr>
            <w:tcW w:type="dxa" w:w="2412"/>
          </w:tcPr>
          <w:p>
            <w:r>
              <w:rPr>
                <w:sz w:val="19"/>
              </w:rPr>
              <w:t>+20.0%</w:t>
            </w:r>
          </w:p>
        </w:tc>
      </w:tr>
      <w:tr>
        <w:tc>
          <w:tcPr>
            <w:tcW w:type="dxa" w:w="2412"/>
            <w:shd w:val="clear" w:fill="EEF1F7"/>
          </w:tcPr>
          <w:p>
            <w:r>
              <w:rPr>
                <w:sz w:val="19"/>
              </w:rPr>
              <w:t>INOD</w:t>
            </w:r>
          </w:p>
        </w:tc>
        <w:tc>
          <w:tcPr>
            <w:tcW w:type="dxa" w:w="2412"/>
            <w:shd w:val="clear" w:fill="EEF1F7"/>
          </w:tcPr>
          <w:p>
            <w:r>
              <w:rPr>
                <w:sz w:val="19"/>
              </w:rPr>
              <w:t>Info Tech</w:t>
            </w:r>
          </w:p>
        </w:tc>
        <w:tc>
          <w:tcPr>
            <w:tcW w:type="dxa" w:w="2412"/>
            <w:shd w:val="clear" w:fill="EEF1F7"/>
          </w:tcPr>
          <w:p>
            <w:r>
              <w:rPr>
                <w:sz w:val="19"/>
              </w:rPr>
              <w:t>1099 → 99</w:t>
            </w:r>
          </w:p>
        </w:tc>
        <w:tc>
          <w:tcPr>
            <w:tcW w:type="dxa" w:w="2412"/>
            <w:shd w:val="clear" w:fill="EEF1F7"/>
          </w:tcPr>
          <w:p>
            <w:r>
              <w:rPr>
                <w:sz w:val="19"/>
              </w:rPr>
              <w:t>+21.1%</w:t>
            </w:r>
          </w:p>
        </w:tc>
      </w:tr>
      <w:tr>
        <w:tc>
          <w:tcPr>
            <w:tcW w:type="dxa" w:w="2412"/>
          </w:tcPr>
          <w:p>
            <w:r>
              <w:rPr>
                <w:sz w:val="19"/>
              </w:rPr>
              <w:t>RKLB</w:t>
            </w:r>
          </w:p>
        </w:tc>
        <w:tc>
          <w:tcPr>
            <w:tcW w:type="dxa" w:w="2412"/>
          </w:tcPr>
          <w:p>
            <w:r>
              <w:rPr>
                <w:sz w:val="19"/>
              </w:rPr>
              <w:t>Industrials</w:t>
            </w:r>
          </w:p>
        </w:tc>
        <w:tc>
          <w:tcPr>
            <w:tcW w:type="dxa" w:w="2412"/>
          </w:tcPr>
          <w:p>
            <w:r>
              <w:rPr>
                <w:sz w:val="19"/>
              </w:rPr>
              <w:t>1273 → 335</w:t>
            </w:r>
          </w:p>
        </w:tc>
        <w:tc>
          <w:tcPr>
            <w:tcW w:type="dxa" w:w="2412"/>
          </w:tcPr>
          <w:p>
            <w:r>
              <w:rPr>
                <w:sz w:val="19"/>
              </w:rPr>
              <w:t>+14.5%</w:t>
            </w:r>
          </w:p>
        </w:tc>
      </w:tr>
      <w:tr>
        <w:tc>
          <w:tcPr>
            <w:tcW w:type="dxa" w:w="2412"/>
            <w:shd w:val="clear" w:fill="EEF1F7"/>
          </w:tcPr>
          <w:p>
            <w:r>
              <w:rPr>
                <w:sz w:val="19"/>
              </w:rPr>
              <w:t>LSCC</w:t>
            </w:r>
          </w:p>
        </w:tc>
        <w:tc>
          <w:tcPr>
            <w:tcW w:type="dxa" w:w="2412"/>
            <w:shd w:val="clear" w:fill="EEF1F7"/>
          </w:tcPr>
          <w:p>
            <w:r>
              <w:rPr>
                <w:sz w:val="19"/>
              </w:rPr>
              <w:t>Info Tech</w:t>
            </w:r>
          </w:p>
        </w:tc>
        <w:tc>
          <w:tcPr>
            <w:tcW w:type="dxa" w:w="2412"/>
            <w:shd w:val="clear" w:fill="EEF1F7"/>
          </w:tcPr>
          <w:p>
            <w:r>
              <w:rPr>
                <w:sz w:val="19"/>
              </w:rPr>
              <w:t>1288 → 353</w:t>
            </w:r>
          </w:p>
        </w:tc>
        <w:tc>
          <w:tcPr>
            <w:tcW w:type="dxa" w:w="2412"/>
            <w:shd w:val="clear" w:fill="EEF1F7"/>
          </w:tcPr>
          <w:p>
            <w:r>
              <w:rPr>
                <w:sz w:val="19"/>
              </w:rPr>
              <w:t>+15.4%</w:t>
            </w:r>
          </w:p>
        </w:tc>
      </w:tr>
      <w:tr>
        <w:tc>
          <w:tcPr>
            <w:tcW w:type="dxa" w:w="2412"/>
          </w:tcPr>
          <w:p>
            <w:r>
              <w:rPr>
                <w:sz w:val="19"/>
              </w:rPr>
              <w:t>OUST</w:t>
            </w:r>
          </w:p>
        </w:tc>
        <w:tc>
          <w:tcPr>
            <w:tcW w:type="dxa" w:w="2412"/>
          </w:tcPr>
          <w:p>
            <w:r>
              <w:rPr>
                <w:sz w:val="19"/>
              </w:rPr>
              <w:t>Info Tech</w:t>
            </w:r>
          </w:p>
        </w:tc>
        <w:tc>
          <w:tcPr>
            <w:tcW w:type="dxa" w:w="2412"/>
          </w:tcPr>
          <w:p>
            <w:r>
              <w:rPr>
                <w:sz w:val="19"/>
              </w:rPr>
              <w:t>1102 → 248</w:t>
            </w:r>
          </w:p>
        </w:tc>
        <w:tc>
          <w:tcPr>
            <w:tcW w:type="dxa" w:w="2412"/>
          </w:tcPr>
          <w:p>
            <w:r>
              <w:rPr>
                <w:sz w:val="19"/>
              </w:rPr>
              <w:t>+24.7%</w:t>
            </w:r>
          </w:p>
        </w:tc>
      </w:tr>
      <w:tr>
        <w:tc>
          <w:tcPr>
            <w:tcW w:type="dxa" w:w="2412"/>
            <w:shd w:val="clear" w:fill="EEF1F7"/>
          </w:tcPr>
          <w:p>
            <w:r>
              <w:rPr>
                <w:sz w:val="19"/>
              </w:rPr>
              <w:t>MRAM</w:t>
            </w:r>
          </w:p>
        </w:tc>
        <w:tc>
          <w:tcPr>
            <w:tcW w:type="dxa" w:w="2412"/>
            <w:shd w:val="clear" w:fill="EEF1F7"/>
          </w:tcPr>
          <w:p>
            <w:r>
              <w:rPr>
                <w:sz w:val="19"/>
              </w:rPr>
              <w:t>Info Tech</w:t>
            </w:r>
          </w:p>
        </w:tc>
        <w:tc>
          <w:tcPr>
            <w:tcW w:type="dxa" w:w="2412"/>
            <w:shd w:val="clear" w:fill="EEF1F7"/>
          </w:tcPr>
          <w:p>
            <w:r>
              <w:rPr>
                <w:sz w:val="19"/>
              </w:rPr>
              <w:t>1144 → 295</w:t>
            </w:r>
          </w:p>
        </w:tc>
        <w:tc>
          <w:tcPr>
            <w:tcW w:type="dxa" w:w="2412"/>
            <w:shd w:val="clear" w:fill="EEF1F7"/>
          </w:tcPr>
          <w:p>
            <w:r>
              <w:rPr>
                <w:sz w:val="19"/>
              </w:rPr>
              <w:t>+20.9%</w:t>
            </w:r>
          </w:p>
        </w:tc>
      </w:tr>
      <w:tr>
        <w:tc>
          <w:tcPr>
            <w:tcW w:type="dxa" w:w="2412"/>
          </w:tcPr>
          <w:p>
            <w:r>
              <w:rPr>
                <w:sz w:val="19"/>
              </w:rPr>
              <w:t>TSSI</w:t>
            </w:r>
          </w:p>
        </w:tc>
        <w:tc>
          <w:tcPr>
            <w:tcW w:type="dxa" w:w="2412"/>
          </w:tcPr>
          <w:p>
            <w:r>
              <w:rPr>
                <w:sz w:val="19"/>
              </w:rPr>
              <w:t>Info Tech</w:t>
            </w:r>
          </w:p>
        </w:tc>
        <w:tc>
          <w:tcPr>
            <w:tcW w:type="dxa" w:w="2412"/>
          </w:tcPr>
          <w:p>
            <w:r>
              <w:rPr>
                <w:sz w:val="19"/>
              </w:rPr>
              <w:t>1098 → 309</w:t>
            </w:r>
          </w:p>
        </w:tc>
        <w:tc>
          <w:tcPr>
            <w:tcW w:type="dxa" w:w="2412"/>
          </w:tcPr>
          <w:p>
            <w:r>
              <w:rPr>
                <w:sz w:val="19"/>
              </w:rPr>
              <w:t>+16.7%</w:t>
            </w:r>
          </w:p>
        </w:tc>
      </w:tr>
      <w:tr>
        <w:tc>
          <w:tcPr>
            <w:tcW w:type="dxa" w:w="2412"/>
            <w:shd w:val="clear" w:fill="EEF1F7"/>
          </w:tcPr>
          <w:p>
            <w:r>
              <w:rPr>
                <w:sz w:val="19"/>
              </w:rPr>
              <w:t>SNPS</w:t>
            </w:r>
          </w:p>
        </w:tc>
        <w:tc>
          <w:tcPr>
            <w:tcW w:type="dxa" w:w="2412"/>
            <w:shd w:val="clear" w:fill="EEF1F7"/>
          </w:tcPr>
          <w:p>
            <w:r>
              <w:rPr>
                <w:sz w:val="19"/>
              </w:rPr>
              <w:t>Info Tech</w:t>
            </w:r>
          </w:p>
        </w:tc>
        <w:tc>
          <w:tcPr>
            <w:tcW w:type="dxa" w:w="2412"/>
            <w:shd w:val="clear" w:fill="EEF1F7"/>
          </w:tcPr>
          <w:p>
            <w:r>
              <w:rPr>
                <w:sz w:val="19"/>
              </w:rPr>
              <w:t>1141 → 355</w:t>
            </w:r>
          </w:p>
        </w:tc>
        <w:tc>
          <w:tcPr>
            <w:tcW w:type="dxa" w:w="2412"/>
            <w:shd w:val="clear" w:fill="EEF1F7"/>
          </w:tcPr>
          <w:p>
            <w:r>
              <w:rPr>
                <w:sz w:val="19"/>
              </w:rPr>
              <w:t>+10.6%</w:t>
            </w:r>
          </w:p>
        </w:tc>
      </w:tr>
      <w:tr>
        <w:tc>
          <w:tcPr>
            <w:tcW w:type="dxa" w:w="2412"/>
          </w:tcPr>
          <w:p>
            <w:r>
              <w:rPr>
                <w:sz w:val="19"/>
              </w:rPr>
              <w:t>AKAM</w:t>
            </w:r>
          </w:p>
        </w:tc>
        <w:tc>
          <w:tcPr>
            <w:tcW w:type="dxa" w:w="2412"/>
          </w:tcPr>
          <w:p>
            <w:r>
              <w:rPr>
                <w:sz w:val="19"/>
              </w:rPr>
              <w:t>Info Tech</w:t>
            </w:r>
          </w:p>
        </w:tc>
        <w:tc>
          <w:tcPr>
            <w:tcW w:type="dxa" w:w="2412"/>
          </w:tcPr>
          <w:p>
            <w:r>
              <w:rPr>
                <w:sz w:val="19"/>
              </w:rPr>
              <w:t>1165 → 381</w:t>
            </w:r>
          </w:p>
        </w:tc>
        <w:tc>
          <w:tcPr>
            <w:tcW w:type="dxa" w:w="2412"/>
          </w:tcPr>
          <w:p>
            <w:r>
              <w:rPr>
                <w:sz w:val="19"/>
              </w:rPr>
              <w:t>+9.0%</w:t>
            </w:r>
          </w:p>
        </w:tc>
      </w:tr>
      <w:tr>
        <w:tc>
          <w:tcPr>
            <w:tcW w:type="dxa" w:w="2412"/>
            <w:shd w:val="clear" w:fill="EEF1F7"/>
          </w:tcPr>
          <w:p>
            <w:r>
              <w:rPr>
                <w:sz w:val="19"/>
              </w:rPr>
              <w:t>KLIC</w:t>
            </w:r>
          </w:p>
        </w:tc>
        <w:tc>
          <w:tcPr>
            <w:tcW w:type="dxa" w:w="2412"/>
            <w:shd w:val="clear" w:fill="EEF1F7"/>
          </w:tcPr>
          <w:p>
            <w:r>
              <w:rPr>
                <w:sz w:val="19"/>
              </w:rPr>
              <w:t>Info Tech</w:t>
            </w:r>
          </w:p>
        </w:tc>
        <w:tc>
          <w:tcPr>
            <w:tcW w:type="dxa" w:w="2412"/>
            <w:shd w:val="clear" w:fill="EEF1F7"/>
          </w:tcPr>
          <w:p>
            <w:r>
              <w:rPr>
                <w:sz w:val="19"/>
              </w:rPr>
              <w:t>1133 → 367</w:t>
            </w:r>
          </w:p>
        </w:tc>
        <w:tc>
          <w:tcPr>
            <w:tcW w:type="dxa" w:w="2412"/>
            <w:shd w:val="clear" w:fill="EEF1F7"/>
          </w:tcPr>
          <w:p>
            <w:r>
              <w:rPr>
                <w:sz w:val="19"/>
              </w:rPr>
              <w:t>+9.7%</w:t>
            </w:r>
          </w:p>
        </w:tc>
      </w:tr>
    </w:tbl>
    <w:p/>
    <w:p>
      <w:r>
        <w:t>Synopsys, near the bottom of that list, got a double upgrade this week (HSBC to Buy, BNP to Neutral) and its consensus is a strong buy, the Street catching up to a rank that already moved.</w:t>
      </w:r>
    </w:p>
    <w:p>
      <w:r>
        <w:t>On the sector board, the rotation was violent in spots. Passenger Airlines rocketed from #120 to #31; cheaper jet fuel from that 6% Brent drop is a direct tailwind. Electronic Manufacturing Services leapt from #83 to #12, which sets up Jabil's report next week as a confirmation test. On the other side, Water Utilities fell from #31 to #110 and Multi-line Insurance from #37 to #107, classic bond-proxy casualties when yields spike, and Fertilizers &amp; Agricultural Chemicals dropped from #25 to #95.</w:t>
      </w:r>
    </w:p>
    <w:p>
      <w:r>
        <w:t xml:space="preserve">Now the part worth paying for: reconcile price against rank. This week the megacap chips moved on </w:t>
      </w:r>
      <w:r>
        <w:rPr>
          <w:i/>
        </w:rPr>
        <w:t>both</w:t>
      </w:r>
      <w:r>
        <w:t xml:space="preserve"> clocks. Micron rose 6.5% and its rank improved 259 spots to #100; Taiwan Semi rose 3.7% and climbed 224 to #91; even Nvidia, up just 1.3%, gained 217 rank spots to #239. Price up and rank up together is a real move, not money using strength to leave. The laggard is Broadcom: down 1.2% on price, and while its rank bounced 371 spots it's still buried at #1038, so it's the one to watch, not trust. Amazon, at #907 and slipping, remains the weak megacap.</w:t>
      </w:r>
    </w:p>
    <w:p>
      <w:r>
        <w:t>The divergence list is the flip side. Viking Therapeutics popped 22.7%, Credo 19.9%, Cadence 15.3% — huge one-week jumps that still only carried them to ranks of 350, 602 and 636. A 20% week that leaves you mid-pack means the prior trend was weak; the pop is a spike, not established leadership yet. Don't chase the vertical move.</w:t>
      </w:r>
    </w:p>
    <w:p>
      <w:pPr>
        <w:spacing w:before="240" w:after="80"/>
      </w:pPr>
      <w:r>
        <w:rPr>
          <w:b/>
          <w:color w:val="1F3864"/>
          <w:sz w:val="30"/>
        </w:rPr>
        <w:t>7. A few names worth looking at</w:t>
      </w:r>
    </w:p>
    <w:p>
      <w:r>
        <w:t>These clear all four filters at once — top-ranked sector with real participation, an improving rank, a genuine uptrend (price above a rising 20-day, above the 50, above the 200), and not stretched more than 10% over the 20-day. It's a starting point for your own homework, never a buy list.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Pr>
                <w:b/>
                <w:color w:val="FFFFFF"/>
                <w:sz w:val="19"/>
              </w:rPr>
              <w:t>Ticker</w:t>
            </w:r>
          </w:p>
        </w:tc>
        <w:tc>
          <w:tcPr>
            <w:tcW w:type="dxa" w:w="1608"/>
            <w:shd w:val="clear" w:fill="1F3864"/>
          </w:tcPr>
          <w:p>
            <w:r>
              <w:rPr>
                <w:b/>
                <w:color w:val="FFFFFF"/>
                <w:sz w:val="19"/>
              </w:rPr>
              <w:t>Company</w:t>
            </w:r>
          </w:p>
        </w:tc>
        <w:tc>
          <w:tcPr>
            <w:tcW w:type="dxa" w:w="1608"/>
            <w:shd w:val="clear" w:fill="1F3864"/>
          </w:tcPr>
          <w:p>
            <w:r>
              <w:rPr>
                <w:b/>
                <w:color w:val="FFFFFF"/>
                <w:sz w:val="19"/>
              </w:rPr>
              <w:t>Sector</w:t>
            </w:r>
          </w:p>
        </w:tc>
        <w:tc>
          <w:tcPr>
            <w:tcW w:type="dxa" w:w="1608"/>
            <w:shd w:val="clear" w:fill="1F3864"/>
          </w:tcPr>
          <w:p>
            <w:r>
              <w:rPr>
                <w:b/>
                <w:color w:val="FFFFFF"/>
                <w:sz w:val="19"/>
              </w:rPr>
              <w:t>Rank (Δwk)</w:t>
            </w:r>
          </w:p>
        </w:tc>
        <w:tc>
          <w:tcPr>
            <w:tcW w:type="dxa" w:w="1608"/>
            <w:shd w:val="clear" w:fill="1F3864"/>
          </w:tcPr>
          <w:p>
            <w:r>
              <w:rPr>
                <w:b/>
                <w:color w:val="FFFFFF"/>
                <w:sz w:val="19"/>
              </w:rPr>
              <w:t>Conviction</w:t>
            </w:r>
          </w:p>
        </w:tc>
        <w:tc>
          <w:tcPr>
            <w:tcW w:type="dxa" w:w="1608"/>
            <w:shd w:val="clear" w:fill="1F3864"/>
          </w:tcPr>
          <w:p>
            <w:r>
              <w:rPr>
                <w:b/>
                <w:color w:val="FFFFFF"/>
                <w:sz w:val="19"/>
              </w:rPr>
              <w:t>% above 20d</w:t>
            </w:r>
          </w:p>
        </w:tc>
      </w:tr>
      <w:tr>
        <w:tc>
          <w:tcPr>
            <w:tcW w:type="dxa" w:w="1608"/>
          </w:tcPr>
          <w:p>
            <w:r>
              <w:rPr>
                <w:sz w:val="19"/>
              </w:rPr>
              <w:t>A</w:t>
            </w:r>
          </w:p>
        </w:tc>
        <w:tc>
          <w:tcPr>
            <w:tcW w:type="dxa" w:w="1608"/>
          </w:tcPr>
          <w:p>
            <w:r>
              <w:rPr>
                <w:sz w:val="19"/>
              </w:rPr>
              <w:t>Agilent</w:t>
            </w:r>
          </w:p>
        </w:tc>
        <w:tc>
          <w:tcPr>
            <w:tcW w:type="dxa" w:w="1608"/>
          </w:tcPr>
          <w:p>
            <w:r>
              <w:rPr>
                <w:sz w:val="19"/>
              </w:rPr>
              <w:t>Health Care</w:t>
            </w:r>
          </w:p>
        </w:tc>
        <w:tc>
          <w:tcPr>
            <w:tcW w:type="dxa" w:w="1608"/>
          </w:tcPr>
          <w:p>
            <w:r>
              <w:rPr>
                <w:sz w:val="19"/>
              </w:rPr>
              <w:t>17 (+168)</w:t>
            </w:r>
          </w:p>
        </w:tc>
        <w:tc>
          <w:tcPr>
            <w:tcW w:type="dxa" w:w="1608"/>
          </w:tcPr>
          <w:p>
            <w:r>
              <w:rPr>
                <w:sz w:val="19"/>
              </w:rPr>
              <w:t>B</w:t>
            </w:r>
          </w:p>
        </w:tc>
        <w:tc>
          <w:tcPr>
            <w:tcW w:type="dxa" w:w="1608"/>
          </w:tcPr>
          <w:p>
            <w:r>
              <w:rPr>
                <w:sz w:val="19"/>
              </w:rPr>
              <w:t>+9.6%</w:t>
            </w:r>
          </w:p>
        </w:tc>
      </w:tr>
      <w:tr>
        <w:tc>
          <w:tcPr>
            <w:tcW w:type="dxa" w:w="1608"/>
            <w:shd w:val="clear" w:fill="EEF1F7"/>
          </w:tcPr>
          <w:p>
            <w:r>
              <w:rPr>
                <w:sz w:val="19"/>
              </w:rPr>
              <w:t>TMO</w:t>
            </w:r>
          </w:p>
        </w:tc>
        <w:tc>
          <w:tcPr>
            <w:tcW w:type="dxa" w:w="1608"/>
            <w:shd w:val="clear" w:fill="EEF1F7"/>
          </w:tcPr>
          <w:p>
            <w:r>
              <w:rPr>
                <w:sz w:val="19"/>
              </w:rPr>
              <w:t>Thermo Fisher</w:t>
            </w:r>
          </w:p>
        </w:tc>
        <w:tc>
          <w:tcPr>
            <w:tcW w:type="dxa" w:w="1608"/>
            <w:shd w:val="clear" w:fill="EEF1F7"/>
          </w:tcPr>
          <w:p>
            <w:r>
              <w:rPr>
                <w:sz w:val="19"/>
              </w:rPr>
              <w:t>Health Care</w:t>
            </w:r>
          </w:p>
        </w:tc>
        <w:tc>
          <w:tcPr>
            <w:tcW w:type="dxa" w:w="1608"/>
            <w:shd w:val="clear" w:fill="EEF1F7"/>
          </w:tcPr>
          <w:p>
            <w:r>
              <w:rPr>
                <w:sz w:val="19"/>
              </w:rPr>
              <w:t>18 (+27)</w:t>
            </w:r>
          </w:p>
        </w:tc>
        <w:tc>
          <w:tcPr>
            <w:tcW w:type="dxa" w:w="1608"/>
            <w:shd w:val="clear" w:fill="EEF1F7"/>
          </w:tcPr>
          <w:p>
            <w:r>
              <w:rPr>
                <w:sz w:val="19"/>
              </w:rPr>
              <w:t>C</w:t>
            </w:r>
          </w:p>
        </w:tc>
        <w:tc>
          <w:tcPr>
            <w:tcW w:type="dxa" w:w="1608"/>
            <w:shd w:val="clear" w:fill="EEF1F7"/>
          </w:tcPr>
          <w:p>
            <w:r>
              <w:rPr>
                <w:sz w:val="19"/>
              </w:rPr>
              <w:t>+5.5%</w:t>
            </w:r>
          </w:p>
        </w:tc>
      </w:tr>
      <w:tr>
        <w:tc>
          <w:tcPr>
            <w:tcW w:type="dxa" w:w="1608"/>
          </w:tcPr>
          <w:p>
            <w:r>
              <w:rPr>
                <w:sz w:val="19"/>
              </w:rPr>
              <w:t>TWLO</w:t>
            </w:r>
          </w:p>
        </w:tc>
        <w:tc>
          <w:tcPr>
            <w:tcW w:type="dxa" w:w="1608"/>
          </w:tcPr>
          <w:p>
            <w:r>
              <w:rPr>
                <w:sz w:val="19"/>
              </w:rPr>
              <w:t>Twilio</w:t>
            </w:r>
          </w:p>
        </w:tc>
        <w:tc>
          <w:tcPr>
            <w:tcW w:type="dxa" w:w="1608"/>
          </w:tcPr>
          <w:p>
            <w:r>
              <w:rPr>
                <w:sz w:val="19"/>
              </w:rPr>
              <w:t>Info Tech</w:t>
            </w:r>
          </w:p>
        </w:tc>
        <w:tc>
          <w:tcPr>
            <w:tcW w:type="dxa" w:w="1608"/>
          </w:tcPr>
          <w:p>
            <w:r>
              <w:rPr>
                <w:sz w:val="19"/>
              </w:rPr>
              <w:t>26 (+150)</w:t>
            </w:r>
          </w:p>
        </w:tc>
        <w:tc>
          <w:tcPr>
            <w:tcW w:type="dxa" w:w="1608"/>
          </w:tcPr>
          <w:p>
            <w:r>
              <w:rPr>
                <w:sz w:val="19"/>
              </w:rPr>
              <w:t>B</w:t>
            </w:r>
          </w:p>
        </w:tc>
        <w:tc>
          <w:tcPr>
            <w:tcW w:type="dxa" w:w="1608"/>
          </w:tcPr>
          <w:p>
            <w:r>
              <w:rPr>
                <w:sz w:val="19"/>
              </w:rPr>
              <w:t>+8.9%</w:t>
            </w:r>
          </w:p>
        </w:tc>
      </w:tr>
      <w:tr>
        <w:tc>
          <w:tcPr>
            <w:tcW w:type="dxa" w:w="1608"/>
            <w:shd w:val="clear" w:fill="EEF1F7"/>
          </w:tcPr>
          <w:p>
            <w:r>
              <w:rPr>
                <w:sz w:val="19"/>
              </w:rPr>
              <w:t>ADPT</w:t>
            </w:r>
          </w:p>
        </w:tc>
        <w:tc>
          <w:tcPr>
            <w:tcW w:type="dxa" w:w="1608"/>
            <w:shd w:val="clear" w:fill="EEF1F7"/>
          </w:tcPr>
          <w:p>
            <w:r>
              <w:rPr>
                <w:sz w:val="19"/>
              </w:rPr>
              <w:t>Adaptive Biotech</w:t>
            </w:r>
          </w:p>
        </w:tc>
        <w:tc>
          <w:tcPr>
            <w:tcW w:type="dxa" w:w="1608"/>
            <w:shd w:val="clear" w:fill="EEF1F7"/>
          </w:tcPr>
          <w:p>
            <w:r>
              <w:rPr>
                <w:sz w:val="19"/>
              </w:rPr>
              <w:t>Health Care</w:t>
            </w:r>
          </w:p>
        </w:tc>
        <w:tc>
          <w:tcPr>
            <w:tcW w:type="dxa" w:w="1608"/>
            <w:shd w:val="clear" w:fill="EEF1F7"/>
          </w:tcPr>
          <w:p>
            <w:r>
              <w:rPr>
                <w:sz w:val="19"/>
              </w:rPr>
              <w:t>27 (+29)</w:t>
            </w:r>
          </w:p>
        </w:tc>
        <w:tc>
          <w:tcPr>
            <w:tcW w:type="dxa" w:w="1608"/>
            <w:shd w:val="clear" w:fill="EEF1F7"/>
          </w:tcPr>
          <w:p>
            <w:r>
              <w:rPr>
                <w:sz w:val="19"/>
              </w:rPr>
              <w:t>C</w:t>
            </w:r>
          </w:p>
        </w:tc>
        <w:tc>
          <w:tcPr>
            <w:tcW w:type="dxa" w:w="1608"/>
            <w:shd w:val="clear" w:fill="EEF1F7"/>
          </w:tcPr>
          <w:p>
            <w:r>
              <w:rPr>
                <w:sz w:val="19"/>
              </w:rPr>
              <w:t>+9.5%</w:t>
            </w:r>
          </w:p>
        </w:tc>
      </w:tr>
      <w:tr>
        <w:tc>
          <w:tcPr>
            <w:tcW w:type="dxa" w:w="1608"/>
          </w:tcPr>
          <w:p>
            <w:r>
              <w:rPr>
                <w:sz w:val="19"/>
              </w:rPr>
              <w:t>QCOM</w:t>
            </w:r>
          </w:p>
        </w:tc>
        <w:tc>
          <w:tcPr>
            <w:tcW w:type="dxa" w:w="1608"/>
          </w:tcPr>
          <w:p>
            <w:r>
              <w:rPr>
                <w:sz w:val="19"/>
              </w:rPr>
              <w:t>Qualcomm</w:t>
            </w:r>
          </w:p>
        </w:tc>
        <w:tc>
          <w:tcPr>
            <w:tcW w:type="dxa" w:w="1608"/>
          </w:tcPr>
          <w:p>
            <w:r>
              <w:rPr>
                <w:sz w:val="19"/>
              </w:rPr>
              <w:t>Info Tech</w:t>
            </w:r>
          </w:p>
        </w:tc>
        <w:tc>
          <w:tcPr>
            <w:tcW w:type="dxa" w:w="1608"/>
          </w:tcPr>
          <w:p>
            <w:r>
              <w:rPr>
                <w:sz w:val="19"/>
              </w:rPr>
              <w:t>33 (+31)</w:t>
            </w:r>
          </w:p>
        </w:tc>
        <w:tc>
          <w:tcPr>
            <w:tcW w:type="dxa" w:w="1608"/>
          </w:tcPr>
          <w:p>
            <w:r>
              <w:rPr>
                <w:sz w:val="19"/>
              </w:rPr>
              <w:t>C</w:t>
            </w:r>
          </w:p>
        </w:tc>
        <w:tc>
          <w:tcPr>
            <w:tcW w:type="dxa" w:w="1608"/>
          </w:tcPr>
          <w:p>
            <w:r>
              <w:rPr>
                <w:sz w:val="19"/>
              </w:rPr>
              <w:t>+9.9%</w:t>
            </w:r>
          </w:p>
        </w:tc>
      </w:tr>
      <w:tr>
        <w:tc>
          <w:tcPr>
            <w:tcW w:type="dxa" w:w="1608"/>
            <w:shd w:val="clear" w:fill="EEF1F7"/>
          </w:tcPr>
          <w:p>
            <w:r>
              <w:rPr>
                <w:sz w:val="19"/>
              </w:rPr>
              <w:t>CNXN</w:t>
            </w:r>
          </w:p>
        </w:tc>
        <w:tc>
          <w:tcPr>
            <w:tcW w:type="dxa" w:w="1608"/>
            <w:shd w:val="clear" w:fill="EEF1F7"/>
          </w:tcPr>
          <w:p>
            <w:r>
              <w:rPr>
                <w:sz w:val="19"/>
              </w:rPr>
              <w:t>PC Connection</w:t>
            </w:r>
          </w:p>
        </w:tc>
        <w:tc>
          <w:tcPr>
            <w:tcW w:type="dxa" w:w="1608"/>
            <w:shd w:val="clear" w:fill="EEF1F7"/>
          </w:tcPr>
          <w:p>
            <w:r>
              <w:rPr>
                <w:sz w:val="19"/>
              </w:rPr>
              <w:t>Info Tech</w:t>
            </w:r>
          </w:p>
        </w:tc>
        <w:tc>
          <w:tcPr>
            <w:tcW w:type="dxa" w:w="1608"/>
            <w:shd w:val="clear" w:fill="EEF1F7"/>
          </w:tcPr>
          <w:p>
            <w:r>
              <w:rPr>
                <w:sz w:val="19"/>
              </w:rPr>
              <w:t>41 (+2)</w:t>
            </w:r>
          </w:p>
        </w:tc>
        <w:tc>
          <w:tcPr>
            <w:tcW w:type="dxa" w:w="1608"/>
            <w:shd w:val="clear" w:fill="EEF1F7"/>
          </w:tcPr>
          <w:p>
            <w:r>
              <w:rPr>
                <w:sz w:val="19"/>
              </w:rPr>
              <w:t>C</w:t>
            </w:r>
          </w:p>
        </w:tc>
        <w:tc>
          <w:tcPr>
            <w:tcW w:type="dxa" w:w="1608"/>
            <w:shd w:val="clear" w:fill="EEF1F7"/>
          </w:tcPr>
          <w:p>
            <w:r>
              <w:rPr>
                <w:sz w:val="19"/>
              </w:rPr>
              <w:t>+4.7%</w:t>
            </w:r>
          </w:p>
        </w:tc>
      </w:tr>
      <w:tr>
        <w:tc>
          <w:tcPr>
            <w:tcW w:type="dxa" w:w="1608"/>
          </w:tcPr>
          <w:p>
            <w:r>
              <w:rPr>
                <w:sz w:val="19"/>
              </w:rPr>
              <w:t>CRWD</w:t>
            </w:r>
          </w:p>
        </w:tc>
        <w:tc>
          <w:tcPr>
            <w:tcW w:type="dxa" w:w="1608"/>
          </w:tcPr>
          <w:p>
            <w:r>
              <w:rPr>
                <w:sz w:val="19"/>
              </w:rPr>
              <w:t>CrowdStrike</w:t>
            </w:r>
          </w:p>
        </w:tc>
        <w:tc>
          <w:tcPr>
            <w:tcW w:type="dxa" w:w="1608"/>
          </w:tcPr>
          <w:p>
            <w:r>
              <w:rPr>
                <w:sz w:val="19"/>
              </w:rPr>
              <w:t>Info Tech</w:t>
            </w:r>
          </w:p>
        </w:tc>
        <w:tc>
          <w:tcPr>
            <w:tcW w:type="dxa" w:w="1608"/>
          </w:tcPr>
          <w:p>
            <w:r>
              <w:rPr>
                <w:sz w:val="19"/>
              </w:rPr>
              <w:t>47 (+62)</w:t>
            </w:r>
          </w:p>
        </w:tc>
        <w:tc>
          <w:tcPr>
            <w:tcW w:type="dxa" w:w="1608"/>
          </w:tcPr>
          <w:p>
            <w:r>
              <w:rPr>
                <w:sz w:val="19"/>
              </w:rPr>
              <w:t>C</w:t>
            </w:r>
          </w:p>
        </w:tc>
        <w:tc>
          <w:tcPr>
            <w:tcW w:type="dxa" w:w="1608"/>
          </w:tcPr>
          <w:p>
            <w:r>
              <w:rPr>
                <w:sz w:val="19"/>
              </w:rPr>
              <w:t>+7.6%</w:t>
            </w:r>
          </w:p>
        </w:tc>
      </w:tr>
      <w:tr>
        <w:tc>
          <w:tcPr>
            <w:tcW w:type="dxa" w:w="1608"/>
            <w:shd w:val="clear" w:fill="EEF1F7"/>
          </w:tcPr>
          <w:p>
            <w:r>
              <w:rPr>
                <w:sz w:val="19"/>
              </w:rPr>
              <w:t>NET</w:t>
            </w:r>
          </w:p>
        </w:tc>
        <w:tc>
          <w:tcPr>
            <w:tcW w:type="dxa" w:w="1608"/>
            <w:shd w:val="clear" w:fill="EEF1F7"/>
          </w:tcPr>
          <w:p>
            <w:r>
              <w:rPr>
                <w:sz w:val="19"/>
              </w:rPr>
              <w:t>Cloudflare</w:t>
            </w:r>
          </w:p>
        </w:tc>
        <w:tc>
          <w:tcPr>
            <w:tcW w:type="dxa" w:w="1608"/>
            <w:shd w:val="clear" w:fill="EEF1F7"/>
          </w:tcPr>
          <w:p>
            <w:r>
              <w:rPr>
                <w:sz w:val="19"/>
              </w:rPr>
              <w:t>Info Tech</w:t>
            </w:r>
          </w:p>
        </w:tc>
        <w:tc>
          <w:tcPr>
            <w:tcW w:type="dxa" w:w="1608"/>
            <w:shd w:val="clear" w:fill="EEF1F7"/>
          </w:tcPr>
          <w:p>
            <w:r>
              <w:rPr>
                <w:sz w:val="19"/>
              </w:rPr>
              <w:t>55 (+90)</w:t>
            </w:r>
          </w:p>
        </w:tc>
        <w:tc>
          <w:tcPr>
            <w:tcW w:type="dxa" w:w="1608"/>
            <w:shd w:val="clear" w:fill="EEF1F7"/>
          </w:tcPr>
          <w:p>
            <w:r>
              <w:rPr>
                <w:sz w:val="19"/>
              </w:rPr>
              <w:t>C</w:t>
            </w:r>
          </w:p>
        </w:tc>
        <w:tc>
          <w:tcPr>
            <w:tcW w:type="dxa" w:w="1608"/>
            <w:shd w:val="clear" w:fill="EEF1F7"/>
          </w:tcPr>
          <w:p>
            <w:r>
              <w:rPr>
                <w:sz w:val="19"/>
              </w:rPr>
              <w:t>+7.3%</w:t>
            </w:r>
          </w:p>
        </w:tc>
      </w:tr>
      <w:tr>
        <w:tc>
          <w:tcPr>
            <w:tcW w:type="dxa" w:w="1608"/>
          </w:tcPr>
          <w:p>
            <w:r>
              <w:rPr>
                <w:sz w:val="19"/>
              </w:rPr>
              <w:t>RBRK</w:t>
            </w:r>
          </w:p>
        </w:tc>
        <w:tc>
          <w:tcPr>
            <w:tcW w:type="dxa" w:w="1608"/>
          </w:tcPr>
          <w:p>
            <w:r>
              <w:rPr>
                <w:sz w:val="19"/>
              </w:rPr>
              <w:t>Rubrik</w:t>
            </w:r>
          </w:p>
        </w:tc>
        <w:tc>
          <w:tcPr>
            <w:tcW w:type="dxa" w:w="1608"/>
          </w:tcPr>
          <w:p>
            <w:r>
              <w:rPr>
                <w:sz w:val="19"/>
              </w:rPr>
              <w:t>Info Tech</w:t>
            </w:r>
          </w:p>
        </w:tc>
        <w:tc>
          <w:tcPr>
            <w:tcW w:type="dxa" w:w="1608"/>
          </w:tcPr>
          <w:p>
            <w:r>
              <w:rPr>
                <w:sz w:val="19"/>
              </w:rPr>
              <w:t>62 (+86)</w:t>
            </w:r>
          </w:p>
        </w:tc>
        <w:tc>
          <w:tcPr>
            <w:tcW w:type="dxa" w:w="1608"/>
          </w:tcPr>
          <w:p>
            <w:r>
              <w:rPr>
                <w:sz w:val="19"/>
              </w:rPr>
              <w:t>C</w:t>
            </w:r>
          </w:p>
        </w:tc>
        <w:tc>
          <w:tcPr>
            <w:tcW w:type="dxa" w:w="1608"/>
          </w:tcPr>
          <w:p>
            <w:r>
              <w:rPr>
                <w:sz w:val="19"/>
              </w:rPr>
              <w:t>+6.3%</w:t>
            </w:r>
          </w:p>
        </w:tc>
      </w:tr>
      <w:tr>
        <w:tc>
          <w:tcPr>
            <w:tcW w:type="dxa" w:w="1608"/>
            <w:shd w:val="clear" w:fill="EEF1F7"/>
          </w:tcPr>
          <w:p>
            <w:r>
              <w:rPr>
                <w:sz w:val="19"/>
              </w:rPr>
              <w:t>AAPL</w:t>
            </w:r>
          </w:p>
        </w:tc>
        <w:tc>
          <w:tcPr>
            <w:tcW w:type="dxa" w:w="1608"/>
            <w:shd w:val="clear" w:fill="EEF1F7"/>
          </w:tcPr>
          <w:p>
            <w:r>
              <w:rPr>
                <w:sz w:val="19"/>
              </w:rPr>
              <w:t>Apple</w:t>
            </w:r>
          </w:p>
        </w:tc>
        <w:tc>
          <w:tcPr>
            <w:tcW w:type="dxa" w:w="1608"/>
            <w:shd w:val="clear" w:fill="EEF1F7"/>
          </w:tcPr>
          <w:p>
            <w:r>
              <w:rPr>
                <w:sz w:val="19"/>
              </w:rPr>
              <w:t>Info Tech</w:t>
            </w:r>
          </w:p>
        </w:tc>
        <w:tc>
          <w:tcPr>
            <w:tcW w:type="dxa" w:w="1608"/>
            <w:shd w:val="clear" w:fill="EEF1F7"/>
          </w:tcPr>
          <w:p>
            <w:r>
              <w:rPr>
                <w:sz w:val="19"/>
              </w:rPr>
              <w:t>64 (+7)</w:t>
            </w:r>
          </w:p>
        </w:tc>
        <w:tc>
          <w:tcPr>
            <w:tcW w:type="dxa" w:w="1608"/>
            <w:shd w:val="clear" w:fill="EEF1F7"/>
          </w:tcPr>
          <w:p>
            <w:r>
              <w:rPr>
                <w:sz w:val="19"/>
              </w:rPr>
              <w:t>C</w:t>
            </w:r>
          </w:p>
        </w:tc>
        <w:tc>
          <w:tcPr>
            <w:tcW w:type="dxa" w:w="1608"/>
            <w:shd w:val="clear" w:fill="EEF1F7"/>
          </w:tcPr>
          <w:p>
            <w:r>
              <w:rPr>
                <w:sz w:val="19"/>
              </w:rPr>
              <w:t>+3.2%</w:t>
            </w:r>
          </w:p>
        </w:tc>
      </w:tr>
      <w:tr>
        <w:tc>
          <w:tcPr>
            <w:tcW w:type="dxa" w:w="1608"/>
          </w:tcPr>
          <w:p>
            <w:r>
              <w:rPr>
                <w:sz w:val="19"/>
              </w:rPr>
              <w:t>MTD</w:t>
            </w:r>
          </w:p>
        </w:tc>
        <w:tc>
          <w:tcPr>
            <w:tcW w:type="dxa" w:w="1608"/>
          </w:tcPr>
          <w:p>
            <w:r>
              <w:rPr>
                <w:sz w:val="19"/>
              </w:rPr>
              <w:t>Mettler Toledo</w:t>
            </w:r>
          </w:p>
        </w:tc>
        <w:tc>
          <w:tcPr>
            <w:tcW w:type="dxa" w:w="1608"/>
          </w:tcPr>
          <w:p>
            <w:r>
              <w:rPr>
                <w:sz w:val="19"/>
              </w:rPr>
              <w:t>Health Care</w:t>
            </w:r>
          </w:p>
        </w:tc>
        <w:tc>
          <w:tcPr>
            <w:tcW w:type="dxa" w:w="1608"/>
          </w:tcPr>
          <w:p>
            <w:r>
              <w:rPr>
                <w:sz w:val="19"/>
              </w:rPr>
              <w:t>70 (+638)</w:t>
            </w:r>
          </w:p>
        </w:tc>
        <w:tc>
          <w:tcPr>
            <w:tcW w:type="dxa" w:w="1608"/>
          </w:tcPr>
          <w:p>
            <w:r>
              <w:rPr>
                <w:sz w:val="19"/>
              </w:rPr>
              <w:t>C</w:t>
            </w:r>
          </w:p>
        </w:tc>
        <w:tc>
          <w:tcPr>
            <w:tcW w:type="dxa" w:w="1608"/>
          </w:tcPr>
          <w:p>
            <w:r>
              <w:rPr>
                <w:sz w:val="19"/>
              </w:rPr>
              <w:t>+7.0%</w:t>
            </w:r>
          </w:p>
        </w:tc>
      </w:tr>
      <w:tr>
        <w:tc>
          <w:tcPr>
            <w:tcW w:type="dxa" w:w="1608"/>
            <w:shd w:val="clear" w:fill="EEF1F7"/>
          </w:tcPr>
          <w:p>
            <w:r>
              <w:rPr>
                <w:sz w:val="19"/>
              </w:rPr>
              <w:t>DHR</w:t>
            </w:r>
          </w:p>
        </w:tc>
        <w:tc>
          <w:tcPr>
            <w:tcW w:type="dxa" w:w="1608"/>
            <w:shd w:val="clear" w:fill="EEF1F7"/>
          </w:tcPr>
          <w:p>
            <w:r>
              <w:rPr>
                <w:sz w:val="19"/>
              </w:rPr>
              <w:t>Danaher</w:t>
            </w:r>
          </w:p>
        </w:tc>
        <w:tc>
          <w:tcPr>
            <w:tcW w:type="dxa" w:w="1608"/>
            <w:shd w:val="clear" w:fill="EEF1F7"/>
          </w:tcPr>
          <w:p>
            <w:r>
              <w:rPr>
                <w:sz w:val="19"/>
              </w:rPr>
              <w:t>Health Care</w:t>
            </w:r>
          </w:p>
        </w:tc>
        <w:tc>
          <w:tcPr>
            <w:tcW w:type="dxa" w:w="1608"/>
            <w:shd w:val="clear" w:fill="EEF1F7"/>
          </w:tcPr>
          <w:p>
            <w:r>
              <w:rPr>
                <w:sz w:val="19"/>
              </w:rPr>
              <w:t>73 (+267)</w:t>
            </w:r>
          </w:p>
        </w:tc>
        <w:tc>
          <w:tcPr>
            <w:tcW w:type="dxa" w:w="1608"/>
            <w:shd w:val="clear" w:fill="EEF1F7"/>
          </w:tcPr>
          <w:p>
            <w:r>
              <w:rPr>
                <w:sz w:val="19"/>
              </w:rPr>
              <w:t>C</w:t>
            </w:r>
          </w:p>
        </w:tc>
        <w:tc>
          <w:tcPr>
            <w:tcW w:type="dxa" w:w="1608"/>
            <w:shd w:val="clear" w:fill="EEF1F7"/>
          </w:tcPr>
          <w:p>
            <w:r>
              <w:rPr>
                <w:sz w:val="19"/>
              </w:rPr>
              <w:t>+5.2%</w:t>
            </w:r>
          </w:p>
        </w:tc>
      </w:tr>
      <w:tr>
        <w:tc>
          <w:tcPr>
            <w:tcW w:type="dxa" w:w="1608"/>
          </w:tcPr>
          <w:p>
            <w:r>
              <w:rPr>
                <w:sz w:val="19"/>
              </w:rPr>
              <w:t>AVT</w:t>
            </w:r>
          </w:p>
        </w:tc>
        <w:tc>
          <w:tcPr>
            <w:tcW w:type="dxa" w:w="1608"/>
          </w:tcPr>
          <w:p>
            <w:r>
              <w:rPr>
                <w:sz w:val="19"/>
              </w:rPr>
              <w:t>Avnet</w:t>
            </w:r>
          </w:p>
        </w:tc>
        <w:tc>
          <w:tcPr>
            <w:tcW w:type="dxa" w:w="1608"/>
          </w:tcPr>
          <w:p>
            <w:r>
              <w:rPr>
                <w:sz w:val="19"/>
              </w:rPr>
              <w:t>Info Tech</w:t>
            </w:r>
          </w:p>
        </w:tc>
        <w:tc>
          <w:tcPr>
            <w:tcW w:type="dxa" w:w="1608"/>
          </w:tcPr>
          <w:p>
            <w:r>
              <w:rPr>
                <w:sz w:val="19"/>
              </w:rPr>
              <w:t>89 (+178)</w:t>
            </w:r>
          </w:p>
        </w:tc>
        <w:tc>
          <w:tcPr>
            <w:tcW w:type="dxa" w:w="1608"/>
          </w:tcPr>
          <w:p>
            <w:r>
              <w:rPr>
                <w:sz w:val="19"/>
              </w:rPr>
              <w:t>C</w:t>
            </w:r>
          </w:p>
        </w:tc>
        <w:tc>
          <w:tcPr>
            <w:tcW w:type="dxa" w:w="1608"/>
          </w:tcPr>
          <w:p>
            <w:r>
              <w:rPr>
                <w:sz w:val="19"/>
              </w:rPr>
              <w:t>+8.0%</w:t>
            </w:r>
          </w:p>
        </w:tc>
      </w:tr>
      <w:tr>
        <w:tc>
          <w:tcPr>
            <w:tcW w:type="dxa" w:w="1608"/>
            <w:shd w:val="clear" w:fill="EEF1F7"/>
          </w:tcPr>
          <w:p>
            <w:r>
              <w:rPr>
                <w:sz w:val="19"/>
              </w:rPr>
              <w:t>TSM</w:t>
            </w:r>
          </w:p>
        </w:tc>
        <w:tc>
          <w:tcPr>
            <w:tcW w:type="dxa" w:w="1608"/>
            <w:shd w:val="clear" w:fill="EEF1F7"/>
          </w:tcPr>
          <w:p>
            <w:r>
              <w:rPr>
                <w:sz w:val="19"/>
              </w:rPr>
              <w:t>Taiwan Semi</w:t>
            </w:r>
          </w:p>
        </w:tc>
        <w:tc>
          <w:tcPr>
            <w:tcW w:type="dxa" w:w="1608"/>
            <w:shd w:val="clear" w:fill="EEF1F7"/>
          </w:tcPr>
          <w:p>
            <w:r>
              <w:rPr>
                <w:sz w:val="19"/>
              </w:rPr>
              <w:t>Info Tech</w:t>
            </w:r>
          </w:p>
        </w:tc>
        <w:tc>
          <w:tcPr>
            <w:tcW w:type="dxa" w:w="1608"/>
            <w:shd w:val="clear" w:fill="EEF1F7"/>
          </w:tcPr>
          <w:p>
            <w:r>
              <w:rPr>
                <w:sz w:val="19"/>
              </w:rPr>
              <w:t>91 (+224)</w:t>
            </w:r>
          </w:p>
        </w:tc>
        <w:tc>
          <w:tcPr>
            <w:tcW w:type="dxa" w:w="1608"/>
            <w:shd w:val="clear" w:fill="EEF1F7"/>
          </w:tcPr>
          <w:p>
            <w:r>
              <w:rPr>
                <w:sz w:val="19"/>
              </w:rPr>
              <w:t>B</w:t>
            </w:r>
          </w:p>
        </w:tc>
        <w:tc>
          <w:tcPr>
            <w:tcW w:type="dxa" w:w="1608"/>
            <w:shd w:val="clear" w:fill="EEF1F7"/>
          </w:tcPr>
          <w:p>
            <w:r>
              <w:rPr>
                <w:sz w:val="19"/>
              </w:rPr>
              <w:t>+4.0%</w:t>
            </w:r>
          </w:p>
        </w:tc>
      </w:tr>
    </w:tbl>
    <w:p/>
    <w:p>
      <w:r>
        <w:t>One name here comes with a built-in argument. Twilio ranks #26, up 150 spots, its consensus is a buy — and this week HSBC downgraded it to Reduce, its lowest rating. When the board still likes a name a broker is dropping, that disagreement is yours to resolve, not mine. (For what it's worth, our own paper strategy got stopped out of Twilio this week, so the caution isn't only HSBC's.) On the other side, Microsoft drew a Stifel upgrade to Buy against a strong-buy consensus, confirming a megacap our board still holds mid-pack.</w:t>
      </w:r>
    </w:p>
    <w:p>
      <w:r>
        <w:rPr>
          <w:i/>
        </w:rPr>
        <w:t>This watchlist is educational, a starting point for your own research — not a recommendation to buy anything.</w:t>
      </w: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864"/>
          </w:tcPr>
          <w:p>
            <w:r>
              <w:rPr>
                <w:b/>
                <w:color w:val="FFFFFF"/>
                <w:sz w:val="19"/>
              </w:rPr>
              <w:t>Check</w:t>
            </w:r>
          </w:p>
        </w:tc>
        <w:tc>
          <w:tcPr>
            <w:tcW w:type="dxa" w:w="4824"/>
            <w:shd w:val="clear" w:fill="1F3864"/>
          </w:tcPr>
          <w:p>
            <w:r>
              <w:rPr>
                <w:b/>
                <w:color w:val="FFFFFF"/>
                <w:sz w:val="19"/>
              </w:rPr>
              <w:t>Reading</w:t>
            </w:r>
          </w:p>
        </w:tc>
      </w:tr>
      <w:tr>
        <w:tc>
          <w:tcPr>
            <w:tcW w:type="dxa" w:w="4824"/>
          </w:tcPr>
          <w:p>
            <w:r>
              <w:rPr>
                <w:sz w:val="19"/>
              </w:rPr>
              <w:t>S&amp;P 500 level</w:t>
            </w:r>
          </w:p>
        </w:tc>
        <w:tc>
          <w:tcPr>
            <w:tcW w:type="dxa" w:w="4824"/>
          </w:tcPr>
          <w:p>
            <w:r>
              <w:rPr>
                <w:sz w:val="19"/>
              </w:rPr>
              <w:t>7743.41 (-0.7% below the Aug 13 high)</w:t>
            </w:r>
          </w:p>
        </w:tc>
      </w:tr>
      <w:tr>
        <w:tc>
          <w:tcPr>
            <w:tcW w:type="dxa" w:w="4824"/>
            <w:shd w:val="clear" w:fill="EEF1F7"/>
          </w:tcPr>
          <w:p>
            <w:r>
              <w:rPr>
                <w:sz w:val="19"/>
              </w:rPr>
              <w:t>S&amp;P vs 200-day</w:t>
            </w:r>
          </w:p>
        </w:tc>
        <w:tc>
          <w:tcPr>
            <w:tcW w:type="dxa" w:w="4824"/>
            <w:shd w:val="clear" w:fill="EEF1F7"/>
          </w:tcPr>
          <w:p>
            <w:r>
              <w:rPr>
                <w:sz w:val="19"/>
              </w:rPr>
              <w:t>ABOVE (7743 vs 7247)</w:t>
            </w:r>
          </w:p>
        </w:tc>
      </w:tr>
      <w:tr>
        <w:tc>
          <w:tcPr>
            <w:tcW w:type="dxa" w:w="4824"/>
          </w:tcPr>
          <w:p>
            <w:r>
              <w:rPr>
                <w:sz w:val="19"/>
              </w:rPr>
              <w:t>Stocks above 200-day</w:t>
            </w:r>
          </w:p>
        </w:tc>
        <w:tc>
          <w:tcPr>
            <w:tcW w:type="dxa" w:w="4824"/>
          </w:tcPr>
          <w:p>
            <w:r>
              <w:rPr>
                <w:sz w:val="19"/>
              </w:rPr>
              <w:t>46.35%</w:t>
            </w:r>
          </w:p>
        </w:tc>
      </w:tr>
      <w:tr>
        <w:tc>
          <w:tcPr>
            <w:tcW w:type="dxa" w:w="4824"/>
            <w:shd w:val="clear" w:fill="EEF1F7"/>
          </w:tcPr>
          <w:p>
            <w:r>
              <w:rPr>
                <w:sz w:val="19"/>
              </w:rPr>
              <w:t>Stocks above 50-day</w:t>
            </w:r>
          </w:p>
        </w:tc>
        <w:tc>
          <w:tcPr>
            <w:tcW w:type="dxa" w:w="4824"/>
            <w:shd w:val="clear" w:fill="EEF1F7"/>
          </w:tcPr>
          <w:p>
            <w:r>
              <w:rPr>
                <w:sz w:val="19"/>
              </w:rPr>
              <w:t>30.38%</w:t>
            </w:r>
          </w:p>
        </w:tc>
      </w:tr>
      <w:tr>
        <w:tc>
          <w:tcPr>
            <w:tcW w:type="dxa" w:w="4824"/>
          </w:tcPr>
          <w:p>
            <w:r>
              <w:rPr>
                <w:sz w:val="19"/>
              </w:rPr>
              <w:t>New 52w highs vs lows</w:t>
            </w:r>
          </w:p>
        </w:tc>
        <w:tc>
          <w:tcPr>
            <w:tcW w:type="dxa" w:w="4824"/>
          </w:tcPr>
          <w:p>
            <w:r>
              <w:rPr>
                <w:sz w:val="19"/>
              </w:rPr>
              <w:t>0 vs 1</w:t>
            </w:r>
          </w:p>
        </w:tc>
      </w:tr>
      <w:tr>
        <w:tc>
          <w:tcPr>
            <w:tcW w:type="dxa" w:w="4824"/>
            <w:shd w:val="clear" w:fill="EEF1F7"/>
          </w:tcPr>
          <w:p>
            <w:r>
              <w:rPr>
                <w:sz w:val="19"/>
              </w:rPr>
              <w:t>Advancers vs decliners</w:t>
            </w:r>
          </w:p>
        </w:tc>
        <w:tc>
          <w:tcPr>
            <w:tcW w:type="dxa" w:w="4824"/>
            <w:shd w:val="clear" w:fill="EEF1F7"/>
          </w:tcPr>
          <w:p>
            <w:r>
              <w:rPr>
                <w:sz w:val="19"/>
              </w:rPr>
              <w:t>1124 vs 789</w:t>
            </w:r>
          </w:p>
        </w:tc>
      </w:tr>
      <w:tr>
        <w:tc>
          <w:tcPr>
            <w:tcW w:type="dxa" w:w="4824"/>
          </w:tcPr>
          <w:p>
            <w:r>
              <w:rPr>
                <w:sz w:val="19"/>
              </w:rPr>
              <w:t>VIX</w:t>
            </w:r>
          </w:p>
        </w:tc>
        <w:tc>
          <w:tcPr>
            <w:tcW w:type="dxa" w:w="4824"/>
          </w:tcPr>
          <w:p>
            <w:r>
              <w:rPr>
                <w:sz w:val="19"/>
              </w:rPr>
              <w:t>14.84</w:t>
            </w:r>
          </w:p>
        </w:tc>
      </w:tr>
      <w:tr>
        <w:tc>
          <w:tcPr>
            <w:tcW w:type="dxa" w:w="4824"/>
            <w:shd w:val="clear" w:fill="EEF1F7"/>
          </w:tcPr>
          <w:p>
            <w:r>
              <w:rPr>
                <w:sz w:val="19"/>
              </w:rPr>
              <w:t>Credit spreads</w:t>
            </w:r>
          </w:p>
        </w:tc>
        <w:tc>
          <w:tcPr>
            <w:tcW w:type="dxa" w:w="4824"/>
            <w:shd w:val="clear" w:fill="EEF1F7"/>
          </w:tcPr>
          <w:p>
            <w:r>
              <w:rPr>
                <w:sz w:val="19"/>
              </w:rPr>
              <w:t>n/a (data pending)</w:t>
            </w:r>
          </w:p>
        </w:tc>
      </w:tr>
      <w:tr>
        <w:tc>
          <w:tcPr>
            <w:tcW w:type="dxa" w:w="4824"/>
          </w:tcPr>
          <w:p>
            <w:r>
              <w:rPr>
                <w:sz w:val="19"/>
              </w:rPr>
              <w:t>Gold</w:t>
            </w:r>
          </w:p>
        </w:tc>
        <w:tc>
          <w:tcPr>
            <w:tcW w:type="dxa" w:w="4824"/>
          </w:tcPr>
          <w:p>
            <w:r>
              <w:rPr>
                <w:sz w:val="19"/>
              </w:rPr>
              <w:t>-2.3% wk</w:t>
            </w:r>
          </w:p>
        </w:tc>
      </w:tr>
      <w:tr>
        <w:tc>
          <w:tcPr>
            <w:tcW w:type="dxa" w:w="4824"/>
            <w:shd w:val="clear" w:fill="EEF1F7"/>
          </w:tcPr>
          <w:p>
            <w:r>
              <w:rPr>
                <w:sz w:val="19"/>
              </w:rPr>
              <w:t>High-yield (HYG)</w:t>
            </w:r>
          </w:p>
        </w:tc>
        <w:tc>
          <w:tcPr>
            <w:tcW w:type="dxa" w:w="4824"/>
            <w:shd w:val="clear" w:fill="EEF1F7"/>
          </w:tcPr>
          <w:p>
            <w:r>
              <w:rPr>
                <w:sz w:val="19"/>
              </w:rPr>
              <w:t>-0.8% wk</w:t>
            </w:r>
          </w:p>
        </w:tc>
      </w:tr>
      <w:tr>
        <w:tc>
          <w:tcPr>
            <w:tcW w:type="dxa" w:w="4824"/>
          </w:tcPr>
          <w:p>
            <w:r>
              <w:rPr>
                <w:sz w:val="19"/>
              </w:rPr>
              <w:t>US dollar (DXY)</w:t>
            </w:r>
          </w:p>
        </w:tc>
        <w:tc>
          <w:tcPr>
            <w:tcW w:type="dxa" w:w="4824"/>
          </w:tcPr>
          <w:p>
            <w:r>
              <w:rPr>
                <w:sz w:val="19"/>
              </w:rPr>
              <w:t>+0.8% wk</w:t>
            </w:r>
          </w:p>
        </w:tc>
      </w:tr>
    </w:tbl>
    <w:p/>
    <w:p>
      <w:r>
        <w:t>Run the fear panel and the answer is that the hike didn't scare anyone. The VIX is asleep under 15, gold actually fell 2.3% (no safe-haven bid), junk bonds are down a trivial 0.8%, and the dollar's rise looks more like a rate story than a panic. Credit spreads are unavailable this week, so I won't pretend to read them. Two or more of those gauges turning would mean the tape was hedging; none of them blinked. As a fear check, this scare was noise.</w:t>
      </w:r>
    </w:p>
    <w:p>
      <w:r>
        <w:t xml:space="preserve">The genuine caution isn't fear, it's breadth. Only </w:t>
      </w:r>
      <w:r>
        <w:rPr>
          <w:b/>
        </w:rPr>
        <w:t>46% of stocks sit above their 200-day</w:t>
      </w:r>
      <w:r>
        <w:t>, and just 30% are above their 50-day, with zero new 52-week highs against one new low. The index is a fifth of a percent from its August record, but fewer and fewer stocks are doing the lifting. A narrow rally can run for a long time; it just leaves less room for error when leadership stumbles.</w:t>
      </w:r>
    </w:p>
    <w:p>
      <w:pPr>
        <w:pStyle w:val="ListBullet"/>
      </w:pPr>
      <w:r>
        <w:rPr>
          <w:b/>
        </w:rPr>
        <w:t>Base case (55%):</w:t>
      </w:r>
      <w:r>
        <w:t xml:space="preserve"> the market grinds sideways-to-higher, health care and select semis keep leading, and yields stabilize after the hike. Narrow but intact.</w:t>
      </w:r>
    </w:p>
    <w:p>
      <w:pPr>
        <w:pStyle w:val="ListBullet"/>
      </w:pPr>
      <w:r>
        <w:rPr>
          <w:b/>
        </w:rPr>
        <w:t>Bull case (20%):</w:t>
      </w:r>
      <w:r>
        <w:t xml:space="preserve"> Micron's print and the memory cycle confirm the chip move, breadth broadens beyond health care, and the hike becomes the "one and done" the steepening curve half-expects.</w:t>
      </w:r>
    </w:p>
    <w:p>
      <w:pPr>
        <w:pStyle w:val="ListBullet"/>
      </w:pPr>
      <w:r>
        <w:rPr>
          <w:b/>
        </w:rPr>
        <w:t>Bear case (25%):</w:t>
      </w:r>
      <w:r>
        <w:t xml:space="preserve"> long yields keep climbing past the market's comfort, the thin participation finally cracks, and the handful of leaders roll over with nothing underneath to catch the index.</w:t>
      </w:r>
    </w:p>
    <w:p>
      <w:r>
        <w:t>Stance: constructive but selective. Respect the trends in front of you — health care leadership, firming semis — buy strength on pauses rather than chasing the 20% weekly spikes, and keep your stops honest while breadth stays this thin.</w:t>
      </w:r>
    </w:p>
    <w:p>
      <w:pPr>
        <w:spacing w:before="240" w:after="80"/>
      </w:pPr>
      <w:r>
        <w:rPr>
          <w:b/>
          <w:color w:val="1F3864"/>
          <w:sz w:val="30"/>
        </w:rPr>
        <w:t>9. The Algo (educational paper track record)</w:t>
      </w:r>
    </w:p>
    <w:p>
      <w:r>
        <w:t>The paper strategy is having a rough stretch, so let's say it plainly. Equity stands at $48,186, down 3.6% since its May 27 inception, while the S&amp;P gained 3.0% and the Nasdaq-100 2.1% over the same span. It lost 2.8% on the week and sits in a 7.3% drawdown, with 16 positions open and 85 closed. Across all closed trades: 85 trades, 29 winners, a 34% win rate, averaging -1.2% per trade. Behind its benchmarks and not hiding it.</w:t>
      </w:r>
    </w:p>
    <w:p>
      <w:r>
        <w:t>The exits this week trace the rotation. It trailed out of the energy refiners — MPC for a +25.4% gain (its best trade), VLO +5.3%, DINO +3.3% — right as Brent fell and refining momentum cooled, and booked a small JPM win. The losers were COP (-4.5%), SNX (-7.1%), Twilio (-8.7%) and CHYM (-9.4%). The open book leans exactly where the board leads: Thermo Fisher up 16.5%, IQVIA up 11.2%, Illumina, Danaher and AtriCure all health care, all recent adds. The strategy is following the same leadership the rankings show, which is the point of showing it, including when it's losing.</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spacing w:before="240" w:after="80"/>
      </w:pPr>
      <w:r>
        <w:rPr>
          <w:b/>
          <w:color w:val="1F3864"/>
          <w:sz w:val="30"/>
        </w:rPr>
        <w:t>10. Key events next week</w:t>
      </w:r>
    </w:p>
    <w:p>
      <w:pPr>
        <w:pStyle w:val="ListBullet"/>
      </w:pPr>
      <w:r>
        <w:rPr>
          <w:b/>
        </w:rPr>
        <w:t>Monday, Sep 28 — Jefferies (JEF), Vail Resorts (MTN):</w:t>
      </w:r>
      <w:r>
        <w:t xml:space="preserve"> JEF is an early read on Wall Street deal flow into a higher-rate quarter.</w:t>
      </w:r>
    </w:p>
    <w:p>
      <w:pPr>
        <w:pStyle w:val="ListBullet"/>
      </w:pPr>
      <w:r>
        <w:rPr>
          <w:b/>
        </w:rPr>
        <w:t>Tuesday, Sep 29 — Carnival (CCL), CarMax (KMX), Concentrix (CNXC), AAR (AIR):</w:t>
      </w:r>
      <w:r>
        <w:t xml:space="preserve"> cheaper fuel helps Carnival's math; KMX is the used-car consumer tell.</w:t>
      </w:r>
    </w:p>
    <w:p>
      <w:pPr>
        <w:pStyle w:val="ListBullet"/>
      </w:pPr>
      <w:r>
        <w:rPr>
          <w:b/>
        </w:rPr>
        <w:t>Wednesday, Sep 30 — Micron (MU), Jabil (JBL), FactSet (FDS), Conagra (CAG), Cal-Maine (CALM):</w:t>
      </w:r>
      <w:r>
        <w:t xml:space="preserve"> the big one is Micron. Korea's memory stocks ripped this week, so the real tell is whether that shows up in MU's guidance and confirms the semi move on our board. Jabil is the confirmation test for that Electronic Manufacturing Services jump to peer #12.</w:t>
      </w:r>
    </w:p>
    <w:p>
      <w:pPr>
        <w:pStyle w:val="ListBullet"/>
      </w:pPr>
      <w:r>
        <w:rPr>
          <w:b/>
        </w:rPr>
        <w:t>Thursday, Oct 1 — Accenture (ACN), Nike (NKE), Acuity (AYI), McCormick (MKC); weekly jobless claims:</w:t>
      </w:r>
      <w:r>
        <w:t xml:space="preserve"> Nike walks in already downgraded by BofA to Underperform. The tell is whether the Street's caution is right, or whether the fade is overdone. Claims are the early crack-in-the-labor-market check.</w:t>
      </w:r>
    </w:p>
    <w:p>
      <w:pPr>
        <w:pStyle w:val="ListBullet"/>
      </w:pPr>
      <w:r>
        <w:rPr>
          <w:b/>
        </w:rPr>
        <w:t>Friday, Oct 2 — Nonfarm payrolls &amp; unemployment:</w:t>
      </w:r>
      <w:r>
        <w:t xml:space="preserve"> unemployment last read 4.1% on +162k payrolls. With the Fed having just hiked into 3.4% inflation, a soft jobs number would reopen the "did they overtighten" debate fast. This is the week's macro pivot.</w:t>
      </w: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"#8 in our system" means 8th-strongest of about 1,900.</w:t>
      </w:r>
    </w:p>
    <w:p>
      <w:pPr>
        <w:pStyle w:val="ListBullet"/>
      </w:pPr>
      <w:r>
        <w:rPr>
          <w:b/>
        </w:rPr>
        <w:t>Relative strength (RS):</w:t>
      </w:r>
      <w:r>
        <w:t xml:space="preserve"> how a stock performs against the rest of the market, not on its own. Rising RS = outperforming.</w:t>
      </w:r>
    </w:p>
    <w:p>
      <w:pPr>
        <w:pStyle w:val="ListBullet"/>
      </w:pPr>
      <w:r>
        <w:rPr>
          <w:b/>
        </w:rPr>
        <w:t>Moving averages (20/50/200-day):</w:t>
      </w:r>
      <w:r>
        <w:t xml:space="preserve"> the average price over that many days — the trend lines. A healthy uptrend has price above a rising 20-day, itself above the 200-day. "Extended" means far above the 20-day and prone to a pullback.</w:t>
      </w:r>
    </w:p>
    <w:p>
      <w:pPr>
        <w:pStyle w:val="ListBullet"/>
      </w:pPr>
      <w:r>
        <w:rPr>
          <w:b/>
        </w:rPr>
        <w:t>VIX:</w:t>
      </w:r>
      <w:r>
        <w:t xml:space="preserve"> the market's fear gauge. Below 20 is calm, above 20 is stress.</w:t>
      </w:r>
    </w:p>
    <w:p>
      <w:pPr>
        <w:pStyle w:val="ListBullet"/>
      </w:pPr>
      <w:r>
        <w:rPr>
          <w:b/>
        </w:rPr>
        <w:t>Credit spreads:</w:t>
      </w:r>
      <w:r>
        <w:t xml:space="preserve"> the extra yield investors demand to hold risky corporate bonds over safe government bonds. Widening is an early warning; tight is calm.</w:t>
      </w:r>
    </w:p>
    <w:p>
      <w:pPr>
        <w:pStyle w:val="ListBullet"/>
      </w:pPr>
      <w:r>
        <w:rPr>
          <w:b/>
        </w:rPr>
        <w:t>Treasury yields / 2s10s:</w:t>
      </w:r>
      <w:r>
        <w:t xml:space="preserve"> what the government pays to borrow for 10 years versus 2. The 2s10s spread is the 10-year minus the 2-year; a rising 10-year pressures expensive, long-duration stocks like chips and growth.</w:t>
      </w:r>
    </w:p>
    <w:p>
      <w:pPr>
        <w:pStyle w:val="ListBullet"/>
      </w:pPr>
      <w:r>
        <w:rPr>
          <w:b/>
        </w:rPr>
        <w:t>Breadth:</w:t>
      </w:r>
      <w:r>
        <w:t xml:space="preserve"> how many stocks are participating. Thin breadth (few above their 200-day, no new highs) means a narrow rally.</w:t>
      </w:r>
    </w:p>
    <w:p>
      <w:pPr>
        <w:pStyle w:val="ListBullet"/>
      </w:pPr>
      <w:r>
        <w:rPr>
          <w:b/>
        </w:rPr>
        <w:t>High-yield / junk bonds:</w:t>
      </w:r>
      <w:r>
        <w:t xml:space="preserve"> bonds from riskier companies. Investors sell them first when scared, so a falling junk price is an early credit-stress signal.</w:t>
      </w:r>
    </w:p>
    <w:p>
      <w:pPr>
        <w:pStyle w:val="ListBullet"/>
      </w:pPr>
      <w:r>
        <w:rPr>
          <w:b/>
        </w:rPr>
        <w:t>Safe havens (gold, the dollar):</w:t>
      </w:r>
      <w:r>
        <w:t xml:space="preserve"> where money hides when afraid. A rally in them during a shock means fear is real; flat through a scary headline means the market shrugged.</w:t>
      </w:r>
    </w:p>
    <w:p>
      <w:pPr>
        <w:pBdr>
          <w:bottom w:val="single" w:sz="6" w:space="1" w:color="C0C0C0"/>
        </w:pBdr>
      </w:pPr>
    </w:p>
    <w:p>
      <w:r>
        <w:t>The Fed hiked, yields hit a 19-year high, and the market answered by rotating rather than retreating — into cancer diagnostics and biotech at the top of the board, and into a firming chip complex among the fastest climbers. The fear gauges never blinked, but breadth is thin, so this is a rally to respect selectively, not to chase. None of this is advice; it's a map for your own homework. Stay invested, stay selective, and we'll see you next Sunday.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