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864"/>
          <w:sz w:val="48"/>
        </w:rPr>
        <w:t>Money Left the Buildings and Ran to the Vault</w:t>
      </w:r>
    </w:p>
    <w:p>
      <w:r>
        <w:rPr>
          <w:i/>
        </w:rPr>
        <w:t>Issue · 2026-08-07 · a weekly read built on ranking ~1,900 US stocks by relative strength</w:t>
      </w:r>
    </w:p>
    <w:p>
      <w:r>
        <w:t>The S&amp;P 500 closed at 7757.64 — a record high — the same week tankers were being hit near the Strait of Hormuz and Israel was trading fire with Hezbollah again. Oil didn't spike; Brent fell 7.3% as Iran talks revived and OPEC+ added supply. But gold ripped 8.7%. So you have a market printing a new high, a VIX at 14.89, and one safe haven quietly screaming. That gap is the whole story this week.</w:t>
      </w:r>
    </w:p>
    <w:p>
      <w:r>
        <w:t>Underneath it, the money moved with intent: out of REITs, into gold miners, energy, and a fat block of financials.</w:t>
      </w:r>
    </w:p>
    <w:p>
      <w:pPr>
        <w:pBdr>
          <w:bottom w:val="single" w:sz="6" w:space="1" w:color="C0C0C0"/>
        </w:pBdr>
      </w:pPr>
    </w:p>
    <w:p>
      <w:pPr>
        <w:spacing w:before="240" w:after="80"/>
      </w:pPr>
      <w:r>
        <w:rPr>
          <w:b/>
          <w:color w:val="1F3864"/>
          <w:sz w:val="30"/>
        </w:rPr>
        <w:t>1. The lead: a record high nobody seemed nervous about</w:t>
      </w:r>
    </w:p>
    <w:p>
      <w:r>
        <w:t>Up 3.6% on the week to a record close, above a rising 200-day (7757.64 vs 7065.16). Breadth backed it — 1,255 advancers against 678 decliners, and the share of stocks above their 200-day line climbed from 66% to 71.44%. This wasn't four mega-caps dragging a tired index over the line. Most stocks went up.</w:t>
      </w:r>
    </w:p>
    <w:p>
      <w:r>
        <w:t>That matters because the backdrop should have scared people. Middle East fighting, fresh tariff threats and China countermeasures, and a jobs picture that got called "the 5th largest month of job losses since 2020" in one write-up even as jobless claims stayed low at 199,000. Plenty to fret about. The tape shrugged.</w:t>
      </w:r>
    </w:p>
    <w:p>
      <w:r>
        <w:t>The one gauge that didn't shrug was gold, and I'll come back to it, because it's the most interesting number on the page.</w:t>
      </w:r>
    </w:p>
    <w:p>
      <w:pPr>
        <w:pBdr>
          <w:bottom w:val="single" w:sz="6" w:space="1" w:color="C0C0C0"/>
        </w:pBdr>
      </w:pPr>
    </w:p>
    <w:p>
      <w:pPr>
        <w:spacing w:before="240" w:after="80"/>
      </w:pPr>
      <w:r>
        <w:rPr>
          <w:b/>
          <w:color w:val="1F3864"/>
          <w:sz w:val="30"/>
        </w:rPr>
        <w:t>2. Grading the board's last open calls</w:t>
      </w:r>
    </w:p>
    <w:p>
      <w:r>
        <w:t>Three calls were on the clock from late June. Honest scorecard, using where the board sits now:</w:t>
      </w:r>
    </w:p>
    <w:p>
      <w:pPr>
        <w:pStyle w:val="ListBullet"/>
      </w:pPr>
      <w:r>
        <w:rPr>
          <w:b/>
        </w:rPr>
        <w:t>Semis stay in the lower half and don't reclaim a top-20 peer rank.</w:t>
      </w:r>
      <w:r>
        <w:t xml:space="preserve"> Grade: </w:t>
      </w:r>
      <w:r>
        <w:rPr>
          <w:b/>
        </w:rPr>
        <w:t>A–.</w:t>
      </w:r>
      <w:r>
        <w:t xml:space="preserve"> Still true. The megacap chips bounced on price this week (Nvidia +11.6%, Broadcom +9.9%) but the board still has them mid-to-low — NVDA #625, TSM #1383. No chip group clawed back to the top of the sector board.</w:t>
      </w:r>
    </w:p>
    <w:p>
      <w:pPr>
        <w:pStyle w:val="ListBullet"/>
      </w:pPr>
      <w:r>
        <w:rPr>
          <w:b/>
        </w:rPr>
        <w:t>Regime stays healthy: VIX under 20, breadth above 60%.</w:t>
      </w:r>
      <w:r>
        <w:t xml:space="preserve"> Grade: </w:t>
      </w:r>
      <w:r>
        <w:rPr>
          <w:b/>
        </w:rPr>
        <w:t>A.</w:t>
      </w:r>
      <w:r>
        <w:t xml:space="preserve"> VIX 14.89, 71.44% of stocks above their 200-day. Clean hit.</w:t>
      </w:r>
    </w:p>
    <w:p>
      <w:pPr>
        <w:pStyle w:val="ListBullet"/>
      </w:pPr>
      <w:r>
        <w:rPr>
          <w:b/>
        </w:rPr>
        <w:t>The health-care/biotech wave holds its rank gains into a second week.</w:t>
      </w:r>
      <w:r>
        <w:t xml:space="preserve"> Grade: </w:t>
      </w:r>
      <w:r>
        <w:rPr>
          <w:b/>
        </w:rPr>
        <w:t>C.</w:t>
      </w:r>
      <w:r>
        <w:t xml:space="preserve"> Partial at best. Biotech is alive in spots — Crinetics sits #5, Iovance popped on record Q2 revenue — but it never became the durable, broad rotation the call implied. Health care is a supporting player now, not the leader.</w:t>
      </w:r>
    </w:p>
    <w:p>
      <w:r>
        <w:t>Two clean, one soft. The regime and semi calls have aged well; the biotech one asked for more than the data delivered.</w:t>
      </w:r>
    </w:p>
    <w:p>
      <w:pPr>
        <w:pBdr>
          <w:bottom w:val="single" w:sz="6" w:space="1" w:color="C0C0C0"/>
        </w:pBdr>
      </w:pPr>
    </w:p>
    <w:p>
      <w:pPr>
        <w:spacing w:before="240" w:after="80"/>
      </w:pPr>
      <w:r>
        <w:rPr>
          <w:b/>
          <w:color w:val="1F3864"/>
          <w:sz w:val="30"/>
        </w:rPr>
        <w:t>3. Gold blinked, and it's the tell worth chewing on</w:t>
      </w:r>
    </w:p>
    <w:p>
      <w:r>
        <w:t>Run the fear panel across every channel and only one turned. VIX: asleep at 14.89. Junk bonds (HYG): up 0.7%, no stress. The dollar: down 0.2%, soft, not a flight bid. Credit spreads: n/a this week (the FRED feed is pending — I won't invent it). By the book, fear that shows up in one place and nowhere else is contained, and four of five gauges say the war headlines were noise.</w:t>
      </w:r>
    </w:p>
    <w:p>
      <w:r>
        <w:t xml:space="preserve">But gold up 8.7% in a week isn't a rounding error, and on the board it showed up loud: the Gold sector rocketed from #123 to #10, into RRG "leading." When the index is at a record and gold is the best-performing corner of the market at the same time, that's usually not war fear. It's money hedging something slower. Read it next to the rates picture: inflation is still 3.5%, the Fed-funds target sits at 3.63%, and the loudest Fed noise this week was about a possible </w:t>
      </w:r>
      <w:r>
        <w:rPr>
          <w:i/>
        </w:rPr>
        <w:t>hike</w:t>
      </w:r>
      <w:r>
        <w:t>, not a cut. Gold tends to bid when real rates and policy credibility feel wobbly. A monetary hedge dressed up as a haven.</w:t>
      </w:r>
    </w:p>
    <w:p>
      <w:r>
        <w:t>So the read: the geopolitics were contained (oil down, not up, tells you that plainly), but something in the rate-and-currency backdrop pushed real money into the vault. One channel turned. Watch whether junk or the dollar joins it — if they do, the tape is hedging for real. Right now it's one gauge, and the index doesn't care yet.</w:t>
      </w:r>
    </w:p>
    <w:p>
      <w:pPr>
        <w:pBdr>
          <w:bottom w:val="single" w:sz="6" w:space="1" w:color="C0C0C0"/>
        </w:pBdr>
      </w:pPr>
    </w:p>
    <w:p>
      <w:pPr>
        <w:spacing w:before="240" w:after="80"/>
      </w:pPr>
      <w:r>
        <w:rPr>
          <w:b/>
          <w:color w:val="1F3864"/>
          <w:sz w:val="30"/>
        </w:rPr>
        <w:t>4. Rates, the Fed, and why the buildings got sold</w:t>
      </w:r>
    </w:p>
    <w:p>
      <w:r>
        <w:t>Yields barely moved on the week: the 10-year at 4.69% (+1bp), the 2-year at 4.25% (+2bp), leaving the 2s10s spread at a positive 44bp and gently steepening. Steady and high. That steady-and-high is what hammered the rate-sensitive corners of the market.</w:t>
      </w:r>
    </w:p>
    <w:p>
      <w:r>
        <w:t>Look at what fell down the board: Retail REITs #26 → #130, Industrial REITs #30 → #126, Hotel &amp; Resort REITs #9 → #96. Three REIT groups shoved off a cliff in one week. When the 10-year holds near 4.7% and the Fed is openly debating a hike, landlords who borrow to build and pay out yield get repriced fast; their dividends have to compete with a risk-free rate that isn't budging. Money doesn't wait around for that math to resolve.</w:t>
      </w:r>
    </w:p>
    <w:p>
      <w:r>
        <w:t>Where it went instead: Oil, Gas &amp; Consumable Fuels surged #120 → #47, and gold miners, as noted. Hard assets over paper yield. The Fed's own people aren't hiding the tension — one governor said this week she's ready to raise if inflation doesn't start easing. A market that believes that sells duration and buys things that hold value when money gets tighter.</w:t>
      </w:r>
    </w:p>
    <w:p>
      <w:pPr>
        <w:pBdr>
          <w:bottom w:val="single" w:sz="6" w:space="1" w:color="C0C0C0"/>
        </w:pBdr>
      </w:pPr>
    </w:p>
    <w:p>
      <w:pPr>
        <w:spacing w:before="240" w:after="80"/>
      </w:pPr>
      <w:r>
        <w:rPr>
          <w:b/>
          <w:color w:val="1F3864"/>
          <w:sz w:val="30"/>
        </w:rPr>
        <w:t>5. Theme of the Week — Aging &amp; Longevity, and the link where the money actually is</w:t>
      </w:r>
    </w:p>
    <w:p>
      <w:r>
        <w:t>This week's teaching spotlight is a curated map of one value chain, not the whole market and not a rotation call. Think of it as a walk through how one big demographic bet is wired together.</w:t>
      </w:r>
    </w:p>
    <w:p>
      <w:r>
        <w:t>The premise is simple: people are living longer, and that costs money at every step. The chain runs from the treatments and devices that keep an aging body working, through the vision, hearing and monitoring tech, to the senior-living operators who house people, and finally to the insurers and wealth managers who fund a retirement that now stretches decades. Money, health, and time, all downstream of one demographic fact.</w:t>
      </w:r>
    </w:p>
    <w:p>
      <w:r>
        <w:t xml:space="preserve">So where's the money concentrating inside that chain right now? Not where you'd guess. The device makers (Boston Scientific, Stryker, Intuitive, Medtronic) and the vision/hearing names sit at a middling 61/100 node momentum. Treatments — the big drug names — are cooler at 44. Senior living, the operators themselves, are the coldest link at 42. The heat is at the </w:t>
      </w:r>
      <w:r>
        <w:rPr>
          <w:i/>
        </w:rPr>
        <w:t>end</w:t>
      </w:r>
      <w:r>
        <w:t xml:space="preserve"> of the chain: </w:t>
      </w:r>
      <w:r>
        <w:rPr>
          <w:b/>
        </w:rPr>
        <w:t>Retirement $ — Ameriprise, MetLife, Prudential, Raymond James — is running a 76/100, far and away the hottest node.</w:t>
      </w:r>
    </w:p>
    <w:p>
      <w:r>
        <w:t>Think about the plumbing. The treatments and the nursing homes are the visible, expensive part of aging. But the pinch point, the place that has to be solvent for the whole thing to work, is the pool of money funding it. When rates are high and stay high, that's where the earning power sits: insurers and asset managers make more on every dollar they hold. Money flows to the chokepoint, and this week the chokepoint is the balance sheet, not the hospital bed.</w:t>
      </w:r>
    </w:p>
    <w:p>
      <w:r>
        <w:t xml:space="preserve">Two names the platform flags, as a screen and not a recommendation: Amgen carries the strongest momentum in the theme at 82/100 (RS #141 of ~1,900), and Prudential screens cheap on growth-adjusted sales, a 0.6 price-to-sales against 15% revenue growth. The theme overall is cooling, 61 now versus 67 a week ago, so this is a lesson in where money concentrates </w:t>
      </w:r>
      <w:r>
        <w:rPr>
          <w:i/>
        </w:rPr>
        <w:t>within</w:t>
      </w:r>
      <w:r>
        <w:t xml:space="preserve"> a chain when the top link fades, not a green light on the group.</w:t>
      </w:r>
    </w:p>
    <w:p>
      <w:pPr>
        <w:pBdr>
          <w:bottom w:val="single" w:sz="6" w:space="1" w:color="C0C0C0"/>
        </w:pBdr>
      </w:pPr>
    </w:p>
    <w:p>
      <w:pPr>
        <w:spacing w:before="240" w:after="80"/>
      </w:pPr>
      <w:r>
        <w:rPr>
          <w:b/>
          <w:color w:val="1F3864"/>
          <w:sz w:val="30"/>
        </w:rPr>
        <w:t>6. Where the money is going</w:t>
      </w:r>
    </w:p>
    <w:p>
      <w:r>
        <w:t>The strongest names on the board, top ten in order:</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fill="1F3864"/>
          </w:tcPr>
          <w:p>
            <w:r>
              <w:rPr>
                <w:b/>
                <w:color w:val="FFFFFF"/>
                <w:sz w:val="19"/>
              </w:rPr>
              <w:t>#</w:t>
            </w:r>
          </w:p>
        </w:tc>
        <w:tc>
          <w:tcPr>
            <w:tcW w:type="dxa" w:w="1930"/>
            <w:shd w:val="clear" w:fill="1F3864"/>
          </w:tcPr>
          <w:p>
            <w:r>
              <w:rPr>
                <w:b/>
                <w:color w:val="FFFFFF"/>
                <w:sz w:val="19"/>
              </w:rPr>
              <w:t>Ticker</w:t>
            </w:r>
          </w:p>
        </w:tc>
        <w:tc>
          <w:tcPr>
            <w:tcW w:type="dxa" w:w="1930"/>
            <w:shd w:val="clear" w:fill="1F3864"/>
          </w:tcPr>
          <w:p>
            <w:r>
              <w:rPr>
                <w:b/>
                <w:color w:val="FFFFFF"/>
                <w:sz w:val="19"/>
              </w:rPr>
              <w:t>Company</w:t>
            </w:r>
          </w:p>
        </w:tc>
        <w:tc>
          <w:tcPr>
            <w:tcW w:type="dxa" w:w="1930"/>
            <w:shd w:val="clear" w:fill="1F3864"/>
          </w:tcPr>
          <w:p>
            <w:r>
              <w:rPr>
                <w:b/>
                <w:color w:val="FFFFFF"/>
                <w:sz w:val="19"/>
              </w:rPr>
              <w:t>Industry</w:t>
            </w:r>
          </w:p>
        </w:tc>
        <w:tc>
          <w:tcPr>
            <w:tcW w:type="dxa" w:w="1930"/>
            <w:shd w:val="clear" w:fill="1F3864"/>
          </w:tcPr>
          <w:p>
            <w:r>
              <w:rPr>
                <w:b/>
                <w:color w:val="FFFFFF"/>
                <w:sz w:val="19"/>
              </w:rPr>
              <w:t>Wk %</w:t>
            </w:r>
          </w:p>
        </w:tc>
      </w:tr>
      <w:tr>
        <w:tc>
          <w:tcPr>
            <w:tcW w:type="dxa" w:w="1930"/>
          </w:tcPr>
          <w:p>
            <w:r>
              <w:rPr>
                <w:sz w:val="19"/>
              </w:rPr>
              <w:t>1</w:t>
            </w:r>
          </w:p>
        </w:tc>
        <w:tc>
          <w:tcPr>
            <w:tcW w:type="dxa" w:w="1930"/>
          </w:tcPr>
          <w:p>
            <w:r>
              <w:rPr>
                <w:sz w:val="19"/>
              </w:rPr>
              <w:t>CAKE</w:t>
            </w:r>
          </w:p>
        </w:tc>
        <w:tc>
          <w:tcPr>
            <w:tcW w:type="dxa" w:w="1930"/>
          </w:tcPr>
          <w:p>
            <w:r>
              <w:rPr>
                <w:sz w:val="19"/>
              </w:rPr>
              <w:t>Cheesecake Factory</w:t>
            </w:r>
          </w:p>
        </w:tc>
        <w:tc>
          <w:tcPr>
            <w:tcW w:type="dxa" w:w="1930"/>
          </w:tcPr>
          <w:p>
            <w:r>
              <w:rPr>
                <w:sz w:val="19"/>
              </w:rPr>
              <w:t>Restaurants</w:t>
            </w:r>
          </w:p>
        </w:tc>
        <w:tc>
          <w:tcPr>
            <w:tcW w:type="dxa" w:w="1930"/>
          </w:tcPr>
          <w:p>
            <w:r>
              <w:rPr>
                <w:sz w:val="19"/>
              </w:rPr>
              <w:t>+5.6%</w:t>
            </w:r>
          </w:p>
        </w:tc>
      </w:tr>
      <w:tr>
        <w:tc>
          <w:tcPr>
            <w:tcW w:type="dxa" w:w="1930"/>
            <w:shd w:val="clear" w:fill="EEF1F7"/>
          </w:tcPr>
          <w:p>
            <w:r>
              <w:rPr>
                <w:sz w:val="19"/>
              </w:rPr>
              <w:t>2</w:t>
            </w:r>
          </w:p>
        </w:tc>
        <w:tc>
          <w:tcPr>
            <w:tcW w:type="dxa" w:w="1930"/>
            <w:shd w:val="clear" w:fill="EEF1F7"/>
          </w:tcPr>
          <w:p>
            <w:r>
              <w:rPr>
                <w:sz w:val="19"/>
              </w:rPr>
              <w:t>GCT</w:t>
            </w:r>
          </w:p>
        </w:tc>
        <w:tc>
          <w:tcPr>
            <w:tcW w:type="dxa" w:w="1930"/>
            <w:shd w:val="clear" w:fill="EEF1F7"/>
          </w:tcPr>
          <w:p>
            <w:r>
              <w:rPr>
                <w:sz w:val="19"/>
              </w:rPr>
              <w:t>GigaCloud Technology</w:t>
            </w:r>
          </w:p>
        </w:tc>
        <w:tc>
          <w:tcPr>
            <w:tcW w:type="dxa" w:w="1930"/>
            <w:shd w:val="clear" w:fill="EEF1F7"/>
          </w:tcPr>
          <w:p>
            <w:r>
              <w:rPr>
                <w:sz w:val="19"/>
              </w:rPr>
              <w:t>Software - Infrastructure</w:t>
            </w:r>
          </w:p>
        </w:tc>
        <w:tc>
          <w:tcPr>
            <w:tcW w:type="dxa" w:w="1930"/>
            <w:shd w:val="clear" w:fill="EEF1F7"/>
          </w:tcPr>
          <w:p>
            <w:r>
              <w:rPr>
                <w:sz w:val="19"/>
              </w:rPr>
              <w:t>+21.7%</w:t>
            </w:r>
          </w:p>
        </w:tc>
      </w:tr>
      <w:tr>
        <w:tc>
          <w:tcPr>
            <w:tcW w:type="dxa" w:w="1930"/>
          </w:tcPr>
          <w:p>
            <w:r>
              <w:rPr>
                <w:sz w:val="19"/>
              </w:rPr>
              <w:t>3</w:t>
            </w:r>
          </w:p>
        </w:tc>
        <w:tc>
          <w:tcPr>
            <w:tcW w:type="dxa" w:w="1930"/>
          </w:tcPr>
          <w:p>
            <w:r>
              <w:rPr>
                <w:sz w:val="19"/>
              </w:rPr>
              <w:t>HNI</w:t>
            </w:r>
          </w:p>
        </w:tc>
        <w:tc>
          <w:tcPr>
            <w:tcW w:type="dxa" w:w="1930"/>
          </w:tcPr>
          <w:p>
            <w:r>
              <w:rPr>
                <w:sz w:val="19"/>
              </w:rPr>
              <w:t>HNI Corporation</w:t>
            </w:r>
          </w:p>
        </w:tc>
        <w:tc>
          <w:tcPr>
            <w:tcW w:type="dxa" w:w="1930"/>
          </w:tcPr>
          <w:p>
            <w:r>
              <w:rPr>
                <w:sz w:val="19"/>
              </w:rPr>
              <w:t>Office Services &amp; Supplies</w:t>
            </w:r>
          </w:p>
        </w:tc>
        <w:tc>
          <w:tcPr>
            <w:tcW w:type="dxa" w:w="1930"/>
          </w:tcPr>
          <w:p>
            <w:r>
              <w:rPr>
                <w:sz w:val="19"/>
              </w:rPr>
              <w:t>+10.4%</w:t>
            </w:r>
          </w:p>
        </w:tc>
      </w:tr>
      <w:tr>
        <w:tc>
          <w:tcPr>
            <w:tcW w:type="dxa" w:w="1930"/>
            <w:shd w:val="clear" w:fill="EEF1F7"/>
          </w:tcPr>
          <w:p>
            <w:r>
              <w:rPr>
                <w:sz w:val="19"/>
              </w:rPr>
              <w:t>4</w:t>
            </w:r>
          </w:p>
        </w:tc>
        <w:tc>
          <w:tcPr>
            <w:tcW w:type="dxa" w:w="1930"/>
            <w:shd w:val="clear" w:fill="EEF1F7"/>
          </w:tcPr>
          <w:p>
            <w:r>
              <w:rPr>
                <w:sz w:val="19"/>
              </w:rPr>
              <w:t>EFOR</w:t>
            </w:r>
          </w:p>
        </w:tc>
        <w:tc>
          <w:tcPr>
            <w:tcW w:type="dxa" w:w="1930"/>
            <w:shd w:val="clear" w:fill="EEF1F7"/>
          </w:tcPr>
          <w:p>
            <w:r>
              <w:rPr>
                <w:sz w:val="19"/>
              </w:rPr>
              <w:t>Everforth</w:t>
            </w:r>
          </w:p>
        </w:tc>
        <w:tc>
          <w:tcPr>
            <w:tcW w:type="dxa" w:w="1930"/>
            <w:shd w:val="clear" w:fill="EEF1F7"/>
          </w:tcPr>
          <w:p>
            <w:r>
              <w:rPr>
                <w:sz w:val="19"/>
              </w:rPr>
              <w:t>IT Consulting</w:t>
            </w:r>
          </w:p>
        </w:tc>
        <w:tc>
          <w:tcPr>
            <w:tcW w:type="dxa" w:w="1930"/>
            <w:shd w:val="clear" w:fill="EEF1F7"/>
          </w:tcPr>
          <w:p>
            <w:r>
              <w:rPr>
                <w:sz w:val="19"/>
              </w:rPr>
              <w:t>+13.3%</w:t>
            </w:r>
          </w:p>
        </w:tc>
      </w:tr>
      <w:tr>
        <w:tc>
          <w:tcPr>
            <w:tcW w:type="dxa" w:w="1930"/>
          </w:tcPr>
          <w:p>
            <w:r>
              <w:rPr>
                <w:sz w:val="19"/>
              </w:rPr>
              <w:t>5</w:t>
            </w:r>
          </w:p>
        </w:tc>
        <w:tc>
          <w:tcPr>
            <w:tcW w:type="dxa" w:w="1930"/>
          </w:tcPr>
          <w:p>
            <w:r>
              <w:rPr>
                <w:sz w:val="19"/>
              </w:rPr>
              <w:t>CRNX</w:t>
            </w:r>
          </w:p>
        </w:tc>
        <w:tc>
          <w:tcPr>
            <w:tcW w:type="dxa" w:w="1930"/>
          </w:tcPr>
          <w:p>
            <w:r>
              <w:rPr>
                <w:sz w:val="19"/>
              </w:rPr>
              <w:t>Crinetics Pharmaceuticals</w:t>
            </w:r>
          </w:p>
        </w:tc>
        <w:tc>
          <w:tcPr>
            <w:tcW w:type="dxa" w:w="1930"/>
          </w:tcPr>
          <w:p>
            <w:r>
              <w:rPr>
                <w:sz w:val="19"/>
              </w:rPr>
              <w:t>Biotechnology</w:t>
            </w:r>
          </w:p>
        </w:tc>
        <w:tc>
          <w:tcPr>
            <w:tcW w:type="dxa" w:w="1930"/>
          </w:tcPr>
          <w:p>
            <w:r>
              <w:rPr>
                <w:sz w:val="19"/>
              </w:rPr>
              <w:t>+0.7%</w:t>
            </w:r>
          </w:p>
        </w:tc>
      </w:tr>
      <w:tr>
        <w:tc>
          <w:tcPr>
            <w:tcW w:type="dxa" w:w="1930"/>
            <w:shd w:val="clear" w:fill="EEF1F7"/>
          </w:tcPr>
          <w:p>
            <w:r>
              <w:rPr>
                <w:sz w:val="19"/>
              </w:rPr>
              <w:t>6</w:t>
            </w:r>
          </w:p>
        </w:tc>
        <w:tc>
          <w:tcPr>
            <w:tcW w:type="dxa" w:w="1930"/>
            <w:shd w:val="clear" w:fill="EEF1F7"/>
          </w:tcPr>
          <w:p>
            <w:r>
              <w:rPr>
                <w:sz w:val="19"/>
              </w:rPr>
              <w:t>ITGR</w:t>
            </w:r>
          </w:p>
        </w:tc>
        <w:tc>
          <w:tcPr>
            <w:tcW w:type="dxa" w:w="1930"/>
            <w:shd w:val="clear" w:fill="EEF1F7"/>
          </w:tcPr>
          <w:p>
            <w:r>
              <w:rPr>
                <w:sz w:val="19"/>
              </w:rPr>
              <w:t>Integer Holdings</w:t>
            </w:r>
          </w:p>
        </w:tc>
        <w:tc>
          <w:tcPr>
            <w:tcW w:type="dxa" w:w="1930"/>
            <w:shd w:val="clear" w:fill="EEF1F7"/>
          </w:tcPr>
          <w:p>
            <w:r>
              <w:rPr>
                <w:sz w:val="19"/>
              </w:rPr>
              <w:t>Health Care Equipment</w:t>
            </w:r>
          </w:p>
        </w:tc>
        <w:tc>
          <w:tcPr>
            <w:tcW w:type="dxa" w:w="1930"/>
            <w:shd w:val="clear" w:fill="EEF1F7"/>
          </w:tcPr>
          <w:p>
            <w:r>
              <w:rPr>
                <w:sz w:val="19"/>
              </w:rPr>
              <w:t>+3.3%</w:t>
            </w:r>
          </w:p>
        </w:tc>
      </w:tr>
      <w:tr>
        <w:tc>
          <w:tcPr>
            <w:tcW w:type="dxa" w:w="1930"/>
          </w:tcPr>
          <w:p>
            <w:r>
              <w:rPr>
                <w:sz w:val="19"/>
              </w:rPr>
              <w:t>7</w:t>
            </w:r>
          </w:p>
        </w:tc>
        <w:tc>
          <w:tcPr>
            <w:tcW w:type="dxa" w:w="1930"/>
          </w:tcPr>
          <w:p>
            <w:r>
              <w:rPr>
                <w:sz w:val="19"/>
              </w:rPr>
              <w:t>ZBRA</w:t>
            </w:r>
          </w:p>
        </w:tc>
        <w:tc>
          <w:tcPr>
            <w:tcW w:type="dxa" w:w="1930"/>
          </w:tcPr>
          <w:p>
            <w:r>
              <w:rPr>
                <w:sz w:val="19"/>
              </w:rPr>
              <w:t>Zebra Technologies</w:t>
            </w:r>
          </w:p>
        </w:tc>
        <w:tc>
          <w:tcPr>
            <w:tcW w:type="dxa" w:w="1930"/>
          </w:tcPr>
          <w:p>
            <w:r>
              <w:rPr>
                <w:sz w:val="19"/>
              </w:rPr>
              <w:t>Electronic Equipment</w:t>
            </w:r>
          </w:p>
        </w:tc>
        <w:tc>
          <w:tcPr>
            <w:tcW w:type="dxa" w:w="1930"/>
          </w:tcPr>
          <w:p>
            <w:r>
              <w:rPr>
                <w:sz w:val="19"/>
              </w:rPr>
              <w:t>+28.1%</w:t>
            </w:r>
          </w:p>
        </w:tc>
      </w:tr>
      <w:tr>
        <w:tc>
          <w:tcPr>
            <w:tcW w:type="dxa" w:w="1930"/>
            <w:shd w:val="clear" w:fill="EEF1F7"/>
          </w:tcPr>
          <w:p>
            <w:r>
              <w:rPr>
                <w:sz w:val="19"/>
              </w:rPr>
              <w:t>8</w:t>
            </w:r>
          </w:p>
        </w:tc>
        <w:tc>
          <w:tcPr>
            <w:tcW w:type="dxa" w:w="1930"/>
            <w:shd w:val="clear" w:fill="EEF1F7"/>
          </w:tcPr>
          <w:p>
            <w:r>
              <w:rPr>
                <w:sz w:val="19"/>
              </w:rPr>
              <w:t>NSIT</w:t>
            </w:r>
          </w:p>
        </w:tc>
        <w:tc>
          <w:tcPr>
            <w:tcW w:type="dxa" w:w="1930"/>
            <w:shd w:val="clear" w:fill="EEF1F7"/>
          </w:tcPr>
          <w:p>
            <w:r>
              <w:rPr>
                <w:sz w:val="19"/>
              </w:rPr>
              <w:t>Insight Enterprises</w:t>
            </w:r>
          </w:p>
        </w:tc>
        <w:tc>
          <w:tcPr>
            <w:tcW w:type="dxa" w:w="1930"/>
            <w:shd w:val="clear" w:fill="EEF1F7"/>
          </w:tcPr>
          <w:p>
            <w:r>
              <w:rPr>
                <w:sz w:val="19"/>
              </w:rPr>
              <w:t>Technology Distributors</w:t>
            </w:r>
          </w:p>
        </w:tc>
        <w:tc>
          <w:tcPr>
            <w:tcW w:type="dxa" w:w="1930"/>
            <w:shd w:val="clear" w:fill="EEF1F7"/>
          </w:tcPr>
          <w:p>
            <w:r>
              <w:rPr>
                <w:sz w:val="19"/>
              </w:rPr>
              <w:t>+15.8%</w:t>
            </w:r>
          </w:p>
        </w:tc>
      </w:tr>
      <w:tr>
        <w:tc>
          <w:tcPr>
            <w:tcW w:type="dxa" w:w="1930"/>
          </w:tcPr>
          <w:p>
            <w:r>
              <w:rPr>
                <w:sz w:val="19"/>
              </w:rPr>
              <w:t>9</w:t>
            </w:r>
          </w:p>
        </w:tc>
        <w:tc>
          <w:tcPr>
            <w:tcW w:type="dxa" w:w="1930"/>
          </w:tcPr>
          <w:p>
            <w:r>
              <w:rPr>
                <w:sz w:val="19"/>
              </w:rPr>
              <w:t>SNOW</w:t>
            </w:r>
          </w:p>
        </w:tc>
        <w:tc>
          <w:tcPr>
            <w:tcW w:type="dxa" w:w="1930"/>
          </w:tcPr>
          <w:p>
            <w:r>
              <w:rPr>
                <w:sz w:val="19"/>
              </w:rPr>
              <w:t>Snowflake</w:t>
            </w:r>
          </w:p>
        </w:tc>
        <w:tc>
          <w:tcPr>
            <w:tcW w:type="dxa" w:w="1930"/>
          </w:tcPr>
          <w:p>
            <w:r>
              <w:rPr>
                <w:sz w:val="19"/>
              </w:rPr>
              <w:t>Application Software</w:t>
            </w:r>
          </w:p>
        </w:tc>
        <w:tc>
          <w:tcPr>
            <w:tcW w:type="dxa" w:w="1930"/>
          </w:tcPr>
          <w:p>
            <w:r>
              <w:rPr>
                <w:sz w:val="19"/>
              </w:rPr>
              <w:t>+12.7%</w:t>
            </w:r>
          </w:p>
        </w:tc>
      </w:tr>
      <w:tr>
        <w:tc>
          <w:tcPr>
            <w:tcW w:type="dxa" w:w="1930"/>
            <w:shd w:val="clear" w:fill="EEF1F7"/>
          </w:tcPr>
          <w:p>
            <w:r>
              <w:rPr>
                <w:sz w:val="19"/>
              </w:rPr>
              <w:t>10</w:t>
            </w:r>
          </w:p>
        </w:tc>
        <w:tc>
          <w:tcPr>
            <w:tcW w:type="dxa" w:w="1930"/>
            <w:shd w:val="clear" w:fill="EEF1F7"/>
          </w:tcPr>
          <w:p>
            <w:r>
              <w:rPr>
                <w:sz w:val="19"/>
              </w:rPr>
              <w:t>SAFT</w:t>
            </w:r>
          </w:p>
        </w:tc>
        <w:tc>
          <w:tcPr>
            <w:tcW w:type="dxa" w:w="1930"/>
            <w:shd w:val="clear" w:fill="EEF1F7"/>
          </w:tcPr>
          <w:p>
            <w:r>
              <w:rPr>
                <w:sz w:val="19"/>
              </w:rPr>
              <w:t>Safety Insurance</w:t>
            </w:r>
          </w:p>
        </w:tc>
        <w:tc>
          <w:tcPr>
            <w:tcW w:type="dxa" w:w="1930"/>
            <w:shd w:val="clear" w:fill="EEF1F7"/>
          </w:tcPr>
          <w:p>
            <w:r>
              <w:rPr>
                <w:sz w:val="19"/>
              </w:rPr>
              <w:t>P&amp;C Insurance</w:t>
            </w:r>
          </w:p>
        </w:tc>
        <w:tc>
          <w:tcPr>
            <w:tcW w:type="dxa" w:w="1930"/>
            <w:shd w:val="clear" w:fill="EEF1F7"/>
          </w:tcPr>
          <w:p>
            <w:r>
              <w:rPr>
                <w:sz w:val="19"/>
              </w:rPr>
              <w:t>+0.1%</w:t>
            </w:r>
          </w:p>
        </w:tc>
      </w:tr>
    </w:tbl>
    <w:p/>
    <w:p>
      <w:r>
        <w:t>A grab bag at the very top — restaurants, office furniture, software, an insurer — which is what a broad rally looks like. Just outside the frame: Microsoft at #17 (up 7.6%) and Paycom at #20 (up 31.1%). No single sector owns the leaderboard.</w:t>
      </w:r>
    </w:p>
    <w:p>
      <w:r>
        <w:t>The weekly climbers are where the rotation shows its teeth. Information Technology took 11 of the top 25 climber spots, Industrials 7. Palantir vaulted from #1418 to #266 (+39.8% on the week, and Deutsche Bank moved it Hold → Buy). MongoDB #1340 → #287. InterDigital rose into the top 20 outright at #18. Software and IT services did the heavy lifting; a cluster of industrials (PLPC, NPK, PRLB, GFF, CACI, ATI) came right behind.</w:t>
      </w:r>
    </w:p>
    <w:p>
      <w:r>
        <w:t>Now the two-clock check, because the price tape and the rank tape disagree in a few important places. Nvidia rose 11.6% and its rank improved a lot (+821), yet it still only sits at #625. Broadcom, up 9.9%, sits #488. Those are real bounces that haven't bought leadership back. Apple is the sharper warning: up 1.4% on price, but its rank collapsed 880 spots to #1155, and China Renaissance cut it Buy → Hold this week. A stock can be green on the week and still be losing the board. Rank has been the better guide to the months ahead, and the board is telling you the megacap-chip-and-Apple complex bounced without leading.</w:t>
      </w:r>
    </w:p>
    <w:p>
      <w:r>
        <w:t>The other place to be careful is the speculative pop list. Redwire +57.7%, Iovance +55.8%, Satellogic +54.2%, Aeva +51.8% (its loss narrowed and it flagged a big hyperscaler deal), Applied Optoelectronics +43.8% on a Q2 beat. Big prints, and several are real earnings reactions. But look at the ranks: Redwire #892, Satellogic #1122, Aeva #722. Price up, rank not confirming. That's money using a spike to get out, not a durable trend forming. Fun to watch, dangerous to chase.</w:t>
      </w:r>
    </w:p>
    <w:p>
      <w:pPr>
        <w:pBdr>
          <w:bottom w:val="single" w:sz="6" w:space="1" w:color="C0C0C0"/>
        </w:pBdr>
      </w:pPr>
    </w:p>
    <w:p>
      <w:pPr>
        <w:spacing w:before="240" w:after="80"/>
      </w:pPr>
      <w:r>
        <w:rPr>
          <w:b/>
          <w:color w:val="1F3864"/>
          <w:sz w:val="30"/>
        </w:rPr>
        <w:t>7. A few names worth looking at</w:t>
      </w:r>
    </w:p>
    <w:p>
      <w:r>
        <w:t>These clear four filters at once: a strong sector, an improving rank, a genuine uptrend (price above a rising 20 &gt; 50 &gt; 200), and not stretched (within 10% of the 20-day). It's a starting point for your own homework, not a buy list.</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fill="1F3864"/>
          </w:tcPr>
          <w:p>
            <w:r>
              <w:rPr>
                <w:b/>
                <w:color w:val="FFFFFF"/>
                <w:sz w:val="19"/>
              </w:rPr>
              <w:t>Ticker</w:t>
            </w:r>
          </w:p>
        </w:tc>
        <w:tc>
          <w:tcPr>
            <w:tcW w:type="dxa" w:w="1608"/>
            <w:shd w:val="clear" w:fill="1F3864"/>
          </w:tcPr>
          <w:p>
            <w:r>
              <w:rPr>
                <w:b/>
                <w:color w:val="FFFFFF"/>
                <w:sz w:val="19"/>
              </w:rPr>
              <w:t>Company</w:t>
            </w:r>
          </w:p>
        </w:tc>
        <w:tc>
          <w:tcPr>
            <w:tcW w:type="dxa" w:w="1608"/>
            <w:shd w:val="clear" w:fill="1F3864"/>
          </w:tcPr>
          <w:p>
            <w:r>
              <w:rPr>
                <w:b/>
                <w:color w:val="FFFFFF"/>
                <w:sz w:val="19"/>
              </w:rPr>
              <w:t>Sector</w:t>
            </w:r>
          </w:p>
        </w:tc>
        <w:tc>
          <w:tcPr>
            <w:tcW w:type="dxa" w:w="1608"/>
            <w:shd w:val="clear" w:fill="1F3864"/>
          </w:tcPr>
          <w:p>
            <w:r>
              <w:rPr>
                <w:b/>
                <w:color w:val="FFFFFF"/>
                <w:sz w:val="19"/>
              </w:rPr>
              <w:t>Rank (Δwk)</w:t>
            </w:r>
          </w:p>
        </w:tc>
        <w:tc>
          <w:tcPr>
            <w:tcW w:type="dxa" w:w="1608"/>
            <w:shd w:val="clear" w:fill="1F3864"/>
          </w:tcPr>
          <w:p>
            <w:r>
              <w:rPr>
                <w:b/>
                <w:color w:val="FFFFFF"/>
                <w:sz w:val="19"/>
              </w:rPr>
              <w:t>Conv</w:t>
            </w:r>
          </w:p>
        </w:tc>
        <w:tc>
          <w:tcPr>
            <w:tcW w:type="dxa" w:w="1608"/>
            <w:shd w:val="clear" w:fill="1F3864"/>
          </w:tcPr>
          <w:p>
            <w:r>
              <w:rPr>
                <w:b/>
                <w:color w:val="FFFFFF"/>
                <w:sz w:val="19"/>
              </w:rPr>
              <w:t>% above 20d</w:t>
            </w:r>
          </w:p>
        </w:tc>
      </w:tr>
      <w:tr>
        <w:tc>
          <w:tcPr>
            <w:tcW w:type="dxa" w:w="1608"/>
          </w:tcPr>
          <w:p>
            <w:r>
              <w:rPr>
                <w:sz w:val="19"/>
              </w:rPr>
              <w:t>WTW</w:t>
            </w:r>
          </w:p>
        </w:tc>
        <w:tc>
          <w:tcPr>
            <w:tcW w:type="dxa" w:w="1608"/>
          </w:tcPr>
          <w:p>
            <w:r>
              <w:rPr>
                <w:sz w:val="19"/>
              </w:rPr>
              <w:t>Willis Towers Watson</w:t>
            </w:r>
          </w:p>
        </w:tc>
        <w:tc>
          <w:tcPr>
            <w:tcW w:type="dxa" w:w="1608"/>
          </w:tcPr>
          <w:p>
            <w:r>
              <w:rPr>
                <w:sz w:val="19"/>
              </w:rPr>
              <w:t>Financials</w:t>
            </w:r>
          </w:p>
        </w:tc>
        <w:tc>
          <w:tcPr>
            <w:tcW w:type="dxa" w:w="1608"/>
          </w:tcPr>
          <w:p>
            <w:r>
              <w:rPr>
                <w:sz w:val="19"/>
              </w:rPr>
              <w:t>24 (+13)</w:t>
            </w:r>
          </w:p>
        </w:tc>
        <w:tc>
          <w:tcPr>
            <w:tcW w:type="dxa" w:w="1608"/>
          </w:tcPr>
          <w:p>
            <w:r>
              <w:rPr>
                <w:sz w:val="19"/>
              </w:rPr>
              <w:t>B</w:t>
            </w:r>
          </w:p>
        </w:tc>
        <w:tc>
          <w:tcPr>
            <w:tcW w:type="dxa" w:w="1608"/>
          </w:tcPr>
          <w:p>
            <w:r>
              <w:rPr>
                <w:sz w:val="19"/>
              </w:rPr>
              <w:t>+9.1%</w:t>
            </w:r>
          </w:p>
        </w:tc>
      </w:tr>
      <w:tr>
        <w:tc>
          <w:tcPr>
            <w:tcW w:type="dxa" w:w="1608"/>
            <w:shd w:val="clear" w:fill="EEF1F7"/>
          </w:tcPr>
          <w:p>
            <w:r>
              <w:rPr>
                <w:sz w:val="19"/>
              </w:rPr>
              <w:t>AAMI</w:t>
            </w:r>
          </w:p>
        </w:tc>
        <w:tc>
          <w:tcPr>
            <w:tcW w:type="dxa" w:w="1608"/>
            <w:shd w:val="clear" w:fill="EEF1F7"/>
          </w:tcPr>
          <w:p>
            <w:r>
              <w:rPr>
                <w:sz w:val="19"/>
              </w:rPr>
              <w:t>Acadian Asset Mgmt</w:t>
            </w:r>
          </w:p>
        </w:tc>
        <w:tc>
          <w:tcPr>
            <w:tcW w:type="dxa" w:w="1608"/>
            <w:shd w:val="clear" w:fill="EEF1F7"/>
          </w:tcPr>
          <w:p>
            <w:r>
              <w:rPr>
                <w:sz w:val="19"/>
              </w:rPr>
              <w:t>Financials</w:t>
            </w:r>
          </w:p>
        </w:tc>
        <w:tc>
          <w:tcPr>
            <w:tcW w:type="dxa" w:w="1608"/>
            <w:shd w:val="clear" w:fill="EEF1F7"/>
          </w:tcPr>
          <w:p>
            <w:r>
              <w:rPr>
                <w:sz w:val="19"/>
              </w:rPr>
              <w:t>47 (+190)</w:t>
            </w:r>
          </w:p>
        </w:tc>
        <w:tc>
          <w:tcPr>
            <w:tcW w:type="dxa" w:w="1608"/>
            <w:shd w:val="clear" w:fill="EEF1F7"/>
          </w:tcPr>
          <w:p>
            <w:r>
              <w:rPr>
                <w:sz w:val="19"/>
              </w:rPr>
              <w:t>C</w:t>
            </w:r>
          </w:p>
        </w:tc>
        <w:tc>
          <w:tcPr>
            <w:tcW w:type="dxa" w:w="1608"/>
            <w:shd w:val="clear" w:fill="EEF1F7"/>
          </w:tcPr>
          <w:p>
            <w:r>
              <w:rPr>
                <w:sz w:val="19"/>
              </w:rPr>
              <w:t>+5.7%</w:t>
            </w:r>
          </w:p>
        </w:tc>
      </w:tr>
      <w:tr>
        <w:tc>
          <w:tcPr>
            <w:tcW w:type="dxa" w:w="1608"/>
          </w:tcPr>
          <w:p>
            <w:r>
              <w:rPr>
                <w:sz w:val="19"/>
              </w:rPr>
              <w:t>MLKN</w:t>
            </w:r>
          </w:p>
        </w:tc>
        <w:tc>
          <w:tcPr>
            <w:tcW w:type="dxa" w:w="1608"/>
          </w:tcPr>
          <w:p>
            <w:r>
              <w:rPr>
                <w:sz w:val="19"/>
              </w:rPr>
              <w:t>MillerKnoll</w:t>
            </w:r>
          </w:p>
        </w:tc>
        <w:tc>
          <w:tcPr>
            <w:tcW w:type="dxa" w:w="1608"/>
          </w:tcPr>
          <w:p>
            <w:r>
              <w:rPr>
                <w:sz w:val="19"/>
              </w:rPr>
              <w:t>Industrials</w:t>
            </w:r>
          </w:p>
        </w:tc>
        <w:tc>
          <w:tcPr>
            <w:tcW w:type="dxa" w:w="1608"/>
          </w:tcPr>
          <w:p>
            <w:r>
              <w:rPr>
                <w:sz w:val="19"/>
              </w:rPr>
              <w:t>54 (+2)</w:t>
            </w:r>
          </w:p>
        </w:tc>
        <w:tc>
          <w:tcPr>
            <w:tcW w:type="dxa" w:w="1608"/>
          </w:tcPr>
          <w:p>
            <w:r>
              <w:rPr>
                <w:sz w:val="19"/>
              </w:rPr>
              <w:t>C</w:t>
            </w:r>
          </w:p>
        </w:tc>
        <w:tc>
          <w:tcPr>
            <w:tcW w:type="dxa" w:w="1608"/>
          </w:tcPr>
          <w:p>
            <w:r>
              <w:rPr>
                <w:sz w:val="19"/>
              </w:rPr>
              <w:t>+8.9%</w:t>
            </w:r>
          </w:p>
        </w:tc>
      </w:tr>
      <w:tr>
        <w:tc>
          <w:tcPr>
            <w:tcW w:type="dxa" w:w="1608"/>
            <w:shd w:val="clear" w:fill="EEF1F7"/>
          </w:tcPr>
          <w:p>
            <w:r>
              <w:rPr>
                <w:sz w:val="19"/>
              </w:rPr>
              <w:t>MSA</w:t>
            </w:r>
          </w:p>
        </w:tc>
        <w:tc>
          <w:tcPr>
            <w:tcW w:type="dxa" w:w="1608"/>
            <w:shd w:val="clear" w:fill="EEF1F7"/>
          </w:tcPr>
          <w:p>
            <w:r>
              <w:rPr>
                <w:sz w:val="19"/>
              </w:rPr>
              <w:t>MSA Safety</w:t>
            </w:r>
          </w:p>
        </w:tc>
        <w:tc>
          <w:tcPr>
            <w:tcW w:type="dxa" w:w="1608"/>
            <w:shd w:val="clear" w:fill="EEF1F7"/>
          </w:tcPr>
          <w:p>
            <w:r>
              <w:rPr>
                <w:sz w:val="19"/>
              </w:rPr>
              <w:t>Industrials</w:t>
            </w:r>
          </w:p>
        </w:tc>
        <w:tc>
          <w:tcPr>
            <w:tcW w:type="dxa" w:w="1608"/>
            <w:shd w:val="clear" w:fill="EEF1F7"/>
          </w:tcPr>
          <w:p>
            <w:r>
              <w:rPr>
                <w:sz w:val="19"/>
              </w:rPr>
              <w:t>57 (+156)</w:t>
            </w:r>
          </w:p>
        </w:tc>
        <w:tc>
          <w:tcPr>
            <w:tcW w:type="dxa" w:w="1608"/>
            <w:shd w:val="clear" w:fill="EEF1F7"/>
          </w:tcPr>
          <w:p>
            <w:r>
              <w:rPr>
                <w:sz w:val="19"/>
              </w:rPr>
              <w:t>B</w:t>
            </w:r>
          </w:p>
        </w:tc>
        <w:tc>
          <w:tcPr>
            <w:tcW w:type="dxa" w:w="1608"/>
            <w:shd w:val="clear" w:fill="EEF1F7"/>
          </w:tcPr>
          <w:p>
            <w:r>
              <w:rPr>
                <w:sz w:val="19"/>
              </w:rPr>
              <w:t>+6.9%</w:t>
            </w:r>
          </w:p>
        </w:tc>
      </w:tr>
      <w:tr>
        <w:tc>
          <w:tcPr>
            <w:tcW w:type="dxa" w:w="1608"/>
          </w:tcPr>
          <w:p>
            <w:r>
              <w:rPr>
                <w:sz w:val="19"/>
              </w:rPr>
              <w:t>APAM</w:t>
            </w:r>
          </w:p>
        </w:tc>
        <w:tc>
          <w:tcPr>
            <w:tcW w:type="dxa" w:w="1608"/>
          </w:tcPr>
          <w:p>
            <w:r>
              <w:rPr>
                <w:sz w:val="19"/>
              </w:rPr>
              <w:t>Artisan Partners</w:t>
            </w:r>
          </w:p>
        </w:tc>
        <w:tc>
          <w:tcPr>
            <w:tcW w:type="dxa" w:w="1608"/>
          </w:tcPr>
          <w:p>
            <w:r>
              <w:rPr>
                <w:sz w:val="19"/>
              </w:rPr>
              <w:t>Financials</w:t>
            </w:r>
          </w:p>
        </w:tc>
        <w:tc>
          <w:tcPr>
            <w:tcW w:type="dxa" w:w="1608"/>
          </w:tcPr>
          <w:p>
            <w:r>
              <w:rPr>
                <w:sz w:val="19"/>
              </w:rPr>
              <w:t>60 (+58)</w:t>
            </w:r>
          </w:p>
        </w:tc>
        <w:tc>
          <w:tcPr>
            <w:tcW w:type="dxa" w:w="1608"/>
          </w:tcPr>
          <w:p>
            <w:r>
              <w:rPr>
                <w:sz w:val="19"/>
              </w:rPr>
              <w:t>C</w:t>
            </w:r>
          </w:p>
        </w:tc>
        <w:tc>
          <w:tcPr>
            <w:tcW w:type="dxa" w:w="1608"/>
          </w:tcPr>
          <w:p>
            <w:r>
              <w:rPr>
                <w:sz w:val="19"/>
              </w:rPr>
              <w:t>+5.9%</w:t>
            </w:r>
          </w:p>
        </w:tc>
      </w:tr>
      <w:tr>
        <w:tc>
          <w:tcPr>
            <w:tcW w:type="dxa" w:w="1608"/>
            <w:shd w:val="clear" w:fill="EEF1F7"/>
          </w:tcPr>
          <w:p>
            <w:r>
              <w:rPr>
                <w:sz w:val="19"/>
              </w:rPr>
              <w:t>NTNX</w:t>
            </w:r>
          </w:p>
        </w:tc>
        <w:tc>
          <w:tcPr>
            <w:tcW w:type="dxa" w:w="1608"/>
            <w:shd w:val="clear" w:fill="EEF1F7"/>
          </w:tcPr>
          <w:p>
            <w:r>
              <w:rPr>
                <w:sz w:val="19"/>
              </w:rPr>
              <w:t>Nutanix</w:t>
            </w:r>
          </w:p>
        </w:tc>
        <w:tc>
          <w:tcPr>
            <w:tcW w:type="dxa" w:w="1608"/>
            <w:shd w:val="clear" w:fill="EEF1F7"/>
          </w:tcPr>
          <w:p>
            <w:r>
              <w:rPr>
                <w:sz w:val="19"/>
              </w:rPr>
              <w:t>Info Tech</w:t>
            </w:r>
          </w:p>
        </w:tc>
        <w:tc>
          <w:tcPr>
            <w:tcW w:type="dxa" w:w="1608"/>
            <w:shd w:val="clear" w:fill="EEF1F7"/>
          </w:tcPr>
          <w:p>
            <w:r>
              <w:rPr>
                <w:sz w:val="19"/>
              </w:rPr>
              <w:t>78 (+32)</w:t>
            </w:r>
          </w:p>
        </w:tc>
        <w:tc>
          <w:tcPr>
            <w:tcW w:type="dxa" w:w="1608"/>
            <w:shd w:val="clear" w:fill="EEF1F7"/>
          </w:tcPr>
          <w:p>
            <w:r>
              <w:rPr>
                <w:sz w:val="19"/>
              </w:rPr>
              <w:t>C</w:t>
            </w:r>
          </w:p>
        </w:tc>
        <w:tc>
          <w:tcPr>
            <w:tcW w:type="dxa" w:w="1608"/>
            <w:shd w:val="clear" w:fill="EEF1F7"/>
          </w:tcPr>
          <w:p>
            <w:r>
              <w:rPr>
                <w:sz w:val="19"/>
              </w:rPr>
              <w:t>+8.5%</w:t>
            </w:r>
          </w:p>
        </w:tc>
      </w:tr>
      <w:tr>
        <w:tc>
          <w:tcPr>
            <w:tcW w:type="dxa" w:w="1608"/>
          </w:tcPr>
          <w:p>
            <w:r>
              <w:rPr>
                <w:sz w:val="19"/>
              </w:rPr>
              <w:t>BIO</w:t>
            </w:r>
          </w:p>
        </w:tc>
        <w:tc>
          <w:tcPr>
            <w:tcW w:type="dxa" w:w="1608"/>
          </w:tcPr>
          <w:p>
            <w:r>
              <w:rPr>
                <w:sz w:val="19"/>
              </w:rPr>
              <w:t>Bio-Rad Labs</w:t>
            </w:r>
          </w:p>
        </w:tc>
        <w:tc>
          <w:tcPr>
            <w:tcW w:type="dxa" w:w="1608"/>
          </w:tcPr>
          <w:p>
            <w:r>
              <w:rPr>
                <w:sz w:val="19"/>
              </w:rPr>
              <w:t>Health Care</w:t>
            </w:r>
          </w:p>
        </w:tc>
        <w:tc>
          <w:tcPr>
            <w:tcW w:type="dxa" w:w="1608"/>
          </w:tcPr>
          <w:p>
            <w:r>
              <w:rPr>
                <w:sz w:val="19"/>
              </w:rPr>
              <w:t>85 (+83)</w:t>
            </w:r>
          </w:p>
        </w:tc>
        <w:tc>
          <w:tcPr>
            <w:tcW w:type="dxa" w:w="1608"/>
          </w:tcPr>
          <w:p>
            <w:r>
              <w:rPr>
                <w:sz w:val="19"/>
              </w:rPr>
              <w:t>C</w:t>
            </w:r>
          </w:p>
        </w:tc>
        <w:tc>
          <w:tcPr>
            <w:tcW w:type="dxa" w:w="1608"/>
          </w:tcPr>
          <w:p>
            <w:r>
              <w:rPr>
                <w:sz w:val="19"/>
              </w:rPr>
              <w:t>+9.1%</w:t>
            </w:r>
          </w:p>
        </w:tc>
      </w:tr>
      <w:tr>
        <w:tc>
          <w:tcPr>
            <w:tcW w:type="dxa" w:w="1608"/>
            <w:shd w:val="clear" w:fill="EEF1F7"/>
          </w:tcPr>
          <w:p>
            <w:r>
              <w:rPr>
                <w:sz w:val="19"/>
              </w:rPr>
              <w:t>VCTR</w:t>
            </w:r>
          </w:p>
        </w:tc>
        <w:tc>
          <w:tcPr>
            <w:tcW w:type="dxa" w:w="1608"/>
            <w:shd w:val="clear" w:fill="EEF1F7"/>
          </w:tcPr>
          <w:p>
            <w:r>
              <w:rPr>
                <w:sz w:val="19"/>
              </w:rPr>
              <w:t>Victory Capital</w:t>
            </w:r>
          </w:p>
        </w:tc>
        <w:tc>
          <w:tcPr>
            <w:tcW w:type="dxa" w:w="1608"/>
            <w:shd w:val="clear" w:fill="EEF1F7"/>
          </w:tcPr>
          <w:p>
            <w:r>
              <w:rPr>
                <w:sz w:val="19"/>
              </w:rPr>
              <w:t>Financials</w:t>
            </w:r>
          </w:p>
        </w:tc>
        <w:tc>
          <w:tcPr>
            <w:tcW w:type="dxa" w:w="1608"/>
            <w:shd w:val="clear" w:fill="EEF1F7"/>
          </w:tcPr>
          <w:p>
            <w:r>
              <w:rPr>
                <w:sz w:val="19"/>
              </w:rPr>
              <w:t>91 (+18)</w:t>
            </w:r>
          </w:p>
        </w:tc>
        <w:tc>
          <w:tcPr>
            <w:tcW w:type="dxa" w:w="1608"/>
            <w:shd w:val="clear" w:fill="EEF1F7"/>
          </w:tcPr>
          <w:p>
            <w:r>
              <w:rPr>
                <w:sz w:val="19"/>
              </w:rPr>
              <w:t>C</w:t>
            </w:r>
          </w:p>
        </w:tc>
        <w:tc>
          <w:tcPr>
            <w:tcW w:type="dxa" w:w="1608"/>
            <w:shd w:val="clear" w:fill="EEF1F7"/>
          </w:tcPr>
          <w:p>
            <w:r>
              <w:rPr>
                <w:sz w:val="19"/>
              </w:rPr>
              <w:t>+9.0%</w:t>
            </w:r>
          </w:p>
        </w:tc>
      </w:tr>
      <w:tr>
        <w:tc>
          <w:tcPr>
            <w:tcW w:type="dxa" w:w="1608"/>
          </w:tcPr>
          <w:p>
            <w:r>
              <w:rPr>
                <w:sz w:val="19"/>
              </w:rPr>
              <w:t>BLK</w:t>
            </w:r>
          </w:p>
        </w:tc>
        <w:tc>
          <w:tcPr>
            <w:tcW w:type="dxa" w:w="1608"/>
          </w:tcPr>
          <w:p>
            <w:r>
              <w:rPr>
                <w:sz w:val="19"/>
              </w:rPr>
              <w:t>BlackRock</w:t>
            </w:r>
          </w:p>
        </w:tc>
        <w:tc>
          <w:tcPr>
            <w:tcW w:type="dxa" w:w="1608"/>
          </w:tcPr>
          <w:p>
            <w:r>
              <w:rPr>
                <w:sz w:val="19"/>
              </w:rPr>
              <w:t>Financials</w:t>
            </w:r>
          </w:p>
        </w:tc>
        <w:tc>
          <w:tcPr>
            <w:tcW w:type="dxa" w:w="1608"/>
          </w:tcPr>
          <w:p>
            <w:r>
              <w:rPr>
                <w:sz w:val="19"/>
              </w:rPr>
              <w:t>225 (+145)</w:t>
            </w:r>
          </w:p>
        </w:tc>
        <w:tc>
          <w:tcPr>
            <w:tcW w:type="dxa" w:w="1608"/>
          </w:tcPr>
          <w:p>
            <w:r>
              <w:rPr>
                <w:sz w:val="19"/>
              </w:rPr>
              <w:t>C</w:t>
            </w:r>
          </w:p>
        </w:tc>
        <w:tc>
          <w:tcPr>
            <w:tcW w:type="dxa" w:w="1608"/>
          </w:tcPr>
          <w:p>
            <w:r>
              <w:rPr>
                <w:sz w:val="19"/>
              </w:rPr>
              <w:t>+4.6%</w:t>
            </w:r>
          </w:p>
        </w:tc>
      </w:tr>
      <w:tr>
        <w:tc>
          <w:tcPr>
            <w:tcW w:type="dxa" w:w="1608"/>
            <w:shd w:val="clear" w:fill="EEF1F7"/>
          </w:tcPr>
          <w:p>
            <w:r>
              <w:rPr>
                <w:sz w:val="19"/>
              </w:rPr>
              <w:t>PKG</w:t>
            </w:r>
          </w:p>
        </w:tc>
        <w:tc>
          <w:tcPr>
            <w:tcW w:type="dxa" w:w="1608"/>
            <w:shd w:val="clear" w:fill="EEF1F7"/>
          </w:tcPr>
          <w:p>
            <w:r>
              <w:rPr>
                <w:sz w:val="19"/>
              </w:rPr>
              <w:t>Packaging Corp</w:t>
            </w:r>
          </w:p>
        </w:tc>
        <w:tc>
          <w:tcPr>
            <w:tcW w:type="dxa" w:w="1608"/>
            <w:shd w:val="clear" w:fill="EEF1F7"/>
          </w:tcPr>
          <w:p>
            <w:r>
              <w:rPr>
                <w:sz w:val="19"/>
              </w:rPr>
              <w:t>Materials</w:t>
            </w:r>
          </w:p>
        </w:tc>
        <w:tc>
          <w:tcPr>
            <w:tcW w:type="dxa" w:w="1608"/>
            <w:shd w:val="clear" w:fill="EEF1F7"/>
          </w:tcPr>
          <w:p>
            <w:r>
              <w:rPr>
                <w:sz w:val="19"/>
              </w:rPr>
              <w:t>258 (+22)</w:t>
            </w:r>
          </w:p>
        </w:tc>
        <w:tc>
          <w:tcPr>
            <w:tcW w:type="dxa" w:w="1608"/>
            <w:shd w:val="clear" w:fill="EEF1F7"/>
          </w:tcPr>
          <w:p>
            <w:r>
              <w:rPr>
                <w:sz w:val="19"/>
              </w:rPr>
              <w:t>C</w:t>
            </w:r>
          </w:p>
        </w:tc>
        <w:tc>
          <w:tcPr>
            <w:tcW w:type="dxa" w:w="1608"/>
            <w:shd w:val="clear" w:fill="EEF1F7"/>
          </w:tcPr>
          <w:p>
            <w:r>
              <w:rPr>
                <w:sz w:val="19"/>
              </w:rPr>
              <w:t>+4.4%</w:t>
            </w:r>
          </w:p>
        </w:tc>
      </w:tr>
    </w:tbl>
    <w:p/>
    <w:p>
      <w:r>
        <w:t xml:space="preserve">The tilt is loud: financials, and specifically asset managers and insurers — Acadian, Artisan, Victory, BlackRock, Willis Towers Watson. Same message as the Theme's hottest link. High-for-longer rates are good for the people who hold and invest other people's money. The discipline here is to buy strength early, on a pause, not after a vertical week. Most of these are within single digits of their 20-day, which is the "not stretched" you want. </w:t>
      </w:r>
      <w:r>
        <w:rPr>
          <w:i/>
        </w:rPr>
        <w:t>Do your own work; this is education, not advice.</w:t>
      </w:r>
    </w:p>
    <w:p>
      <w:pPr>
        <w:pBdr>
          <w:bottom w:val="single" w:sz="6" w:space="1" w:color="C0C0C0"/>
        </w:pBdr>
      </w:pPr>
    </w:p>
    <w:p>
      <w:pPr>
        <w:spacing w:before="240" w:after="80"/>
      </w:pPr>
      <w:r>
        <w:rPr>
          <w:b/>
          <w:color w:val="1F3864"/>
          <w:sz w:val="30"/>
        </w:rPr>
        <w:t>8. Where We Stand</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1F3864"/>
          </w:tcPr>
          <w:p>
            <w:r>
              <w:rPr>
                <w:b/>
                <w:color w:val="FFFFFF"/>
                <w:sz w:val="19"/>
              </w:rPr>
              <w:t>Check</w:t>
            </w:r>
          </w:p>
        </w:tc>
        <w:tc>
          <w:tcPr>
            <w:tcW w:type="dxa" w:w="3216"/>
            <w:shd w:val="clear" w:fill="1F3864"/>
          </w:tcPr>
          <w:p>
            <w:r>
              <w:rPr>
                <w:b/>
                <w:color w:val="FFFFFF"/>
                <w:sz w:val="19"/>
              </w:rPr>
              <w:t>Reading</w:t>
            </w:r>
          </w:p>
        </w:tc>
        <w:tc>
          <w:tcPr>
            <w:tcW w:type="dxa" w:w="3216"/>
            <w:shd w:val="clear" w:fill="1F3864"/>
          </w:tcPr>
          <w:p>
            <w:r>
              <w:rPr>
                <w:b/>
                <w:color w:val="FFFFFF"/>
                <w:sz w:val="19"/>
              </w:rPr>
              <w:t>Note</w:t>
            </w:r>
          </w:p>
        </w:tc>
      </w:tr>
      <w:tr>
        <w:tc>
          <w:tcPr>
            <w:tcW w:type="dxa" w:w="3216"/>
          </w:tcPr>
          <w:p>
            <w:r>
              <w:rPr>
                <w:sz w:val="19"/>
              </w:rPr>
              <w:t>S&amp;P 500 level</w:t>
            </w:r>
          </w:p>
        </w:tc>
        <w:tc>
          <w:tcPr>
            <w:tcW w:type="dxa" w:w="3216"/>
          </w:tcPr>
          <w:p>
            <w:r>
              <w:rPr>
                <w:sz w:val="19"/>
              </w:rPr>
              <w:t>7757.64</w:t>
            </w:r>
          </w:p>
        </w:tc>
        <w:tc>
          <w:tcPr>
            <w:tcW w:type="dxa" w:w="3216"/>
          </w:tcPr>
          <w:p>
            <w:r>
              <w:rPr>
                <w:sz w:val="19"/>
              </w:rPr>
              <w:t>Record high</w:t>
            </w:r>
          </w:p>
        </w:tc>
      </w:tr>
      <w:tr>
        <w:tc>
          <w:tcPr>
            <w:tcW w:type="dxa" w:w="3216"/>
            <w:shd w:val="clear" w:fill="EEF1F7"/>
          </w:tcPr>
          <w:p>
            <w:r>
              <w:rPr>
                <w:sz w:val="19"/>
              </w:rPr>
              <w:t>S&amp;P vs 200-day</w:t>
            </w:r>
          </w:p>
        </w:tc>
        <w:tc>
          <w:tcPr>
            <w:tcW w:type="dxa" w:w="3216"/>
            <w:shd w:val="clear" w:fill="EEF1F7"/>
          </w:tcPr>
          <w:p>
            <w:r>
              <w:rPr>
                <w:sz w:val="19"/>
              </w:rPr>
              <w:t>Above</w:t>
            </w:r>
          </w:p>
        </w:tc>
        <w:tc>
          <w:tcPr>
            <w:tcW w:type="dxa" w:w="3216"/>
            <w:shd w:val="clear" w:fill="EEF1F7"/>
          </w:tcPr>
          <w:p>
            <w:r>
              <w:rPr>
                <w:sz w:val="19"/>
              </w:rPr>
              <w:t>7757.64 vs 7065.16</w:t>
            </w:r>
          </w:p>
        </w:tc>
      </w:tr>
      <w:tr>
        <w:tc>
          <w:tcPr>
            <w:tcW w:type="dxa" w:w="3216"/>
          </w:tcPr>
          <w:p>
            <w:r>
              <w:rPr>
                <w:sz w:val="19"/>
              </w:rPr>
              <w:t>Stocks above 200-day</w:t>
            </w:r>
          </w:p>
        </w:tc>
        <w:tc>
          <w:tcPr>
            <w:tcW w:type="dxa" w:w="3216"/>
          </w:tcPr>
          <w:p>
            <w:r>
              <w:rPr>
                <w:sz w:val="19"/>
              </w:rPr>
              <w:t>71.44%</w:t>
            </w:r>
          </w:p>
        </w:tc>
        <w:tc>
          <w:tcPr>
            <w:tcW w:type="dxa" w:w="3216"/>
          </w:tcPr>
          <w:p>
            <w:r>
              <w:rPr>
                <w:sz w:val="19"/>
              </w:rPr>
              <w:t>broad</w:t>
            </w:r>
          </w:p>
        </w:tc>
      </w:tr>
      <w:tr>
        <w:tc>
          <w:tcPr>
            <w:tcW w:type="dxa" w:w="3216"/>
            <w:shd w:val="clear" w:fill="EEF1F7"/>
          </w:tcPr>
          <w:p>
            <w:r>
              <w:rPr>
                <w:sz w:val="19"/>
              </w:rPr>
              <w:t>Stocks above 50-day</w:t>
            </w:r>
          </w:p>
        </w:tc>
        <w:tc>
          <w:tcPr>
            <w:tcW w:type="dxa" w:w="3216"/>
            <w:shd w:val="clear" w:fill="EEF1F7"/>
          </w:tcPr>
          <w:p>
            <w:r>
              <w:rPr>
                <w:sz w:val="19"/>
              </w:rPr>
              <w:t>65.93%</w:t>
            </w:r>
          </w:p>
        </w:tc>
        <w:tc>
          <w:tcPr>
            <w:tcW w:type="dxa" w:w="3216"/>
            <w:shd w:val="clear" w:fill="EEF1F7"/>
          </w:tcPr>
          <w:p/>
        </w:tc>
      </w:tr>
      <w:tr>
        <w:tc>
          <w:tcPr>
            <w:tcW w:type="dxa" w:w="3216"/>
          </w:tcPr>
          <w:p>
            <w:r>
              <w:rPr>
                <w:sz w:val="19"/>
              </w:rPr>
              <w:t>New 52w highs vs lows</w:t>
            </w:r>
          </w:p>
        </w:tc>
        <w:tc>
          <w:tcPr>
            <w:tcW w:type="dxa" w:w="3216"/>
          </w:tcPr>
          <w:p>
            <w:r>
              <w:rPr>
                <w:sz w:val="19"/>
              </w:rPr>
              <w:t>2 vs 0</w:t>
            </w:r>
          </w:p>
        </w:tc>
        <w:tc>
          <w:tcPr>
            <w:tcW w:type="dxa" w:w="3216"/>
          </w:tcPr>
          <w:p/>
        </w:tc>
      </w:tr>
      <w:tr>
        <w:tc>
          <w:tcPr>
            <w:tcW w:type="dxa" w:w="3216"/>
            <w:shd w:val="clear" w:fill="EEF1F7"/>
          </w:tcPr>
          <w:p>
            <w:r>
              <w:rPr>
                <w:sz w:val="19"/>
              </w:rPr>
              <w:t>Advancers vs decliners</w:t>
            </w:r>
          </w:p>
        </w:tc>
        <w:tc>
          <w:tcPr>
            <w:tcW w:type="dxa" w:w="3216"/>
            <w:shd w:val="clear" w:fill="EEF1F7"/>
          </w:tcPr>
          <w:p>
            <w:r>
              <w:rPr>
                <w:sz w:val="19"/>
              </w:rPr>
              <w:t>1255 vs 678</w:t>
            </w:r>
          </w:p>
        </w:tc>
        <w:tc>
          <w:tcPr>
            <w:tcW w:type="dxa" w:w="3216"/>
            <w:shd w:val="clear" w:fill="EEF1F7"/>
          </w:tcPr>
          <w:p/>
        </w:tc>
      </w:tr>
      <w:tr>
        <w:tc>
          <w:tcPr>
            <w:tcW w:type="dxa" w:w="3216"/>
          </w:tcPr>
          <w:p>
            <w:r>
              <w:rPr>
                <w:sz w:val="19"/>
              </w:rPr>
              <w:t>VIX</w:t>
            </w:r>
          </w:p>
        </w:tc>
        <w:tc>
          <w:tcPr>
            <w:tcW w:type="dxa" w:w="3216"/>
          </w:tcPr>
          <w:p>
            <w:r>
              <w:rPr>
                <w:sz w:val="19"/>
              </w:rPr>
              <w:t>14.89</w:t>
            </w:r>
          </w:p>
        </w:tc>
        <w:tc>
          <w:tcPr>
            <w:tcW w:type="dxa" w:w="3216"/>
          </w:tcPr>
          <w:p>
            <w:r>
              <w:rPr>
                <w:sz w:val="19"/>
              </w:rPr>
              <w:t>calm</w:t>
            </w:r>
          </w:p>
        </w:tc>
      </w:tr>
      <w:tr>
        <w:tc>
          <w:tcPr>
            <w:tcW w:type="dxa" w:w="3216"/>
            <w:shd w:val="clear" w:fill="EEF1F7"/>
          </w:tcPr>
          <w:p>
            <w:r>
              <w:rPr>
                <w:sz w:val="19"/>
              </w:rPr>
              <w:t>Credit spreads</w:t>
            </w:r>
          </w:p>
        </w:tc>
        <w:tc>
          <w:tcPr>
            <w:tcW w:type="dxa" w:w="3216"/>
            <w:shd w:val="clear" w:fill="EEF1F7"/>
          </w:tcPr>
          <w:p>
            <w:r>
              <w:rPr>
                <w:sz w:val="19"/>
              </w:rPr>
              <w:t>n/a</w:t>
            </w:r>
          </w:p>
        </w:tc>
        <w:tc>
          <w:tcPr>
            <w:tcW w:type="dxa" w:w="3216"/>
            <w:shd w:val="clear" w:fill="EEF1F7"/>
          </w:tcPr>
          <w:p>
            <w:r>
              <w:rPr>
                <w:sz w:val="19"/>
              </w:rPr>
              <w:t>FRED pending</w:t>
            </w:r>
          </w:p>
        </w:tc>
      </w:tr>
      <w:tr>
        <w:tc>
          <w:tcPr>
            <w:tcW w:type="dxa" w:w="3216"/>
          </w:tcPr>
          <w:p>
            <w:r>
              <w:rPr>
                <w:sz w:val="19"/>
              </w:rPr>
              <w:t>Gold</w:t>
            </w:r>
          </w:p>
        </w:tc>
        <w:tc>
          <w:tcPr>
            <w:tcW w:type="dxa" w:w="3216"/>
          </w:tcPr>
          <w:p>
            <w:r>
              <w:rPr>
                <w:sz w:val="19"/>
              </w:rPr>
              <w:t>+8.7% wk</w:t>
            </w:r>
          </w:p>
        </w:tc>
        <w:tc>
          <w:tcPr>
            <w:tcW w:type="dxa" w:w="3216"/>
          </w:tcPr>
          <w:p>
            <w:r>
              <w:rPr>
                <w:sz w:val="19"/>
              </w:rPr>
              <w:t>the one gauge that turned</w:t>
            </w:r>
          </w:p>
        </w:tc>
      </w:tr>
      <w:tr>
        <w:tc>
          <w:tcPr>
            <w:tcW w:type="dxa" w:w="3216"/>
            <w:shd w:val="clear" w:fill="EEF1F7"/>
          </w:tcPr>
          <w:p>
            <w:r>
              <w:rPr>
                <w:sz w:val="19"/>
              </w:rPr>
              <w:t>High-yield (HYG)</w:t>
            </w:r>
          </w:p>
        </w:tc>
        <w:tc>
          <w:tcPr>
            <w:tcW w:type="dxa" w:w="3216"/>
            <w:shd w:val="clear" w:fill="EEF1F7"/>
          </w:tcPr>
          <w:p>
            <w:r>
              <w:rPr>
                <w:sz w:val="19"/>
              </w:rPr>
              <w:t>+0.7% wk</w:t>
            </w:r>
          </w:p>
        </w:tc>
        <w:tc>
          <w:tcPr>
            <w:tcW w:type="dxa" w:w="3216"/>
            <w:shd w:val="clear" w:fill="EEF1F7"/>
          </w:tcPr>
          <w:p>
            <w:r>
              <w:rPr>
                <w:sz w:val="19"/>
              </w:rPr>
              <w:t>calm</w:t>
            </w:r>
          </w:p>
        </w:tc>
      </w:tr>
      <w:tr>
        <w:tc>
          <w:tcPr>
            <w:tcW w:type="dxa" w:w="3216"/>
          </w:tcPr>
          <w:p>
            <w:r>
              <w:rPr>
                <w:sz w:val="19"/>
              </w:rPr>
              <w:t>US dollar (DXY)</w:t>
            </w:r>
          </w:p>
        </w:tc>
        <w:tc>
          <w:tcPr>
            <w:tcW w:type="dxa" w:w="3216"/>
          </w:tcPr>
          <w:p>
            <w:r>
              <w:rPr>
                <w:sz w:val="19"/>
              </w:rPr>
              <w:t>-0.2% wk</w:t>
            </w:r>
          </w:p>
        </w:tc>
        <w:tc>
          <w:tcPr>
            <w:tcW w:type="dxa" w:w="3216"/>
          </w:tcPr>
          <w:p>
            <w:r>
              <w:rPr>
                <w:sz w:val="19"/>
              </w:rPr>
              <w:t>soft, no flight bid</w:t>
            </w:r>
          </w:p>
        </w:tc>
      </w:tr>
    </w:tbl>
    <w:p/>
    <w:p>
      <w:r>
        <w:t>A healthy tape with one asterisk. Breadth is broad, the trend is up, credit and volatility are quiet. The asterisk is gold, and I'd weight it as a slow hedge rather than an alarm until junk or the dollar joins in.</w:t>
      </w:r>
    </w:p>
    <w:p>
      <w:r>
        <w:t>Scenarios for the next few weeks:</w:t>
      </w:r>
    </w:p>
    <w:p>
      <w:pPr>
        <w:pStyle w:val="ListBullet"/>
      </w:pPr>
      <w:r>
        <w:rPr>
          <w:b/>
        </w:rPr>
        <w:t>Base case (60%):</w:t>
      </w:r>
      <w:r>
        <w:t xml:space="preserve"> The rally holds and broadens. Rates stay high but steady, financials and industrials keep leading, REITs stay pressured, and gold's bid stays a background hedge rather than a warning. Grind higher with rotation, not a melt-up.</w:t>
      </w:r>
    </w:p>
    <w:p>
      <w:pPr>
        <w:pStyle w:val="ListBullet"/>
      </w:pPr>
      <w:r>
        <w:rPr>
          <w:b/>
        </w:rPr>
        <w:t>Bull case (20%):</w:t>
      </w:r>
      <w:r>
        <w:t xml:space="preserve"> Inflation cools into next week's data, the hike talk fades, and the money parked in gold and energy rotates back into the broad market. Breadth widens further and the laggard megacaps (chips, Apple) get a second wind on rank, not just price.</w:t>
      </w:r>
    </w:p>
    <w:p>
      <w:pPr>
        <w:pStyle w:val="ListBullet"/>
      </w:pPr>
      <w:r>
        <w:rPr>
          <w:b/>
        </w:rPr>
        <w:t>Bear case (20%):</w:t>
      </w:r>
      <w:r>
        <w:t xml:space="preserve"> Gold was early. The dollar or junk bonds turn, the Fed's hike chatter hardens into something real, and high-for-longer finally cracks the rate-sensitive stuff beyond REITs. A record high is a long way to fall from if the rate story sours.</w:t>
      </w:r>
    </w:p>
    <w:p>
      <w:r>
        <w:t>Stance: constructive and selective. Lean where the board and the rate math agree — financials, industrials — and respect that gold is telling you not to be complacent.</w:t>
      </w:r>
    </w:p>
    <w:p>
      <w:pPr>
        <w:pBdr>
          <w:bottom w:val="single" w:sz="6" w:space="1" w:color="C0C0C0"/>
        </w:pBdr>
      </w:pPr>
    </w:p>
    <w:p>
      <w:pPr>
        <w:spacing w:before="240" w:after="80"/>
      </w:pPr>
      <w:r>
        <w:rPr>
          <w:b/>
          <w:color w:val="1F3864"/>
          <w:sz w:val="30"/>
        </w:rPr>
        <w:t>9. The Algo (paper strategy — educational, not advice)</w:t>
      </w:r>
    </w:p>
    <w:p>
      <w:r>
        <w:t>The paper book had a rough week and I won't dress it up. Equity sits at $49,929, down 0.1% since the May 27 inception, against the S&amp;P's +3.2% and QQQ's -0.9% over the same stretch. Week-over-week it lost 1.0%, drawdown is -5.9%, and the lifetime record is unflattering: 51 closed trades, 13 winners, a 25% win rate, averaging -1.5% per trade.</w:t>
      </w:r>
    </w:p>
    <w:p>
      <w:r>
        <w:t>What closed this week reads like the rotation itself. The two winners were trailing exits — DaVita +8.4% and Simon Property +6.4%, both stopped out in profit after long holds. The losers were the REIT and hotel names getting flushed as that group fell down the board: Physicians Realty -4.2%, DiamondRock -4.4%, Ryman -4.8%, Host Hotels -6.0%, all quick stops, plus Progyny -16.4%. The system got thrown out of exactly the buildings the market was selling.</w:t>
      </w:r>
    </w:p>
    <w:p>
      <w:r>
        <w:t>The open book, meanwhile, is a wall of financials — MetLife +14.2%, Bank of America +13.6%, M&amp;T, JPMorgan, Citizens, plus fresh Victory Capital, MSA Safety and MillerKnoll entries this week. That's the strategy leaning into the same leadership the watchlist and the Theme keep pointing at. A 25% win rate with the equity roughly flat tells you the wins are bigger than the losses, which is the whole design: small stops, let winners trail.</w:t>
      </w:r>
    </w:p>
    <w:p>
      <w:r>
        <w:rPr>
          <w:i/>
        </w:rPr>
        <w:t>Methodology. The Algo is a long-only, rules-based paper strategy on a $50,000 notional sleeve, trading the same ~1,900-stock universe. A name is bought only if it clears every gate: its sector ranks near the top of the board with broad participation, earnings are growing year-over-year in both revenue and profit, it isn't already held, and it's past a 21-day cooldown. Qualifying setups are sorted into four conviction tiers by how many independent signals fire — from T1 (multiple 'strong' chart patterns, risked at 1.5% of the sleeve) down to T4 (relative-strength acceleration, 0.5%). Size is set by risk, not dollars: each trade is sized so a stop 2×ATR below entry costs only that tier's risk budget, capped at $2,000–$6,000. Exits are mechanical — scale out a third at +2R and a third at +4R (1R = the initial stop distance), trail the remainder by 2×ATR, book some after a +25% spike, and time out positions left flat after 25 trading days. New entries pause if the book is down 2% on the day or 8% from its peak. Signals are generated after the close and filled the next session at the live price plus 0.15% slippage. These are educational paper results — not advice, and not a live account.</w:t>
      </w:r>
    </w:p>
    <w:p>
      <w:pPr>
        <w:pBdr>
          <w:bottom w:val="single" w:sz="6" w:space="1" w:color="C0C0C0"/>
        </w:pBdr>
      </w:pPr>
    </w:p>
    <w:p>
      <w:pPr>
        <w:spacing w:before="240" w:after="80"/>
      </w:pPr>
      <w:r>
        <w:rPr>
          <w:b/>
          <w:color w:val="1F3864"/>
          <w:sz w:val="30"/>
        </w:rPr>
        <w:t>10. Key events next week</w:t>
      </w:r>
    </w:p>
    <w:p>
      <w:pPr>
        <w:pStyle w:val="ListBullet"/>
      </w:pPr>
      <w:r>
        <w:rPr>
          <w:b/>
        </w:rPr>
        <w:t>Initial jobless claims (Aug 13).</w:t>
      </w:r>
      <w:r>
        <w:t xml:space="preserve"> The real tell: claims sat at 199,000 last week — historically low — even as one payroll read looked ugly. If claims start creeping up, it hands the "cut, don't hike" camp at the Fed the argument, and it takes some pressure off the rate-sensitive groups the board just punished. A quiet print keeps high-for-longer alive.</w:t>
      </w:r>
    </w:p>
    <w:p>
      <w:pPr>
        <w:pStyle w:val="ListBullet"/>
      </w:pPr>
      <w:r>
        <w:rPr>
          <w:b/>
        </w:rPr>
        <w:t>The memory read from Korea.</w:t>
      </w:r>
      <w:r>
        <w:t xml:space="preserve"> Not a US event, but it lands here first. The KOSPI fell 5.1% on the week as SK Hynix and Samsung led an Asian chip selloff on a soft SanDisk/Western Digital outlook, a direct read on US memory (Micron). Meanwhile Taiwan rose 2.6% with TSMC's AI chain sold out. That split — logic strong, memory weak — is worth watching in how the US chip names trade next week.</w:t>
      </w:r>
    </w:p>
    <w:p>
      <w:pPr>
        <w:pStyle w:val="ListBullet"/>
      </w:pPr>
      <w:r>
        <w:rPr>
          <w:b/>
        </w:rPr>
        <w:t>Watch gold and the dollar together.</w:t>
      </w:r>
      <w:r>
        <w:t xml:space="preserve"> The single most useful thing you can do is check whether gold's hedge stays a solo act or gets company. If DXY bids or HYG rolls over alongside it, the bear scenario is getting live.</w:t>
      </w:r>
    </w:p>
    <w:p>
      <w:pPr>
        <w:pBdr>
          <w:bottom w:val="single" w:sz="6" w:space="1" w:color="C0C0C0"/>
        </w:pBdr>
      </w:pPr>
    </w:p>
    <w:p>
      <w:pPr>
        <w:spacing w:before="240" w:after="80"/>
      </w:pPr>
      <w:r>
        <w:rPr>
          <w:b/>
          <w:color w:val="1F3864"/>
          <w:sz w:val="30"/>
        </w:rPr>
        <w:t>11. Glossary</w:t>
      </w:r>
    </w:p>
    <w:p>
      <w:pPr>
        <w:pStyle w:val="ListBullet"/>
      </w:pPr>
      <w:r>
        <w:rPr>
          <w:b/>
        </w:rPr>
        <w:t>Our rank / the board:</w:t>
      </w:r>
      <w:r>
        <w:t xml:space="preserve"> we rank every US stock we track by relative strength, #1 strongest. "#10 in our system" = 10th-strongest of ~1,900.</w:t>
      </w:r>
    </w:p>
    <w:p>
      <w:pPr>
        <w:pStyle w:val="ListBullet"/>
      </w:pPr>
      <w:r>
        <w:rPr>
          <w:b/>
        </w:rPr>
        <w:t>Relative strength (RS):</w:t>
      </w:r>
      <w:r>
        <w:t xml:space="preserve"> performance versus the rest of the market, not in isolation. Rising RS = outperforming.</w:t>
      </w:r>
    </w:p>
    <w:p>
      <w:pPr>
        <w:pStyle w:val="ListBullet"/>
      </w:pPr>
      <w:r>
        <w:rPr>
          <w:b/>
        </w:rPr>
        <w:t>Moving averages (20/50/200-day):</w:t>
      </w:r>
      <w:r>
        <w:t xml:space="preserve"> the trend lines. A healthy uptrend has price above a rising 20-day, itself above the 200-day. "Extended" = stretched far above the 20-day, prone to a pullback.</w:t>
      </w:r>
    </w:p>
    <w:p>
      <w:pPr>
        <w:pStyle w:val="ListBullet"/>
      </w:pPr>
      <w:r>
        <w:rPr>
          <w:b/>
        </w:rPr>
        <w:t>VIX:</w:t>
      </w:r>
      <w:r>
        <w:t xml:space="preserve"> the market's fear gauge. Below 20 = calm.</w:t>
      </w:r>
    </w:p>
    <w:p>
      <w:pPr>
        <w:pStyle w:val="ListBullet"/>
      </w:pPr>
      <w:r>
        <w:rPr>
          <w:b/>
        </w:rPr>
        <w:t>Credit spreads:</w:t>
      </w:r>
      <w:r>
        <w:t xml:space="preserve"> extra yield demanded on risky corporate bonds versus safe government bonds. Widening = early warning; tight = calm. Marked n/a this week.</w:t>
      </w:r>
    </w:p>
    <w:p>
      <w:pPr>
        <w:pStyle w:val="ListBullet"/>
      </w:pPr>
      <w:r>
        <w:rPr>
          <w:b/>
        </w:rPr>
        <w:t>Treasury yields / 2s10s:</w:t>
      </w:r>
      <w:r>
        <w:t xml:space="preserve"> what the government pays to borrow for 10 years versus 2 years. A positive, steepening 2s10s (here +44bp) is the non-recession signal; a rising 10-year pressures expensive, long-duration stocks.</w:t>
      </w:r>
    </w:p>
    <w:p>
      <w:pPr>
        <w:pStyle w:val="ListBullet"/>
      </w:pPr>
      <w:r>
        <w:rPr>
          <w:b/>
        </w:rPr>
        <w:t>Breadth:</w:t>
      </w:r>
      <w:r>
        <w:t xml:space="preserve"> how many stocks participate. Most stocks above their 200-day = a broad, healthy rally.</w:t>
      </w:r>
    </w:p>
    <w:p>
      <w:pPr>
        <w:pStyle w:val="ListBullet"/>
      </w:pPr>
      <w:r>
        <w:rPr>
          <w:b/>
        </w:rPr>
        <w:t>High-yield / junk bonds:</w:t>
      </w:r>
      <w:r>
        <w:t xml:space="preserve"> bonds from riskier companies. Steady or rising = risk-on; falling = early credit stress.</w:t>
      </w:r>
    </w:p>
    <w:p>
      <w:pPr>
        <w:pStyle w:val="ListBullet"/>
      </w:pPr>
      <w:r>
        <w:rPr>
          <w:b/>
        </w:rPr>
        <w:t>Safe havens (gold, the dollar):</w:t>
      </w:r>
      <w:r>
        <w:t xml:space="preserve"> where money runs when it's scared. A gold rally during calm elsewhere can signal a slower, monetary worry rather than pure fear.</w:t>
      </w:r>
    </w:p>
    <w:p>
      <w:pPr>
        <w:pStyle w:val="ListBullet"/>
      </w:pPr>
      <w:r>
        <w:rPr>
          <w:b/>
        </w:rPr>
        <w:t>RRG leading/lagging:</w:t>
      </w:r>
      <w:r>
        <w:t xml:space="preserve"> shorthand for whether a group is gaining or losing relative strength and momentum together.</w:t>
      </w:r>
    </w:p>
    <w:p>
      <w:pPr>
        <w:pBdr>
          <w:bottom w:val="single" w:sz="6" w:space="1" w:color="C0C0C0"/>
        </w:pBdr>
      </w:pPr>
    </w:p>
    <w:p>
      <w:r>
        <w:t>The market printed a record while gold quietly hedged, and money walked out of REITs into hard assets and financials. That's a rotation with a rate story underneath it, not a panic. Stay leaned toward the leadership the board and the rate math both endorse, keep half an eye on whether gold's warning finds any friends, and don't chase the vertical pops just because they're green. Stay invested, stay selective, and we'll see you next Sunday.</w:t>
      </w:r>
    </w:p>
    <w:p>
      <w:r>
        <w:rPr>
          <w:i/>
        </w:rPr>
        <w:t>Educational market commentary, not financial advice. Watchlists are starting points for your own research, never recommendations.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