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The Fed Blinked, the Megacaps Carried, and the Board Quietly Reshuffled</w:t>
      </w:r>
    </w:p>
    <w:p>
      <w:r>
        <w:rPr>
          <w:i/>
        </w:rPr>
        <w:t>Weekly Market Newsletter · Issue for the week ending 2026-07-31</w:t>
      </w:r>
    </w:p>
    <w:p>
      <w:r>
        <w:t>The S&amp;P closed the week at 7,489.72, up about 1% and sitting only 1.6% under its June 2 record. That looks calm for a tape where the Fed just held rates through its loudest internal fight in a decade and Apple gave back 7% on an earnings call. Look under the index and it's messier: 1,087 stocks fell this week against 846 that rose. The average stock had a down week. A handful of trillion-dollar names did the lifting, and while they lifted, the board's actual leadership changed hands, out of chips and utilities, into IT consulting, refiners and financials. The gap between the index and the roster of ~1,900 names we rank every day is the story this week.</w:t>
      </w:r>
    </w:p>
    <w:p>
      <w:pPr>
        <w:pBdr>
          <w:bottom w:val="single" w:sz="6" w:space="1" w:color="C0C0C0"/>
        </w:pBdr>
      </w:pPr>
    </w:p>
    <w:p>
      <w:pPr>
        <w:spacing w:before="240" w:after="80"/>
      </w:pPr>
      <w:r>
        <w:rPr>
          <w:b/>
          <w:color w:val="1F3864"/>
          <w:sz w:val="30"/>
        </w:rPr>
        <w:t>1. The lead story: the Fed held, but it was a knife fight</w:t>
      </w:r>
    </w:p>
    <w:p>
      <w:r>
        <w:t>The Fed left its policy rate steady (fed-funds target upper sits at 3.63% on our sheet) despite three officials pushing for an outright hike, the biggest split on the committee since 2016. Prediction markets and at least one large shop had positioned for a surprise hike going in. It didn't come.</w:t>
      </w:r>
    </w:p>
    <w:p>
      <w:r>
        <w:t>You can see why they argued. CPI is still running 3.5% year over year, well north of target, which is the hawks' whole case. But the labor side is cooling: unemployment is 4.2%, the last payrolls print was a soft +57k, and weekly jobless claims ticked up to 197,000. Layoffs are still historically low, so no crisis, just a little air coming out. Sticky inflation against a softening job market splits a central bank down the middle.</w:t>
      </w:r>
    </w:p>
    <w:p>
      <w:r>
        <w:t>The bond market read it as dovish on balance. The 2-year yield dropped 14bp to 4.23% while the 10-year barely moved at 4.68%, steepening the 2s10s spread to a positive 45bp. A steeper curve with the front end falling is the market saying cuts are still the next big move, not hikes, whatever the three hawks want. That's oxygen for banks, which borrow short and lend long, and part of why financials keep climbing the board. The caveat: a 10-year still up near 4.7% keeps a boot on the most expensive, longest-duration stocks, and you can see that in where the chips are ranked.</w:t>
      </w:r>
    </w:p>
    <w:p>
      <w:pPr>
        <w:pBdr>
          <w:bottom w:val="single" w:sz="6" w:space="1" w:color="C0C0C0"/>
        </w:pBdr>
      </w:pPr>
    </w:p>
    <w:p>
      <w:pPr>
        <w:spacing w:before="240" w:after="80"/>
      </w:pPr>
      <w:r>
        <w:rPr>
          <w:b/>
          <w:color w:val="1F3864"/>
          <w:sz w:val="30"/>
        </w:rPr>
        <w:t>2. Apple ran into a wall it helped build</w:t>
      </w:r>
    </w:p>
    <w:p>
      <w:r>
        <w:t>Apple reported and lost 7.2% on the week, sliding from rank #145 down to #275, a 154-spot drop. The trigger wasn't demand. Tim Cook warned that a memory shortage is about to bite Apple's costs. Memory chips got scarce and expensive, and Apple buys a mountain of them.</w:t>
      </w:r>
    </w:p>
    <w:p>
      <w:r>
        <w:t xml:space="preserve">That same shortage is a gift to whoever </w:t>
      </w:r>
      <w:r>
        <w:rPr>
          <w:i/>
        </w:rPr>
        <w:t>makes</w:t>
      </w:r>
      <w:r>
        <w:t xml:space="preserve"> the memory, which is where the overseas tape gets interesting (more in section 4). The point for now: the thing hurting Apple's margin is the thing that eventually helps Micron and the Korean memory makers. One company's cost is another's revenue.</w:t>
      </w:r>
    </w:p>
    <w:p>
      <w:r>
        <w:t>The rest of megacap earnings cut the other way. Amazon jumped 17% after AWS margins came in strong enough to backstop a $220 billion AI spending plan. Microsoft ripped 21.8%. AbbVie slipped 3.2% as it trimmed its full-year profit outlook to absorb its Apogee acquisition, though it also won EU approval for RINVOQ in two new indications. The tape rewarded cloud and cash flow, and it punished anyone talking about rising input costs.</w:t>
      </w:r>
    </w:p>
    <w:p>
      <w:pPr>
        <w:pBdr>
          <w:bottom w:val="single" w:sz="6" w:space="1" w:color="C0C0C0"/>
        </w:pBdr>
      </w:pPr>
    </w:p>
    <w:p>
      <w:pPr>
        <w:spacing w:before="240" w:after="80"/>
      </w:pPr>
      <w:r>
        <w:rPr>
          <w:b/>
          <w:color w:val="1F3864"/>
          <w:sz w:val="30"/>
        </w:rPr>
        <w:t>3. Oil fell, and the refiners feasted</w:t>
      </w:r>
    </w:p>
    <w:p>
      <w:r>
        <w:t>Brent finished the week at 90.12, down 6.9%, and the path matters more than the endpoint: crude spiked nearly 4% mid-week on Middle-East and OPEC+ headlines, then gave it all back and more as US–Iran talks and supply chatter took over. Net, oil got cheaper.</w:t>
      </w:r>
    </w:p>
    <w:p>
      <w:r>
        <w:t xml:space="preserve">Cheaper crude is a feedstock discount for refiners, and our board lit up with them. Par Pacific sits at #2 (+11.2% on the week), World Kinect at #3, HF Sinclair at #8, PBF Energy at #11 (+17.3%), and Calumet at #15. Refiners buy crude and sell gasoline and diesel; when the input drops faster than the product, the spread they earn, the "crack," widens, and the stocks move. This is the </w:t>
      </w:r>
      <w:r>
        <w:rPr>
          <w:i/>
        </w:rPr>
        <w:t>opposite</w:t>
      </w:r>
      <w:r>
        <w:t xml:space="preserve"> trade from the integrated majors: ExxonMobil got cut to Neutral at BofA this week. Owning a refiner and owning an oil producer are two different bets on the same barrel, and the board is on the refiner side right now.</w:t>
      </w:r>
    </w:p>
    <w:p>
      <w:r>
        <w:t>Falling oil showed up nowhere else as stress. It's a supply-and-talks story, not a demand scare. That's the read I'd hold onto when you see a scary energy headline: check whether fear spread anywhere else. This week it didn't.</w:t>
      </w:r>
    </w:p>
    <w:p>
      <w:pPr>
        <w:pBdr>
          <w:bottom w:val="single" w:sz="6" w:space="1" w:color="C0C0C0"/>
        </w:pBdr>
      </w:pPr>
    </w:p>
    <w:p>
      <w:pPr>
        <w:spacing w:before="240" w:after="80"/>
      </w:pPr>
      <w:r>
        <w:rPr>
          <w:b/>
          <w:color w:val="1F3864"/>
          <w:sz w:val="30"/>
        </w:rPr>
        <w:t>4. The board reshuffled — and grading last month's calls</w:t>
      </w:r>
    </w:p>
    <w:p>
      <w:r>
        <w:t>The loudest sector move on our system was IT Consulting &amp; Other Services, which vaulted from #117 to #42 as a peer group. You can see it in the climbers list: Cognizant, EXL Service, EPAM, DXC and Everforth all rocketed up hundreds of ranks on double-digit price gains. On the other side, Agricultural Products cratered from #5 to #86, Electric and Multi-Utilities fell out of the top (#35→#106 and #40→#114), and Air Freight &amp; Logistics dropped from #32 to #102. Money left the defensive, rate-sensitive corners (utilities got hit as the long end stayed firm) and the slowing-freight names, and it chased services and cyclicals.</w:t>
      </w:r>
    </w:p>
    <w:p>
      <w:r>
        <w:t>Now, the three calls I made back on June 26. Overdue for a grade, so here they are, honestly.</w:t>
      </w:r>
    </w:p>
    <w:p>
      <w:r>
        <w:t>Prediction 1 — the biotech/Health Care wave holds its rank gains. Grade: B. The wave is alive: Crinetics sits at #1 on the board, Apogee at #10, Atai #12, Xencor #17. Biotech is leading. I can't confirm every original name (VKTX, RCUS, COGT) from this week's pack, so I won't pretend to, but the sector call was right.</w:t>
      </w:r>
    </w:p>
    <w:p>
      <w:r>
        <w:t>Prediction 2 — semis stay in the lower half, no top-20 peer reclaim. Grade: A. Nvidia ranks #1,446, TSM #1,613, Broadcom #1,232, Tesla dead last at #1,935. The chip complex never came back. Nvidia alone shed 523 rank spots this week.</w:t>
      </w:r>
    </w:p>
    <w:p>
      <w:r>
        <w:t>Prediction 3 — regime stays healthy: VIX under 20, breadth above 60%. Grade: A. VIX is 15.99, and 65.94% of stocks are above their 200-day. Both held with room to spare.</w:t>
      </w:r>
    </w:p>
    <w:p>
      <w:r>
        <w:t>Two out of three clean, one solid. I'll take it, and I'll flag that grading a call six weeks late is on me. These should have been closed out in early July.</w:t>
      </w:r>
    </w:p>
    <w:p>
      <w:pPr>
        <w:pBdr>
          <w:bottom w:val="single" w:sz="6" w:space="1" w:color="C0C0C0"/>
        </w:pBdr>
      </w:pPr>
    </w:p>
    <w:p>
      <w:pPr>
        <w:spacing w:before="240" w:after="80"/>
      </w:pPr>
      <w:r>
        <w:rPr>
          <w:b/>
          <w:color w:val="1F3864"/>
          <w:sz w:val="30"/>
        </w:rPr>
        <w:t>5. Theme of the week: reshoring, and why the money's in the robots, not the bricks</w:t>
      </w:r>
    </w:p>
    <w:p>
      <w:r>
        <w:t>Every few years a policy push shows up that's too big to trade as one stock, and rebuilding US factory capacity is this one. Think of it as a chain, the way you'd think about building a restaurant from an empty lot.</w:t>
      </w:r>
    </w:p>
    <w:p>
      <w:r>
        <w:t>First you need the raw stuff, the concrete and steel (Martin Marietta, Nucor, Steel Dynamics, Vulcan). Then you need the firms that pour the foundation and put up the building (Jacobs, Fluor, AECOM, Quanta, MasTec). Then the building has to be outfitted: the electrical backbone that powers it (Eaton, GE Vernova, Hubbell) and, more and more, the automation and scanning gear that runs the line (Emerson, Parker Hannifin, Rockwell, Zebra). Finally the output has to move: rail and warehouses (Union Pacific, CSX, Prologis, Old Dominion).</w:t>
      </w:r>
    </w:p>
    <w:p>
      <w:r>
        <w:t>Here's where the money sits right now. On our node-momentum scores (a 0–100 blend of rank, trend and price-vs-the-50-day, where 50 is the middle of the pack), Automation is the hottest link at 68, with Logistics right behind at 66. The raw materials link is middling at 47, the construction firms lag at 39, and, the surprise, the electrical-gear link is cold at 24. Theme momentum overall is flat, 44 now versus 46 a week ago.</w:t>
      </w:r>
    </w:p>
    <w:p>
      <w:r>
        <w:t xml:space="preserve">Read that chain and the market's telling you something specific: it's paying up for the equipment that outfits and moves goods through a plant, not the concrete-and-rebar early stages or the power gear. Zebra Technologies is the standout, momentum 86 and ranked #162 of ~1,900, the scanners and sensors that make an automated warehouse work. If you want the value angle instead of the momentum angle, Jacobs screens cheapest on growth-adjusted sales in the group (price-to-sales of 1.2 against 27% revenue growth). That's a screen, not a recommendation, and it's the </w:t>
      </w:r>
      <w:r>
        <w:rPr>
          <w:i/>
        </w:rPr>
        <w:t>lagging</w:t>
      </w:r>
      <w:r>
        <w:t xml:space="preserve"> link, so you'd be leaning against the tape.</w:t>
      </w:r>
    </w:p>
    <w:p>
      <w:r>
        <w:t>This is a curated lesson on one value chain, not a claim that reshoring is the whole market or a call to rotate into it. It's how a supply chain concentrates money at its busy points.</w:t>
      </w:r>
    </w:p>
    <w:p>
      <w:pPr>
        <w:pBdr>
          <w:bottom w:val="single" w:sz="6" w:space="1" w:color="C0C0C0"/>
        </w:pBdr>
      </w:pPr>
    </w:p>
    <w:p>
      <w:pPr>
        <w:spacing w:before="240" w:after="80"/>
      </w:pPr>
      <w:r>
        <w:rPr>
          <w:b/>
          <w:color w:val="1F3864"/>
          <w:sz w:val="30"/>
        </w:rPr>
        <w:t>6. Where the money is going</w:t>
      </w:r>
    </w:p>
    <w:p>
      <w:r>
        <w:t>The strongest names on the board, straight off the top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CRNX</w:t>
            </w:r>
          </w:p>
        </w:tc>
        <w:tc>
          <w:tcPr>
            <w:tcW w:type="dxa" w:w="1930"/>
          </w:tcPr>
          <w:p>
            <w:r>
              <w:rPr>
                <w:sz w:val="19"/>
              </w:rPr>
              <w:t>Crinetics Pharma</w:t>
            </w:r>
          </w:p>
        </w:tc>
        <w:tc>
          <w:tcPr>
            <w:tcW w:type="dxa" w:w="1930"/>
          </w:tcPr>
          <w:p>
            <w:r>
              <w:rPr>
                <w:sz w:val="19"/>
              </w:rPr>
              <w:t>Biotechnology</w:t>
            </w:r>
          </w:p>
        </w:tc>
        <w:tc>
          <w:tcPr>
            <w:tcW w:type="dxa" w:w="1930"/>
          </w:tcPr>
          <w:p>
            <w:r>
              <w:rPr>
                <w:sz w:val="19"/>
              </w:rPr>
              <w:t>-0.3%</w:t>
            </w:r>
          </w:p>
        </w:tc>
      </w:tr>
      <w:tr>
        <w:tc>
          <w:tcPr>
            <w:tcW w:type="dxa" w:w="1930"/>
            <w:shd w:val="clear" w:fill="EEF1F7"/>
          </w:tcPr>
          <w:p>
            <w:r>
              <w:rPr>
                <w:sz w:val="19"/>
              </w:rPr>
              <w:t>2</w:t>
            </w:r>
          </w:p>
        </w:tc>
        <w:tc>
          <w:tcPr>
            <w:tcW w:type="dxa" w:w="1930"/>
            <w:shd w:val="clear" w:fill="EEF1F7"/>
          </w:tcPr>
          <w:p>
            <w:r>
              <w:rPr>
                <w:sz w:val="19"/>
              </w:rPr>
              <w:t>PARR</w:t>
            </w:r>
          </w:p>
        </w:tc>
        <w:tc>
          <w:tcPr>
            <w:tcW w:type="dxa" w:w="1930"/>
            <w:shd w:val="clear" w:fill="EEF1F7"/>
          </w:tcPr>
          <w:p>
            <w:r>
              <w:rPr>
                <w:sz w:val="19"/>
              </w:rPr>
              <w:t>Par Pacific</w:t>
            </w:r>
          </w:p>
        </w:tc>
        <w:tc>
          <w:tcPr>
            <w:tcW w:type="dxa" w:w="1930"/>
            <w:shd w:val="clear" w:fill="EEF1F7"/>
          </w:tcPr>
          <w:p>
            <w:r>
              <w:rPr>
                <w:sz w:val="19"/>
              </w:rPr>
              <w:t>Oil &amp; Gas Refining</w:t>
            </w:r>
          </w:p>
        </w:tc>
        <w:tc>
          <w:tcPr>
            <w:tcW w:type="dxa" w:w="1930"/>
            <w:shd w:val="clear" w:fill="EEF1F7"/>
          </w:tcPr>
          <w:p>
            <w:r>
              <w:rPr>
                <w:sz w:val="19"/>
              </w:rPr>
              <w:t>+11.2%</w:t>
            </w:r>
          </w:p>
        </w:tc>
      </w:tr>
      <w:tr>
        <w:tc>
          <w:tcPr>
            <w:tcW w:type="dxa" w:w="1930"/>
          </w:tcPr>
          <w:p>
            <w:r>
              <w:rPr>
                <w:sz w:val="19"/>
              </w:rPr>
              <w:t>3</w:t>
            </w:r>
          </w:p>
        </w:tc>
        <w:tc>
          <w:tcPr>
            <w:tcW w:type="dxa" w:w="1930"/>
          </w:tcPr>
          <w:p>
            <w:r>
              <w:rPr>
                <w:sz w:val="19"/>
              </w:rPr>
              <w:t>WKC</w:t>
            </w:r>
          </w:p>
        </w:tc>
        <w:tc>
          <w:tcPr>
            <w:tcW w:type="dxa" w:w="1930"/>
          </w:tcPr>
          <w:p>
            <w:r>
              <w:rPr>
                <w:sz w:val="19"/>
              </w:rPr>
              <w:t>World Kinect</w:t>
            </w:r>
          </w:p>
        </w:tc>
        <w:tc>
          <w:tcPr>
            <w:tcW w:type="dxa" w:w="1930"/>
          </w:tcPr>
          <w:p>
            <w:r>
              <w:rPr>
                <w:sz w:val="19"/>
              </w:rPr>
              <w:t>Oil &amp; Gas Refining</w:t>
            </w:r>
          </w:p>
        </w:tc>
        <w:tc>
          <w:tcPr>
            <w:tcW w:type="dxa" w:w="1930"/>
          </w:tcPr>
          <w:p>
            <w:r>
              <w:rPr>
                <w:sz w:val="19"/>
              </w:rPr>
              <w:t>+4.5%</w:t>
            </w:r>
          </w:p>
        </w:tc>
      </w:tr>
      <w:tr>
        <w:tc>
          <w:tcPr>
            <w:tcW w:type="dxa" w:w="1930"/>
            <w:shd w:val="clear" w:fill="EEF1F7"/>
          </w:tcPr>
          <w:p>
            <w:r>
              <w:rPr>
                <w:sz w:val="19"/>
              </w:rPr>
              <w:t>4</w:t>
            </w:r>
          </w:p>
        </w:tc>
        <w:tc>
          <w:tcPr>
            <w:tcW w:type="dxa" w:w="1930"/>
            <w:shd w:val="clear" w:fill="EEF1F7"/>
          </w:tcPr>
          <w:p>
            <w:r>
              <w:rPr>
                <w:sz w:val="19"/>
              </w:rPr>
              <w:t>CAKE</w:t>
            </w:r>
          </w:p>
        </w:tc>
        <w:tc>
          <w:tcPr>
            <w:tcW w:type="dxa" w:w="1930"/>
            <w:shd w:val="clear" w:fill="EEF1F7"/>
          </w:tcPr>
          <w:p>
            <w:r>
              <w:rPr>
                <w:sz w:val="19"/>
              </w:rPr>
              <w:t>Cheesecake Factory</w:t>
            </w:r>
          </w:p>
        </w:tc>
        <w:tc>
          <w:tcPr>
            <w:tcW w:type="dxa" w:w="1930"/>
            <w:shd w:val="clear" w:fill="EEF1F7"/>
          </w:tcPr>
          <w:p>
            <w:r>
              <w:rPr>
                <w:sz w:val="19"/>
              </w:rPr>
              <w:t>Restaurants</w:t>
            </w:r>
          </w:p>
        </w:tc>
        <w:tc>
          <w:tcPr>
            <w:tcW w:type="dxa" w:w="1930"/>
            <w:shd w:val="clear" w:fill="EEF1F7"/>
          </w:tcPr>
          <w:p>
            <w:r>
              <w:rPr>
                <w:sz w:val="19"/>
              </w:rPr>
              <w:t>+19.7%</w:t>
            </w:r>
          </w:p>
        </w:tc>
      </w:tr>
      <w:tr>
        <w:tc>
          <w:tcPr>
            <w:tcW w:type="dxa" w:w="1930"/>
          </w:tcPr>
          <w:p>
            <w:r>
              <w:rPr>
                <w:sz w:val="19"/>
              </w:rPr>
              <w:t>5</w:t>
            </w:r>
          </w:p>
        </w:tc>
        <w:tc>
          <w:tcPr>
            <w:tcW w:type="dxa" w:w="1930"/>
          </w:tcPr>
          <w:p>
            <w:r>
              <w:rPr>
                <w:sz w:val="19"/>
              </w:rPr>
              <w:t>PYPL</w:t>
            </w:r>
          </w:p>
        </w:tc>
        <w:tc>
          <w:tcPr>
            <w:tcW w:type="dxa" w:w="1930"/>
          </w:tcPr>
          <w:p>
            <w:r>
              <w:rPr>
                <w:sz w:val="19"/>
              </w:rPr>
              <w:t>PayPal</w:t>
            </w:r>
          </w:p>
        </w:tc>
        <w:tc>
          <w:tcPr>
            <w:tcW w:type="dxa" w:w="1930"/>
          </w:tcPr>
          <w:p>
            <w:r>
              <w:rPr>
                <w:sz w:val="19"/>
              </w:rPr>
              <w:t>Payments</w:t>
            </w:r>
          </w:p>
        </w:tc>
        <w:tc>
          <w:tcPr>
            <w:tcW w:type="dxa" w:w="1930"/>
          </w:tcPr>
          <w:p>
            <w:r>
              <w:rPr>
                <w:sz w:val="19"/>
              </w:rPr>
              <w:t>+1.9%</w:t>
            </w:r>
          </w:p>
        </w:tc>
      </w:tr>
      <w:tr>
        <w:tc>
          <w:tcPr>
            <w:tcW w:type="dxa" w:w="1930"/>
            <w:shd w:val="clear" w:fill="EEF1F7"/>
          </w:tcPr>
          <w:p>
            <w:r>
              <w:rPr>
                <w:sz w:val="19"/>
              </w:rPr>
              <w:t>6</w:t>
            </w:r>
          </w:p>
        </w:tc>
        <w:tc>
          <w:tcPr>
            <w:tcW w:type="dxa" w:w="1930"/>
            <w:shd w:val="clear" w:fill="EEF1F7"/>
          </w:tcPr>
          <w:p>
            <w:r>
              <w:rPr>
                <w:sz w:val="19"/>
              </w:rPr>
              <w:t>GEF</w:t>
            </w:r>
          </w:p>
        </w:tc>
        <w:tc>
          <w:tcPr>
            <w:tcW w:type="dxa" w:w="1930"/>
            <w:shd w:val="clear" w:fill="EEF1F7"/>
          </w:tcPr>
          <w:p>
            <w:r>
              <w:rPr>
                <w:sz w:val="19"/>
              </w:rPr>
              <w:t>Greif</w:t>
            </w:r>
          </w:p>
        </w:tc>
        <w:tc>
          <w:tcPr>
            <w:tcW w:type="dxa" w:w="1930"/>
            <w:shd w:val="clear" w:fill="EEF1F7"/>
          </w:tcPr>
          <w:p>
            <w:r>
              <w:rPr>
                <w:sz w:val="19"/>
              </w:rPr>
              <w:t>Containers</w:t>
            </w:r>
          </w:p>
        </w:tc>
        <w:tc>
          <w:tcPr>
            <w:tcW w:type="dxa" w:w="1930"/>
            <w:shd w:val="clear" w:fill="EEF1F7"/>
          </w:tcPr>
          <w:p>
            <w:r>
              <w:rPr>
                <w:sz w:val="19"/>
              </w:rPr>
              <w:t>+10.1%</w:t>
            </w:r>
          </w:p>
        </w:tc>
      </w:tr>
      <w:tr>
        <w:tc>
          <w:tcPr>
            <w:tcW w:type="dxa" w:w="1930"/>
          </w:tcPr>
          <w:p>
            <w:r>
              <w:rPr>
                <w:sz w:val="19"/>
              </w:rPr>
              <w:t>7</w:t>
            </w:r>
          </w:p>
        </w:tc>
        <w:tc>
          <w:tcPr>
            <w:tcW w:type="dxa" w:w="1930"/>
          </w:tcPr>
          <w:p>
            <w:r>
              <w:rPr>
                <w:sz w:val="19"/>
              </w:rPr>
              <w:t>SAFT</w:t>
            </w:r>
          </w:p>
        </w:tc>
        <w:tc>
          <w:tcPr>
            <w:tcW w:type="dxa" w:w="1930"/>
          </w:tcPr>
          <w:p>
            <w:r>
              <w:rPr>
                <w:sz w:val="19"/>
              </w:rPr>
              <w:t>Safety Insurance</w:t>
            </w:r>
          </w:p>
        </w:tc>
        <w:tc>
          <w:tcPr>
            <w:tcW w:type="dxa" w:w="1930"/>
          </w:tcPr>
          <w:p>
            <w:r>
              <w:rPr>
                <w:sz w:val="19"/>
              </w:rPr>
              <w:t>P&amp;C Insurance</w:t>
            </w:r>
          </w:p>
        </w:tc>
        <w:tc>
          <w:tcPr>
            <w:tcW w:type="dxa" w:w="1930"/>
          </w:tcPr>
          <w:p>
            <w:r>
              <w:rPr>
                <w:sz w:val="19"/>
              </w:rPr>
              <w:t>+0.2%</w:t>
            </w:r>
          </w:p>
        </w:tc>
      </w:tr>
      <w:tr>
        <w:tc>
          <w:tcPr>
            <w:tcW w:type="dxa" w:w="1930"/>
            <w:shd w:val="clear" w:fill="EEF1F7"/>
          </w:tcPr>
          <w:p>
            <w:r>
              <w:rPr>
                <w:sz w:val="19"/>
              </w:rPr>
              <w:t>8</w:t>
            </w:r>
          </w:p>
        </w:tc>
        <w:tc>
          <w:tcPr>
            <w:tcW w:type="dxa" w:w="1930"/>
            <w:shd w:val="clear" w:fill="EEF1F7"/>
          </w:tcPr>
          <w:p>
            <w:r>
              <w:rPr>
                <w:sz w:val="19"/>
              </w:rPr>
              <w:t>DINO</w:t>
            </w:r>
          </w:p>
        </w:tc>
        <w:tc>
          <w:tcPr>
            <w:tcW w:type="dxa" w:w="1930"/>
            <w:shd w:val="clear" w:fill="EEF1F7"/>
          </w:tcPr>
          <w:p>
            <w:r>
              <w:rPr>
                <w:sz w:val="19"/>
              </w:rPr>
              <w:t>HF Sinclair</w:t>
            </w:r>
          </w:p>
        </w:tc>
        <w:tc>
          <w:tcPr>
            <w:tcW w:type="dxa" w:w="1930"/>
            <w:shd w:val="clear" w:fill="EEF1F7"/>
          </w:tcPr>
          <w:p>
            <w:r>
              <w:rPr>
                <w:sz w:val="19"/>
              </w:rPr>
              <w:t>Oil &amp; Gas Refining</w:t>
            </w:r>
          </w:p>
        </w:tc>
        <w:tc>
          <w:tcPr>
            <w:tcW w:type="dxa" w:w="1930"/>
            <w:shd w:val="clear" w:fill="EEF1F7"/>
          </w:tcPr>
          <w:p>
            <w:r>
              <w:rPr>
                <w:sz w:val="19"/>
              </w:rPr>
              <w:t>+3.6%</w:t>
            </w:r>
          </w:p>
        </w:tc>
      </w:tr>
      <w:tr>
        <w:tc>
          <w:tcPr>
            <w:tcW w:type="dxa" w:w="1930"/>
          </w:tcPr>
          <w:p>
            <w:r>
              <w:rPr>
                <w:sz w:val="19"/>
              </w:rPr>
              <w:t>9</w:t>
            </w:r>
          </w:p>
        </w:tc>
        <w:tc>
          <w:tcPr>
            <w:tcW w:type="dxa" w:w="1930"/>
          </w:tcPr>
          <w:p>
            <w:r>
              <w:rPr>
                <w:sz w:val="19"/>
              </w:rPr>
              <w:t>FBP</w:t>
            </w:r>
          </w:p>
        </w:tc>
        <w:tc>
          <w:tcPr>
            <w:tcW w:type="dxa" w:w="1930"/>
          </w:tcPr>
          <w:p>
            <w:r>
              <w:rPr>
                <w:sz w:val="19"/>
              </w:rPr>
              <w:t>First BanCorp (PR)</w:t>
            </w:r>
          </w:p>
        </w:tc>
        <w:tc>
          <w:tcPr>
            <w:tcW w:type="dxa" w:w="1930"/>
          </w:tcPr>
          <w:p>
            <w:r>
              <w:rPr>
                <w:sz w:val="19"/>
              </w:rPr>
              <w:t>Regional Banks</w:t>
            </w:r>
          </w:p>
        </w:tc>
        <w:tc>
          <w:tcPr>
            <w:tcW w:type="dxa" w:w="1930"/>
          </w:tcPr>
          <w:p>
            <w:r>
              <w:rPr>
                <w:sz w:val="19"/>
              </w:rPr>
              <w:t>+0.4%</w:t>
            </w:r>
          </w:p>
        </w:tc>
      </w:tr>
      <w:tr>
        <w:tc>
          <w:tcPr>
            <w:tcW w:type="dxa" w:w="1930"/>
            <w:shd w:val="clear" w:fill="EEF1F7"/>
          </w:tcPr>
          <w:p>
            <w:r>
              <w:rPr>
                <w:sz w:val="19"/>
              </w:rPr>
              <w:t>10</w:t>
            </w:r>
          </w:p>
        </w:tc>
        <w:tc>
          <w:tcPr>
            <w:tcW w:type="dxa" w:w="1930"/>
            <w:shd w:val="clear" w:fill="EEF1F7"/>
          </w:tcPr>
          <w:p>
            <w:r>
              <w:rPr>
                <w:sz w:val="19"/>
              </w:rPr>
              <w:t>APGE</w:t>
            </w:r>
          </w:p>
        </w:tc>
        <w:tc>
          <w:tcPr>
            <w:tcW w:type="dxa" w:w="1930"/>
            <w:shd w:val="clear" w:fill="EEF1F7"/>
          </w:tcPr>
          <w:p>
            <w:r>
              <w:rPr>
                <w:sz w:val="19"/>
              </w:rPr>
              <w:t>Apogee Therapeutics</w:t>
            </w:r>
          </w:p>
        </w:tc>
        <w:tc>
          <w:tcPr>
            <w:tcW w:type="dxa" w:w="1930"/>
            <w:shd w:val="clear" w:fill="EEF1F7"/>
          </w:tcPr>
          <w:p>
            <w:r>
              <w:rPr>
                <w:sz w:val="19"/>
              </w:rPr>
              <w:t>Biotechnology</w:t>
            </w:r>
          </w:p>
        </w:tc>
        <w:tc>
          <w:tcPr>
            <w:tcW w:type="dxa" w:w="1930"/>
            <w:shd w:val="clear" w:fill="EEF1F7"/>
          </w:tcPr>
          <w:p>
            <w:r>
              <w:rPr>
                <w:sz w:val="19"/>
              </w:rPr>
              <w:t>-0.1%</w:t>
            </w:r>
          </w:p>
        </w:tc>
      </w:tr>
    </w:tbl>
    <w:p/>
    <w:p>
      <w:r>
        <w:t xml:space="preserve">Four clusters do the work here: refiners (#2, #3, #8, and PBF at #11), biotech (#1, #10, plus Atai and Xencor further down), payments and financials (PayPal, insurers, regional banks), and consumer cyclicals (Cheesecake at #4 up nearly 20%, with Lithia and Penske auto retail rounding out the top 20). Notice what's </w:t>
      </w:r>
      <w:r>
        <w:rPr>
          <w:i/>
        </w:rPr>
        <w:t>not</w:t>
      </w:r>
      <w:r>
        <w:t xml:space="preserve"> there: not a single chip, not a single utility.</w:t>
      </w:r>
    </w:p>
    <w:p>
      <w:r>
        <w:t>The weekly climbers show the same rotation in motion: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Ticker</w:t>
            </w:r>
          </w:p>
        </w:tc>
        <w:tc>
          <w:tcPr>
            <w:tcW w:type="dxa" w:w="2412"/>
            <w:shd w:val="clear" w:fill="1F3864"/>
          </w:tcPr>
          <w:p>
            <w:r>
              <w:rPr>
                <w:b/>
                <w:color w:val="FFFFFF"/>
                <w:sz w:val="19"/>
              </w:rPr>
              <w:t>Sector</w:t>
            </w:r>
          </w:p>
        </w:tc>
        <w:tc>
          <w:tcPr>
            <w:tcW w:type="dxa" w:w="2412"/>
            <w:shd w:val="clear" w:fill="1F3864"/>
          </w:tcPr>
          <w:p>
            <w:r>
              <w:rPr>
                <w:b/>
                <w:color w:val="FFFFFF"/>
                <w:sz w:val="19"/>
              </w:rPr>
              <w:t>Rank: wk ago → now</w:t>
            </w:r>
          </w:p>
        </w:tc>
        <w:tc>
          <w:tcPr>
            <w:tcW w:type="dxa" w:w="2412"/>
            <w:shd w:val="clear" w:fill="1F3864"/>
          </w:tcPr>
          <w:p>
            <w:r>
              <w:rPr>
                <w:b/>
                <w:color w:val="FFFFFF"/>
                <w:sz w:val="19"/>
              </w:rPr>
              <w:t>Wk %</w:t>
            </w:r>
          </w:p>
        </w:tc>
      </w:tr>
      <w:tr>
        <w:tc>
          <w:tcPr>
            <w:tcW w:type="dxa" w:w="2412"/>
          </w:tcPr>
          <w:p>
            <w:r>
              <w:rPr>
                <w:sz w:val="19"/>
              </w:rPr>
              <w:t>MKTX</w:t>
            </w:r>
          </w:p>
        </w:tc>
        <w:tc>
          <w:tcPr>
            <w:tcW w:type="dxa" w:w="2412"/>
          </w:tcPr>
          <w:p>
            <w:r>
              <w:rPr>
                <w:sz w:val="19"/>
              </w:rPr>
              <w:t>Financials</w:t>
            </w:r>
          </w:p>
        </w:tc>
        <w:tc>
          <w:tcPr>
            <w:tcW w:type="dxa" w:w="2412"/>
          </w:tcPr>
          <w:p>
            <w:r>
              <w:rPr>
                <w:sz w:val="19"/>
              </w:rPr>
              <w:t>1576 → 206</w:t>
            </w:r>
          </w:p>
        </w:tc>
        <w:tc>
          <w:tcPr>
            <w:tcW w:type="dxa" w:w="2412"/>
          </w:tcPr>
          <w:p>
            <w:r>
              <w:rPr>
                <w:sz w:val="19"/>
              </w:rPr>
              <w:t>+39.1%</w:t>
            </w:r>
          </w:p>
        </w:tc>
      </w:tr>
      <w:tr>
        <w:tc>
          <w:tcPr>
            <w:tcW w:type="dxa" w:w="2412"/>
            <w:shd w:val="clear" w:fill="EEF1F7"/>
          </w:tcPr>
          <w:p>
            <w:r>
              <w:rPr>
                <w:sz w:val="19"/>
              </w:rPr>
              <w:t>CTSH</w:t>
            </w:r>
          </w:p>
        </w:tc>
        <w:tc>
          <w:tcPr>
            <w:tcW w:type="dxa" w:w="2412"/>
            <w:shd w:val="clear" w:fill="EEF1F7"/>
          </w:tcPr>
          <w:p>
            <w:r>
              <w:rPr>
                <w:sz w:val="19"/>
              </w:rPr>
              <w:t>Info Tech</w:t>
            </w:r>
          </w:p>
        </w:tc>
        <w:tc>
          <w:tcPr>
            <w:tcW w:type="dxa" w:w="2412"/>
            <w:shd w:val="clear" w:fill="EEF1F7"/>
          </w:tcPr>
          <w:p>
            <w:r>
              <w:rPr>
                <w:sz w:val="19"/>
              </w:rPr>
              <w:t>1371 → 338</w:t>
            </w:r>
          </w:p>
        </w:tc>
        <w:tc>
          <w:tcPr>
            <w:tcW w:type="dxa" w:w="2412"/>
            <w:shd w:val="clear" w:fill="EEF1F7"/>
          </w:tcPr>
          <w:p>
            <w:r>
              <w:rPr>
                <w:sz w:val="19"/>
              </w:rPr>
              <w:t>+21.8%</w:t>
            </w:r>
          </w:p>
        </w:tc>
      </w:tr>
      <w:tr>
        <w:tc>
          <w:tcPr>
            <w:tcW w:type="dxa" w:w="2412"/>
          </w:tcPr>
          <w:p>
            <w:r>
              <w:rPr>
                <w:sz w:val="19"/>
              </w:rPr>
              <w:t>MBIN</w:t>
            </w:r>
          </w:p>
        </w:tc>
        <w:tc>
          <w:tcPr>
            <w:tcW w:type="dxa" w:w="2412"/>
          </w:tcPr>
          <w:p>
            <w:r>
              <w:rPr>
                <w:sz w:val="19"/>
              </w:rPr>
              <w:t>Financials</w:t>
            </w:r>
          </w:p>
        </w:tc>
        <w:tc>
          <w:tcPr>
            <w:tcW w:type="dxa" w:w="2412"/>
          </w:tcPr>
          <w:p>
            <w:r>
              <w:rPr>
                <w:sz w:val="19"/>
              </w:rPr>
              <w:t>1287 → 303</w:t>
            </w:r>
          </w:p>
        </w:tc>
        <w:tc>
          <w:tcPr>
            <w:tcW w:type="dxa" w:w="2412"/>
          </w:tcPr>
          <w:p>
            <w:r>
              <w:rPr>
                <w:sz w:val="19"/>
              </w:rPr>
              <w:t>+15.7%</w:t>
            </w:r>
          </w:p>
        </w:tc>
      </w:tr>
      <w:tr>
        <w:tc>
          <w:tcPr>
            <w:tcW w:type="dxa" w:w="2412"/>
            <w:shd w:val="clear" w:fill="EEF1F7"/>
          </w:tcPr>
          <w:p>
            <w:r>
              <w:rPr>
                <w:sz w:val="19"/>
              </w:rPr>
              <w:t>AXTA</w:t>
            </w:r>
          </w:p>
        </w:tc>
        <w:tc>
          <w:tcPr>
            <w:tcW w:type="dxa" w:w="2412"/>
            <w:shd w:val="clear" w:fill="EEF1F7"/>
          </w:tcPr>
          <w:p>
            <w:r>
              <w:rPr>
                <w:sz w:val="19"/>
              </w:rPr>
              <w:t>Materials</w:t>
            </w:r>
          </w:p>
        </w:tc>
        <w:tc>
          <w:tcPr>
            <w:tcW w:type="dxa" w:w="2412"/>
            <w:shd w:val="clear" w:fill="EEF1F7"/>
          </w:tcPr>
          <w:p>
            <w:r>
              <w:rPr>
                <w:sz w:val="19"/>
              </w:rPr>
              <w:t>1321 → 346</w:t>
            </w:r>
          </w:p>
        </w:tc>
        <w:tc>
          <w:tcPr>
            <w:tcW w:type="dxa" w:w="2412"/>
            <w:shd w:val="clear" w:fill="EEF1F7"/>
          </w:tcPr>
          <w:p>
            <w:r>
              <w:rPr>
                <w:sz w:val="19"/>
              </w:rPr>
              <w:t>+9.3%</w:t>
            </w:r>
          </w:p>
        </w:tc>
      </w:tr>
      <w:tr>
        <w:tc>
          <w:tcPr>
            <w:tcW w:type="dxa" w:w="2412"/>
          </w:tcPr>
          <w:p>
            <w:r>
              <w:rPr>
                <w:sz w:val="19"/>
              </w:rPr>
              <w:t>EXLS</w:t>
            </w:r>
          </w:p>
        </w:tc>
        <w:tc>
          <w:tcPr>
            <w:tcW w:type="dxa" w:w="2412"/>
          </w:tcPr>
          <w:p>
            <w:r>
              <w:rPr>
                <w:sz w:val="19"/>
              </w:rPr>
              <w:t>Industrials</w:t>
            </w:r>
          </w:p>
        </w:tc>
        <w:tc>
          <w:tcPr>
            <w:tcW w:type="dxa" w:w="2412"/>
          </w:tcPr>
          <w:p>
            <w:r>
              <w:rPr>
                <w:sz w:val="19"/>
              </w:rPr>
              <w:t>1244 → 296</w:t>
            </w:r>
          </w:p>
        </w:tc>
        <w:tc>
          <w:tcPr>
            <w:tcW w:type="dxa" w:w="2412"/>
          </w:tcPr>
          <w:p>
            <w:r>
              <w:rPr>
                <w:sz w:val="19"/>
              </w:rPr>
              <w:t>+22.6%</w:t>
            </w:r>
          </w:p>
        </w:tc>
      </w:tr>
      <w:tr>
        <w:tc>
          <w:tcPr>
            <w:tcW w:type="dxa" w:w="2412"/>
            <w:shd w:val="clear" w:fill="EEF1F7"/>
          </w:tcPr>
          <w:p>
            <w:r>
              <w:rPr>
                <w:sz w:val="19"/>
              </w:rPr>
              <w:t>EFOR</w:t>
            </w:r>
          </w:p>
        </w:tc>
        <w:tc>
          <w:tcPr>
            <w:tcW w:type="dxa" w:w="2412"/>
            <w:shd w:val="clear" w:fill="EEF1F7"/>
          </w:tcPr>
          <w:p>
            <w:r>
              <w:rPr>
                <w:sz w:val="19"/>
              </w:rPr>
              <w:t>Info Tech</w:t>
            </w:r>
          </w:p>
        </w:tc>
        <w:tc>
          <w:tcPr>
            <w:tcW w:type="dxa" w:w="2412"/>
            <w:shd w:val="clear" w:fill="EEF1F7"/>
          </w:tcPr>
          <w:p>
            <w:r>
              <w:rPr>
                <w:sz w:val="19"/>
              </w:rPr>
              <w:t>1068 → 136</w:t>
            </w:r>
          </w:p>
        </w:tc>
        <w:tc>
          <w:tcPr>
            <w:tcW w:type="dxa" w:w="2412"/>
            <w:shd w:val="clear" w:fill="EEF1F7"/>
          </w:tcPr>
          <w:p>
            <w:r>
              <w:rPr>
                <w:sz w:val="19"/>
              </w:rPr>
              <w:t>+38.1%</w:t>
            </w:r>
          </w:p>
        </w:tc>
      </w:tr>
      <w:tr>
        <w:tc>
          <w:tcPr>
            <w:tcW w:type="dxa" w:w="2412"/>
          </w:tcPr>
          <w:p>
            <w:r>
              <w:rPr>
                <w:sz w:val="19"/>
              </w:rPr>
              <w:t>AWI</w:t>
            </w:r>
          </w:p>
        </w:tc>
        <w:tc>
          <w:tcPr>
            <w:tcW w:type="dxa" w:w="2412"/>
          </w:tcPr>
          <w:p>
            <w:r>
              <w:rPr>
                <w:sz w:val="19"/>
              </w:rPr>
              <w:t>Industrials</w:t>
            </w:r>
          </w:p>
        </w:tc>
        <w:tc>
          <w:tcPr>
            <w:tcW w:type="dxa" w:w="2412"/>
          </w:tcPr>
          <w:p>
            <w:r>
              <w:rPr>
                <w:sz w:val="19"/>
              </w:rPr>
              <w:t>1195 → 272</w:t>
            </w:r>
          </w:p>
        </w:tc>
        <w:tc>
          <w:tcPr>
            <w:tcW w:type="dxa" w:w="2412"/>
          </w:tcPr>
          <w:p>
            <w:r>
              <w:rPr>
                <w:sz w:val="19"/>
              </w:rPr>
              <w:t>+8.7%</w:t>
            </w:r>
          </w:p>
        </w:tc>
      </w:tr>
      <w:tr>
        <w:tc>
          <w:tcPr>
            <w:tcW w:type="dxa" w:w="2412"/>
            <w:shd w:val="clear" w:fill="EEF1F7"/>
          </w:tcPr>
          <w:p>
            <w:r>
              <w:rPr>
                <w:sz w:val="19"/>
              </w:rPr>
              <w:t>EPAM</w:t>
            </w:r>
          </w:p>
        </w:tc>
        <w:tc>
          <w:tcPr>
            <w:tcW w:type="dxa" w:w="2412"/>
            <w:shd w:val="clear" w:fill="EEF1F7"/>
          </w:tcPr>
          <w:p>
            <w:r>
              <w:rPr>
                <w:sz w:val="19"/>
              </w:rPr>
              <w:t>Info Tech</w:t>
            </w:r>
          </w:p>
        </w:tc>
        <w:tc>
          <w:tcPr>
            <w:tcW w:type="dxa" w:w="2412"/>
            <w:shd w:val="clear" w:fill="EEF1F7"/>
          </w:tcPr>
          <w:p>
            <w:r>
              <w:rPr>
                <w:sz w:val="19"/>
              </w:rPr>
              <w:t>1231 → 353</w:t>
            </w:r>
          </w:p>
        </w:tc>
        <w:tc>
          <w:tcPr>
            <w:tcW w:type="dxa" w:w="2412"/>
            <w:shd w:val="clear" w:fill="EEF1F7"/>
          </w:tcPr>
          <w:p>
            <w:r>
              <w:rPr>
                <w:sz w:val="19"/>
              </w:rPr>
              <w:t>+17.5%</w:t>
            </w:r>
          </w:p>
        </w:tc>
      </w:tr>
      <w:tr>
        <w:tc>
          <w:tcPr>
            <w:tcW w:type="dxa" w:w="2412"/>
          </w:tcPr>
          <w:p>
            <w:r>
              <w:rPr>
                <w:sz w:val="19"/>
              </w:rPr>
              <w:t>GRMN</w:t>
            </w:r>
          </w:p>
        </w:tc>
        <w:tc>
          <w:tcPr>
            <w:tcW w:type="dxa" w:w="2412"/>
          </w:tcPr>
          <w:p>
            <w:r>
              <w:rPr>
                <w:sz w:val="19"/>
              </w:rPr>
              <w:t>Cons. Disc.</w:t>
            </w:r>
          </w:p>
        </w:tc>
        <w:tc>
          <w:tcPr>
            <w:tcW w:type="dxa" w:w="2412"/>
          </w:tcPr>
          <w:p>
            <w:r>
              <w:rPr>
                <w:sz w:val="19"/>
              </w:rPr>
              <w:t>930 → 114</w:t>
            </w:r>
          </w:p>
        </w:tc>
        <w:tc>
          <w:tcPr>
            <w:tcW w:type="dxa" w:w="2412"/>
          </w:tcPr>
          <w:p>
            <w:r>
              <w:rPr>
                <w:sz w:val="19"/>
              </w:rPr>
              <w:t>+20.9%</w:t>
            </w:r>
          </w:p>
        </w:tc>
      </w:tr>
      <w:tr>
        <w:tc>
          <w:tcPr>
            <w:tcW w:type="dxa" w:w="2412"/>
            <w:shd w:val="clear" w:fill="EEF1F7"/>
          </w:tcPr>
          <w:p>
            <w:r>
              <w:rPr>
                <w:sz w:val="19"/>
              </w:rPr>
              <w:t>ITRI</w:t>
            </w:r>
          </w:p>
        </w:tc>
        <w:tc>
          <w:tcPr>
            <w:tcW w:type="dxa" w:w="2412"/>
            <w:shd w:val="clear" w:fill="EEF1F7"/>
          </w:tcPr>
          <w:p>
            <w:r>
              <w:rPr>
                <w:sz w:val="19"/>
              </w:rPr>
              <w:t>Info Tech</w:t>
            </w:r>
          </w:p>
        </w:tc>
        <w:tc>
          <w:tcPr>
            <w:tcW w:type="dxa" w:w="2412"/>
            <w:shd w:val="clear" w:fill="EEF1F7"/>
          </w:tcPr>
          <w:p>
            <w:r>
              <w:rPr>
                <w:sz w:val="19"/>
              </w:rPr>
              <w:t>1000 → 186</w:t>
            </w:r>
          </w:p>
        </w:tc>
        <w:tc>
          <w:tcPr>
            <w:tcW w:type="dxa" w:w="2412"/>
            <w:shd w:val="clear" w:fill="EEF1F7"/>
          </w:tcPr>
          <w:p>
            <w:r>
              <w:rPr>
                <w:sz w:val="19"/>
              </w:rPr>
              <w:t>+18.3%</w:t>
            </w:r>
          </w:p>
        </w:tc>
      </w:tr>
      <w:tr>
        <w:tc>
          <w:tcPr>
            <w:tcW w:type="dxa" w:w="2412"/>
          </w:tcPr>
          <w:p>
            <w:r>
              <w:rPr>
                <w:sz w:val="19"/>
              </w:rPr>
              <w:t>RNG</w:t>
            </w:r>
          </w:p>
        </w:tc>
        <w:tc>
          <w:tcPr>
            <w:tcW w:type="dxa" w:w="2412"/>
          </w:tcPr>
          <w:p>
            <w:r>
              <w:rPr>
                <w:sz w:val="19"/>
              </w:rPr>
              <w:t>Info Tech</w:t>
            </w:r>
          </w:p>
        </w:tc>
        <w:tc>
          <w:tcPr>
            <w:tcW w:type="dxa" w:w="2412"/>
          </w:tcPr>
          <w:p>
            <w:r>
              <w:rPr>
                <w:sz w:val="19"/>
              </w:rPr>
              <w:t>861 → 120</w:t>
            </w:r>
          </w:p>
        </w:tc>
        <w:tc>
          <w:tcPr>
            <w:tcW w:type="dxa" w:w="2412"/>
          </w:tcPr>
          <w:p>
            <w:r>
              <w:rPr>
                <w:sz w:val="19"/>
              </w:rPr>
              <w:t>+15.1%</w:t>
            </w:r>
          </w:p>
        </w:tc>
      </w:tr>
      <w:tr>
        <w:tc>
          <w:tcPr>
            <w:tcW w:type="dxa" w:w="2412"/>
            <w:shd w:val="clear" w:fill="EEF1F7"/>
          </w:tcPr>
          <w:p>
            <w:r>
              <w:rPr>
                <w:sz w:val="19"/>
              </w:rPr>
              <w:t>GM</w:t>
            </w:r>
          </w:p>
        </w:tc>
        <w:tc>
          <w:tcPr>
            <w:tcW w:type="dxa" w:w="2412"/>
            <w:shd w:val="clear" w:fill="EEF1F7"/>
          </w:tcPr>
          <w:p>
            <w:r>
              <w:rPr>
                <w:sz w:val="19"/>
              </w:rPr>
              <w:t>Cons. Disc.</w:t>
            </w:r>
          </w:p>
        </w:tc>
        <w:tc>
          <w:tcPr>
            <w:tcW w:type="dxa" w:w="2412"/>
            <w:shd w:val="clear" w:fill="EEF1F7"/>
          </w:tcPr>
          <w:p>
            <w:r>
              <w:rPr>
                <w:sz w:val="19"/>
              </w:rPr>
              <w:t>787 → 73</w:t>
            </w:r>
          </w:p>
        </w:tc>
        <w:tc>
          <w:tcPr>
            <w:tcW w:type="dxa" w:w="2412"/>
            <w:shd w:val="clear" w:fill="EEF1F7"/>
          </w:tcPr>
          <w:p>
            <w:r>
              <w:rPr>
                <w:sz w:val="19"/>
              </w:rPr>
              <w:t>+7.5%</w:t>
            </w:r>
          </w:p>
        </w:tc>
      </w:tr>
    </w:tbl>
    <w:p/>
    <w:p>
      <w:r>
        <w:t>MarketAxess is the headline climber, up 39% and 1,370 rank spots, but that's a takeover, not organic strength. Intercontinental Exchange agreed to buy it at roughly a 33% premium, so the stock jumped to the deal price and stopped moving. Treat it as a closed story, not a leader. The organic move is the IT-consulting cluster (Cognizant, EXL, EPAM, Everforth) and General Motors, which climbed 714 spots to #73 and picked up a Jefferies upgrade to Buy in the same week.</w:t>
      </w:r>
    </w:p>
    <w:p>
      <w:r>
        <w:t>Now the part you're paying for, reconciling price with rank. The index rose 1% this week, but the board's leadership and the index's engine are two different things. Look at the megacaps:</w:t>
      </w:r>
    </w:p>
    <w:p>
      <w:pPr>
        <w:pStyle w:val="ListBullet"/>
      </w:pPr>
      <w:r>
        <w:t>Microsoft rose 21.8% and its rank jumped +833 spots to #402, a real move, price and rank agreeing.</w:t>
      </w:r>
    </w:p>
    <w:p>
      <w:pPr>
        <w:pStyle w:val="ListBullet"/>
      </w:pPr>
      <w:r>
        <w:t>Amazon rose 17% but its rank barely budged (+68, still buried at #1,352). The pop was real; the leadership isn't. Money took the AWS number and mostly moved along.</w:t>
      </w:r>
    </w:p>
    <w:p>
      <w:pPr>
        <w:pStyle w:val="ListBullet"/>
      </w:pPr>
      <w:r>
        <w:t>Alphabet rose about 11.5% on both share classes yet still sits near #1,535, a bounce, not a base.</w:t>
      </w:r>
    </w:p>
    <w:p>
      <w:pPr>
        <w:pStyle w:val="ListBullet"/>
      </w:pPr>
      <w:r>
        <w:t>Nvidia fell 2.9% and dropped 523 rank spots; Meta fell 6.5% and dropped 711.</w:t>
      </w:r>
    </w:p>
    <w:p>
      <w:r>
        <w:t>So when someone tells you "big tech had a great week," the honest version is: Microsoft led, Amazon bounced without leading, and the chip-and-Meta side kept bleeding rank. The index return flattered a narrow group.</w:t>
      </w:r>
    </w:p>
    <w:p>
      <w:r>
        <w:t>The divergence list carries the same warning at the small-cap end. Verra Mobility popped 30.6% but ranks #1,414. Ambarella jumped 26.4% and still sits at #989. A stock can rip for a week and still be a laggard the board is fading. Rank has been the better guide to the months ahead than a single green candle.</w:t>
      </w:r>
    </w:p>
    <w:p>
      <w:pPr>
        <w:pBdr>
          <w:bottom w:val="single" w:sz="6" w:space="1" w:color="C0C0C0"/>
        </w:pBdr>
      </w:pPr>
    </w:p>
    <w:p>
      <w:pPr>
        <w:spacing w:before="240" w:after="80"/>
      </w:pPr>
      <w:r>
        <w:rPr>
          <w:b/>
          <w:color w:val="1F3864"/>
          <w:sz w:val="30"/>
        </w:rPr>
        <w:t>7. A few names worth looking at</w:t>
      </w:r>
    </w:p>
    <w:p>
      <w:r>
        <w:t>These clear four filters at once: a strong sector, an improving rank, a genuine uptrend (price above a rising 20-, 50- and 200-day), and not stretched (within 10% of the 20-day, so you're not chasing a vertical move). Starting points for your own homework, nothing more.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WKC</w:t>
            </w:r>
          </w:p>
        </w:tc>
        <w:tc>
          <w:tcPr>
            <w:tcW w:type="dxa" w:w="1608"/>
          </w:tcPr>
          <w:p>
            <w:r>
              <w:rPr>
                <w:sz w:val="19"/>
              </w:rPr>
              <w:t>World Kinect</w:t>
            </w:r>
          </w:p>
        </w:tc>
        <w:tc>
          <w:tcPr>
            <w:tcW w:type="dxa" w:w="1608"/>
          </w:tcPr>
          <w:p>
            <w:r>
              <w:rPr>
                <w:sz w:val="19"/>
              </w:rPr>
              <w:t>Energy</w:t>
            </w:r>
          </w:p>
        </w:tc>
        <w:tc>
          <w:tcPr>
            <w:tcW w:type="dxa" w:w="1608"/>
          </w:tcPr>
          <w:p>
            <w:r>
              <w:rPr>
                <w:sz w:val="19"/>
              </w:rPr>
              <w:t>3 (+5)</w:t>
            </w:r>
          </w:p>
        </w:tc>
        <w:tc>
          <w:tcPr>
            <w:tcW w:type="dxa" w:w="1608"/>
          </w:tcPr>
          <w:p>
            <w:r>
              <w:rPr>
                <w:sz w:val="19"/>
              </w:rPr>
              <w:t>D</w:t>
            </w:r>
          </w:p>
        </w:tc>
        <w:tc>
          <w:tcPr>
            <w:tcW w:type="dxa" w:w="1608"/>
          </w:tcPr>
          <w:p>
            <w:r>
              <w:rPr>
                <w:sz w:val="19"/>
              </w:rPr>
              <w:t>+7.7%</w:t>
            </w:r>
          </w:p>
        </w:tc>
      </w:tr>
      <w:tr>
        <w:tc>
          <w:tcPr>
            <w:tcW w:type="dxa" w:w="1608"/>
            <w:shd w:val="clear" w:fill="EEF1F7"/>
          </w:tcPr>
          <w:p>
            <w:r>
              <w:rPr>
                <w:sz w:val="19"/>
              </w:rPr>
              <w:t>AMP</w:t>
            </w:r>
          </w:p>
        </w:tc>
        <w:tc>
          <w:tcPr>
            <w:tcW w:type="dxa" w:w="1608"/>
            <w:shd w:val="clear" w:fill="EEF1F7"/>
          </w:tcPr>
          <w:p>
            <w:r>
              <w:rPr>
                <w:sz w:val="19"/>
              </w:rPr>
              <w:t>Ameriprise</w:t>
            </w:r>
          </w:p>
        </w:tc>
        <w:tc>
          <w:tcPr>
            <w:tcW w:type="dxa" w:w="1608"/>
            <w:shd w:val="clear" w:fill="EEF1F7"/>
          </w:tcPr>
          <w:p>
            <w:r>
              <w:rPr>
                <w:sz w:val="19"/>
              </w:rPr>
              <w:t>Financials</w:t>
            </w:r>
          </w:p>
        </w:tc>
        <w:tc>
          <w:tcPr>
            <w:tcW w:type="dxa" w:w="1608"/>
            <w:shd w:val="clear" w:fill="EEF1F7"/>
          </w:tcPr>
          <w:p>
            <w:r>
              <w:rPr>
                <w:sz w:val="19"/>
              </w:rPr>
              <w:t>14 (+23)</w:t>
            </w:r>
          </w:p>
        </w:tc>
        <w:tc>
          <w:tcPr>
            <w:tcW w:type="dxa" w:w="1608"/>
            <w:shd w:val="clear" w:fill="EEF1F7"/>
          </w:tcPr>
          <w:p>
            <w:r>
              <w:rPr>
                <w:sz w:val="19"/>
              </w:rPr>
              <w:t>B</w:t>
            </w:r>
          </w:p>
        </w:tc>
        <w:tc>
          <w:tcPr>
            <w:tcW w:type="dxa" w:w="1608"/>
            <w:shd w:val="clear" w:fill="EEF1F7"/>
          </w:tcPr>
          <w:p>
            <w:r>
              <w:rPr>
                <w:sz w:val="19"/>
              </w:rPr>
              <w:t>+4.5%</w:t>
            </w:r>
          </w:p>
        </w:tc>
      </w:tr>
      <w:tr>
        <w:tc>
          <w:tcPr>
            <w:tcW w:type="dxa" w:w="1608"/>
          </w:tcPr>
          <w:p>
            <w:r>
              <w:rPr>
                <w:sz w:val="19"/>
              </w:rPr>
              <w:t>CNXN</w:t>
            </w:r>
          </w:p>
        </w:tc>
        <w:tc>
          <w:tcPr>
            <w:tcW w:type="dxa" w:w="1608"/>
          </w:tcPr>
          <w:p>
            <w:r>
              <w:rPr>
                <w:sz w:val="19"/>
              </w:rPr>
              <w:t>PC Connection</w:t>
            </w:r>
          </w:p>
        </w:tc>
        <w:tc>
          <w:tcPr>
            <w:tcW w:type="dxa" w:w="1608"/>
          </w:tcPr>
          <w:p>
            <w:r>
              <w:rPr>
                <w:sz w:val="19"/>
              </w:rPr>
              <w:t>Info Tech</w:t>
            </w:r>
          </w:p>
        </w:tc>
        <w:tc>
          <w:tcPr>
            <w:tcW w:type="dxa" w:w="1608"/>
          </w:tcPr>
          <w:p>
            <w:r>
              <w:rPr>
                <w:sz w:val="19"/>
              </w:rPr>
              <w:t>16 (+16)</w:t>
            </w:r>
          </w:p>
        </w:tc>
        <w:tc>
          <w:tcPr>
            <w:tcW w:type="dxa" w:w="1608"/>
          </w:tcPr>
          <w:p>
            <w:r>
              <w:rPr>
                <w:sz w:val="19"/>
              </w:rPr>
              <w:t>C</w:t>
            </w:r>
          </w:p>
        </w:tc>
        <w:tc>
          <w:tcPr>
            <w:tcW w:type="dxa" w:w="1608"/>
          </w:tcPr>
          <w:p>
            <w:r>
              <w:rPr>
                <w:sz w:val="19"/>
              </w:rPr>
              <w:t>+5.5%</w:t>
            </w:r>
          </w:p>
        </w:tc>
      </w:tr>
      <w:tr>
        <w:tc>
          <w:tcPr>
            <w:tcW w:type="dxa" w:w="1608"/>
            <w:shd w:val="clear" w:fill="EEF1F7"/>
          </w:tcPr>
          <w:p>
            <w:r>
              <w:rPr>
                <w:sz w:val="19"/>
              </w:rPr>
              <w:t>IQV</w:t>
            </w:r>
          </w:p>
        </w:tc>
        <w:tc>
          <w:tcPr>
            <w:tcW w:type="dxa" w:w="1608"/>
            <w:shd w:val="clear" w:fill="EEF1F7"/>
          </w:tcPr>
          <w:p>
            <w:r>
              <w:rPr>
                <w:sz w:val="19"/>
              </w:rPr>
              <w:t>IQVIA</w:t>
            </w:r>
          </w:p>
        </w:tc>
        <w:tc>
          <w:tcPr>
            <w:tcW w:type="dxa" w:w="1608"/>
            <w:shd w:val="clear" w:fill="EEF1F7"/>
          </w:tcPr>
          <w:p>
            <w:r>
              <w:rPr>
                <w:sz w:val="19"/>
              </w:rPr>
              <w:t>Health Care</w:t>
            </w:r>
          </w:p>
        </w:tc>
        <w:tc>
          <w:tcPr>
            <w:tcW w:type="dxa" w:w="1608"/>
            <w:shd w:val="clear" w:fill="EEF1F7"/>
          </w:tcPr>
          <w:p>
            <w:r>
              <w:rPr>
                <w:sz w:val="19"/>
              </w:rPr>
              <w:t>61 (+221)</w:t>
            </w:r>
          </w:p>
        </w:tc>
        <w:tc>
          <w:tcPr>
            <w:tcW w:type="dxa" w:w="1608"/>
            <w:shd w:val="clear" w:fill="EEF1F7"/>
          </w:tcPr>
          <w:p>
            <w:r>
              <w:rPr>
                <w:sz w:val="19"/>
              </w:rPr>
              <w:t>B</w:t>
            </w:r>
          </w:p>
        </w:tc>
        <w:tc>
          <w:tcPr>
            <w:tcW w:type="dxa" w:w="1608"/>
            <w:shd w:val="clear" w:fill="EEF1F7"/>
          </w:tcPr>
          <w:p>
            <w:r>
              <w:rPr>
                <w:sz w:val="19"/>
              </w:rPr>
              <w:t>+9.3%</w:t>
            </w:r>
          </w:p>
        </w:tc>
      </w:tr>
      <w:tr>
        <w:tc>
          <w:tcPr>
            <w:tcW w:type="dxa" w:w="1608"/>
          </w:tcPr>
          <w:p>
            <w:r>
              <w:rPr>
                <w:sz w:val="19"/>
              </w:rPr>
              <w:t>TMO</w:t>
            </w:r>
          </w:p>
        </w:tc>
        <w:tc>
          <w:tcPr>
            <w:tcW w:type="dxa" w:w="1608"/>
          </w:tcPr>
          <w:p>
            <w:r>
              <w:rPr>
                <w:sz w:val="19"/>
              </w:rPr>
              <w:t>Thermo Fisher</w:t>
            </w:r>
          </w:p>
        </w:tc>
        <w:tc>
          <w:tcPr>
            <w:tcW w:type="dxa" w:w="1608"/>
          </w:tcPr>
          <w:p>
            <w:r>
              <w:rPr>
                <w:sz w:val="19"/>
              </w:rPr>
              <w:t>Health Care</w:t>
            </w:r>
          </w:p>
        </w:tc>
        <w:tc>
          <w:tcPr>
            <w:tcW w:type="dxa" w:w="1608"/>
          </w:tcPr>
          <w:p>
            <w:r>
              <w:rPr>
                <w:sz w:val="19"/>
              </w:rPr>
              <w:t>75 (+23)</w:t>
            </w:r>
          </w:p>
        </w:tc>
        <w:tc>
          <w:tcPr>
            <w:tcW w:type="dxa" w:w="1608"/>
          </w:tcPr>
          <w:p>
            <w:r>
              <w:rPr>
                <w:sz w:val="19"/>
              </w:rPr>
              <w:t>C</w:t>
            </w:r>
          </w:p>
        </w:tc>
        <w:tc>
          <w:tcPr>
            <w:tcW w:type="dxa" w:w="1608"/>
          </w:tcPr>
          <w:p>
            <w:r>
              <w:rPr>
                <w:sz w:val="19"/>
              </w:rPr>
              <w:t>+5.3%</w:t>
            </w:r>
          </w:p>
        </w:tc>
      </w:tr>
      <w:tr>
        <w:tc>
          <w:tcPr>
            <w:tcW w:type="dxa" w:w="1608"/>
            <w:shd w:val="clear" w:fill="EEF1F7"/>
          </w:tcPr>
          <w:p>
            <w:r>
              <w:rPr>
                <w:sz w:val="19"/>
              </w:rPr>
              <w:t>SEIC</w:t>
            </w:r>
          </w:p>
        </w:tc>
        <w:tc>
          <w:tcPr>
            <w:tcW w:type="dxa" w:w="1608"/>
            <w:shd w:val="clear" w:fill="EEF1F7"/>
          </w:tcPr>
          <w:p>
            <w:r>
              <w:rPr>
                <w:sz w:val="19"/>
              </w:rPr>
              <w:t>SEI Investments</w:t>
            </w:r>
          </w:p>
        </w:tc>
        <w:tc>
          <w:tcPr>
            <w:tcW w:type="dxa" w:w="1608"/>
            <w:shd w:val="clear" w:fill="EEF1F7"/>
          </w:tcPr>
          <w:p>
            <w:r>
              <w:rPr>
                <w:sz w:val="19"/>
              </w:rPr>
              <w:t>Financials</w:t>
            </w:r>
          </w:p>
        </w:tc>
        <w:tc>
          <w:tcPr>
            <w:tcW w:type="dxa" w:w="1608"/>
            <w:shd w:val="clear" w:fill="EEF1F7"/>
          </w:tcPr>
          <w:p>
            <w:r>
              <w:rPr>
                <w:sz w:val="19"/>
              </w:rPr>
              <w:t>88 (+83)</w:t>
            </w:r>
          </w:p>
        </w:tc>
        <w:tc>
          <w:tcPr>
            <w:tcW w:type="dxa" w:w="1608"/>
            <w:shd w:val="clear" w:fill="EEF1F7"/>
          </w:tcPr>
          <w:p>
            <w:r>
              <w:rPr>
                <w:sz w:val="19"/>
              </w:rPr>
              <w:t>B</w:t>
            </w:r>
          </w:p>
        </w:tc>
        <w:tc>
          <w:tcPr>
            <w:tcW w:type="dxa" w:w="1608"/>
            <w:shd w:val="clear" w:fill="EEF1F7"/>
          </w:tcPr>
          <w:p>
            <w:r>
              <w:rPr>
                <w:sz w:val="19"/>
              </w:rPr>
              <w:t>+4.6%</w:t>
            </w:r>
          </w:p>
        </w:tc>
      </w:tr>
      <w:tr>
        <w:tc>
          <w:tcPr>
            <w:tcW w:type="dxa" w:w="1608"/>
          </w:tcPr>
          <w:p>
            <w:r>
              <w:rPr>
                <w:sz w:val="19"/>
              </w:rPr>
              <w:t>RHP</w:t>
            </w:r>
          </w:p>
        </w:tc>
        <w:tc>
          <w:tcPr>
            <w:tcW w:type="dxa" w:w="1608"/>
          </w:tcPr>
          <w:p>
            <w:r>
              <w:rPr>
                <w:sz w:val="19"/>
              </w:rPr>
              <w:t>Ryman Hospitality</w:t>
            </w:r>
          </w:p>
        </w:tc>
        <w:tc>
          <w:tcPr>
            <w:tcW w:type="dxa" w:w="1608"/>
          </w:tcPr>
          <w:p>
            <w:r>
              <w:rPr>
                <w:sz w:val="19"/>
              </w:rPr>
              <w:t>Real Estate</w:t>
            </w:r>
          </w:p>
        </w:tc>
        <w:tc>
          <w:tcPr>
            <w:tcW w:type="dxa" w:w="1608"/>
          </w:tcPr>
          <w:p>
            <w:r>
              <w:rPr>
                <w:sz w:val="19"/>
              </w:rPr>
              <w:t>91 (+74)</w:t>
            </w:r>
          </w:p>
        </w:tc>
        <w:tc>
          <w:tcPr>
            <w:tcW w:type="dxa" w:w="1608"/>
          </w:tcPr>
          <w:p>
            <w:r>
              <w:rPr>
                <w:sz w:val="19"/>
              </w:rPr>
              <w:t>C</w:t>
            </w:r>
          </w:p>
        </w:tc>
        <w:tc>
          <w:tcPr>
            <w:tcW w:type="dxa" w:w="1608"/>
          </w:tcPr>
          <w:p>
            <w:r>
              <w:rPr>
                <w:sz w:val="19"/>
              </w:rPr>
              <w:t>+2.8%</w:t>
            </w:r>
          </w:p>
        </w:tc>
      </w:tr>
      <w:tr>
        <w:tc>
          <w:tcPr>
            <w:tcW w:type="dxa" w:w="1608"/>
            <w:shd w:val="clear" w:fill="EEF1F7"/>
          </w:tcPr>
          <w:p>
            <w:r>
              <w:rPr>
                <w:sz w:val="19"/>
              </w:rPr>
              <w:t>MA</w:t>
            </w:r>
          </w:p>
        </w:tc>
        <w:tc>
          <w:tcPr>
            <w:tcW w:type="dxa" w:w="1608"/>
            <w:shd w:val="clear" w:fill="EEF1F7"/>
          </w:tcPr>
          <w:p>
            <w:r>
              <w:rPr>
                <w:sz w:val="19"/>
              </w:rPr>
              <w:t>Mastercard</w:t>
            </w:r>
          </w:p>
        </w:tc>
        <w:tc>
          <w:tcPr>
            <w:tcW w:type="dxa" w:w="1608"/>
            <w:shd w:val="clear" w:fill="EEF1F7"/>
          </w:tcPr>
          <w:p>
            <w:r>
              <w:rPr>
                <w:sz w:val="19"/>
              </w:rPr>
              <w:t>Financials</w:t>
            </w:r>
          </w:p>
        </w:tc>
        <w:tc>
          <w:tcPr>
            <w:tcW w:type="dxa" w:w="1608"/>
            <w:shd w:val="clear" w:fill="EEF1F7"/>
          </w:tcPr>
          <w:p>
            <w:r>
              <w:rPr>
                <w:sz w:val="19"/>
              </w:rPr>
              <w:t>112 (+225)</w:t>
            </w:r>
          </w:p>
        </w:tc>
        <w:tc>
          <w:tcPr>
            <w:tcW w:type="dxa" w:w="1608"/>
            <w:shd w:val="clear" w:fill="EEF1F7"/>
          </w:tcPr>
          <w:p>
            <w:r>
              <w:rPr>
                <w:sz w:val="19"/>
              </w:rPr>
              <w:t>B</w:t>
            </w:r>
          </w:p>
        </w:tc>
        <w:tc>
          <w:tcPr>
            <w:tcW w:type="dxa" w:w="1608"/>
            <w:shd w:val="clear" w:fill="EEF1F7"/>
          </w:tcPr>
          <w:p>
            <w:r>
              <w:rPr>
                <w:sz w:val="19"/>
              </w:rPr>
              <w:t>+5.4%</w:t>
            </w:r>
          </w:p>
        </w:tc>
      </w:tr>
      <w:tr>
        <w:tc>
          <w:tcPr>
            <w:tcW w:type="dxa" w:w="1608"/>
          </w:tcPr>
          <w:p>
            <w:r>
              <w:rPr>
                <w:sz w:val="19"/>
              </w:rPr>
              <w:t>HST</w:t>
            </w:r>
          </w:p>
        </w:tc>
        <w:tc>
          <w:tcPr>
            <w:tcW w:type="dxa" w:w="1608"/>
          </w:tcPr>
          <w:p>
            <w:r>
              <w:rPr>
                <w:sz w:val="19"/>
              </w:rPr>
              <w:t>Host Hotels</w:t>
            </w:r>
          </w:p>
        </w:tc>
        <w:tc>
          <w:tcPr>
            <w:tcW w:type="dxa" w:w="1608"/>
          </w:tcPr>
          <w:p>
            <w:r>
              <w:rPr>
                <w:sz w:val="19"/>
              </w:rPr>
              <w:t>Real Estate</w:t>
            </w:r>
          </w:p>
        </w:tc>
        <w:tc>
          <w:tcPr>
            <w:tcW w:type="dxa" w:w="1608"/>
          </w:tcPr>
          <w:p>
            <w:r>
              <w:rPr>
                <w:sz w:val="19"/>
              </w:rPr>
              <w:t>127 (+137)</w:t>
            </w:r>
          </w:p>
        </w:tc>
        <w:tc>
          <w:tcPr>
            <w:tcW w:type="dxa" w:w="1608"/>
          </w:tcPr>
          <w:p>
            <w:r>
              <w:rPr>
                <w:sz w:val="19"/>
              </w:rPr>
              <w:t>C</w:t>
            </w:r>
          </w:p>
        </w:tc>
        <w:tc>
          <w:tcPr>
            <w:tcW w:type="dxa" w:w="1608"/>
          </w:tcPr>
          <w:p>
            <w:r>
              <w:rPr>
                <w:sz w:val="19"/>
              </w:rPr>
              <w:t>+3.2%</w:t>
            </w:r>
          </w:p>
        </w:tc>
      </w:tr>
      <w:tr>
        <w:tc>
          <w:tcPr>
            <w:tcW w:type="dxa" w:w="1608"/>
            <w:shd w:val="clear" w:fill="EEF1F7"/>
          </w:tcPr>
          <w:p>
            <w:r>
              <w:rPr>
                <w:sz w:val="19"/>
              </w:rPr>
              <w:t>NSIT</w:t>
            </w:r>
          </w:p>
        </w:tc>
        <w:tc>
          <w:tcPr>
            <w:tcW w:type="dxa" w:w="1608"/>
            <w:shd w:val="clear" w:fill="EEF1F7"/>
          </w:tcPr>
          <w:p>
            <w:r>
              <w:rPr>
                <w:sz w:val="19"/>
              </w:rPr>
              <w:t>Insight Enterprises</w:t>
            </w:r>
          </w:p>
        </w:tc>
        <w:tc>
          <w:tcPr>
            <w:tcW w:type="dxa" w:w="1608"/>
            <w:shd w:val="clear" w:fill="EEF1F7"/>
          </w:tcPr>
          <w:p>
            <w:r>
              <w:rPr>
                <w:sz w:val="19"/>
              </w:rPr>
              <w:t>Industrials</w:t>
            </w:r>
          </w:p>
        </w:tc>
        <w:tc>
          <w:tcPr>
            <w:tcW w:type="dxa" w:w="1608"/>
            <w:shd w:val="clear" w:fill="EEF1F7"/>
          </w:tcPr>
          <w:p>
            <w:r>
              <w:rPr>
                <w:sz w:val="19"/>
              </w:rPr>
              <w:t>149 (+403)</w:t>
            </w:r>
          </w:p>
        </w:tc>
        <w:tc>
          <w:tcPr>
            <w:tcW w:type="dxa" w:w="1608"/>
            <w:shd w:val="clear" w:fill="EEF1F7"/>
          </w:tcPr>
          <w:p>
            <w:r>
              <w:rPr>
                <w:sz w:val="19"/>
              </w:rPr>
              <w:t>C</w:t>
            </w:r>
          </w:p>
        </w:tc>
        <w:tc>
          <w:tcPr>
            <w:tcW w:type="dxa" w:w="1608"/>
            <w:shd w:val="clear" w:fill="EEF1F7"/>
          </w:tcPr>
          <w:p>
            <w:r>
              <w:rPr>
                <w:sz w:val="19"/>
              </w:rPr>
              <w:t>+7.6%</w:t>
            </w:r>
          </w:p>
        </w:tc>
      </w:tr>
    </w:tbl>
    <w:p/>
    <w:p>
      <w:r>
        <w:t xml:space="preserve">How to read it: the big rank jumps (IQVIA +221, Mastercard +225, Insight +403) are names that were nowhere a month ago and are now near the front, early in a move, not late. The discipline is to buy strength on a </w:t>
      </w:r>
      <w:r>
        <w:rPr>
          <w:i/>
        </w:rPr>
        <w:t>pause</w:t>
      </w:r>
      <w:r>
        <w:t>, not on a gap. A stock sitting 4-5% above its 20-day has room; one that just ran 20% in five sessions doesn't. Health care (IQVIA, Thermo Fisher) and hotels (Ryman, Host) both show up here, two corners the reshuffle is quietly funding. This is a watchlist, not advice. Do your own work before you touch any of them.</w:t>
      </w:r>
    </w:p>
    <w:p>
      <w:pPr>
        <w:pBdr>
          <w:bottom w:val="single" w:sz="6" w:space="1" w:color="C0C0C0"/>
        </w:pBdr>
      </w:pP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7,489.72</w:t>
            </w:r>
          </w:p>
        </w:tc>
        <w:tc>
          <w:tcPr>
            <w:tcW w:type="dxa" w:w="3216"/>
          </w:tcPr>
          <w:p>
            <w:r>
              <w:rPr>
                <w:sz w:val="19"/>
              </w:rPr>
              <w:t>1.6% below the June 2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7,489.72 vs 7,033.13</w:t>
            </w:r>
          </w:p>
        </w:tc>
      </w:tr>
      <w:tr>
        <w:tc>
          <w:tcPr>
            <w:tcW w:type="dxa" w:w="3216"/>
          </w:tcPr>
          <w:p>
            <w:r>
              <w:rPr>
                <w:sz w:val="19"/>
              </w:rPr>
              <w:t>Stocks above 200-day</w:t>
            </w:r>
          </w:p>
        </w:tc>
        <w:tc>
          <w:tcPr>
            <w:tcW w:type="dxa" w:w="3216"/>
          </w:tcPr>
          <w:p>
            <w:r>
              <w:rPr>
                <w:sz w:val="19"/>
              </w:rPr>
              <w:t>65.94%</w:t>
            </w:r>
          </w:p>
        </w:tc>
        <w:tc>
          <w:tcPr>
            <w:tcW w:type="dxa" w:w="3216"/>
          </w:tcPr>
          <w:p>
            <w:r>
              <w:rPr>
                <w:sz w:val="19"/>
              </w:rPr>
              <w:t>broad enough</w:t>
            </w:r>
          </w:p>
        </w:tc>
      </w:tr>
      <w:tr>
        <w:tc>
          <w:tcPr>
            <w:tcW w:type="dxa" w:w="3216"/>
            <w:shd w:val="clear" w:fill="EEF1F7"/>
          </w:tcPr>
          <w:p>
            <w:r>
              <w:rPr>
                <w:sz w:val="19"/>
              </w:rPr>
              <w:t>Stocks above 50-day</w:t>
            </w:r>
          </w:p>
        </w:tc>
        <w:tc>
          <w:tcPr>
            <w:tcW w:type="dxa" w:w="3216"/>
            <w:shd w:val="clear" w:fill="EEF1F7"/>
          </w:tcPr>
          <w:p>
            <w:r>
              <w:rPr>
                <w:sz w:val="19"/>
              </w:rPr>
              <w:t>57.25%</w:t>
            </w:r>
          </w:p>
        </w:tc>
        <w:tc>
          <w:tcPr>
            <w:tcW w:type="dxa" w:w="3216"/>
            <w:shd w:val="clear" w:fill="EEF1F7"/>
          </w:tcPr>
          <w:p/>
        </w:tc>
      </w:tr>
      <w:tr>
        <w:tc>
          <w:tcPr>
            <w:tcW w:type="dxa" w:w="3216"/>
          </w:tcPr>
          <w:p>
            <w:r>
              <w:rPr>
                <w:sz w:val="19"/>
              </w:rPr>
              <w:t>New highs vs lows</w:t>
            </w:r>
          </w:p>
        </w:tc>
        <w:tc>
          <w:tcPr>
            <w:tcW w:type="dxa" w:w="3216"/>
          </w:tcPr>
          <w:p>
            <w:r>
              <w:rPr>
                <w:sz w:val="19"/>
              </w:rPr>
              <w:t>0 vs 0</w:t>
            </w:r>
          </w:p>
        </w:tc>
        <w:tc>
          <w:tcPr>
            <w:tcW w:type="dxa" w:w="3216"/>
          </w:tcPr>
          <w:p>
            <w:r>
              <w:rPr>
                <w:sz w:val="19"/>
              </w:rPr>
              <w:t>going quiet</w:t>
            </w:r>
          </w:p>
        </w:tc>
      </w:tr>
      <w:tr>
        <w:tc>
          <w:tcPr>
            <w:tcW w:type="dxa" w:w="3216"/>
            <w:shd w:val="clear" w:fill="EEF1F7"/>
          </w:tcPr>
          <w:p>
            <w:r>
              <w:rPr>
                <w:sz w:val="19"/>
              </w:rPr>
              <w:t>Advancers vs decliners</w:t>
            </w:r>
          </w:p>
        </w:tc>
        <w:tc>
          <w:tcPr>
            <w:tcW w:type="dxa" w:w="3216"/>
            <w:shd w:val="clear" w:fill="EEF1F7"/>
          </w:tcPr>
          <w:p>
            <w:r>
              <w:rPr>
                <w:sz w:val="19"/>
              </w:rPr>
              <w:t>846 vs 1,087</w:t>
            </w:r>
          </w:p>
        </w:tc>
        <w:tc>
          <w:tcPr>
            <w:tcW w:type="dxa" w:w="3216"/>
            <w:shd w:val="clear" w:fill="EEF1F7"/>
          </w:tcPr>
          <w:p>
            <w:r>
              <w:rPr>
                <w:sz w:val="19"/>
              </w:rPr>
              <w:t>more fell than rose</w:t>
            </w:r>
          </w:p>
        </w:tc>
      </w:tr>
      <w:tr>
        <w:tc>
          <w:tcPr>
            <w:tcW w:type="dxa" w:w="3216"/>
          </w:tcPr>
          <w:p>
            <w:r>
              <w:rPr>
                <w:sz w:val="19"/>
              </w:rPr>
              <w:t>VIX</w:t>
            </w:r>
          </w:p>
        </w:tc>
        <w:tc>
          <w:tcPr>
            <w:tcW w:type="dxa" w:w="3216"/>
          </w:tcPr>
          <w:p>
            <w:r>
              <w:rPr>
                <w:sz w:val="19"/>
              </w:rPr>
              <w:t>15.99</w:t>
            </w:r>
          </w:p>
        </w:tc>
        <w:tc>
          <w:tcPr>
            <w:tcW w:type="dxa" w:w="3216"/>
          </w:tcPr>
          <w:p>
            <w:r>
              <w:rPr>
                <w:sz w:val="19"/>
              </w:rPr>
              <w:t>calm</w:t>
            </w:r>
          </w:p>
        </w:tc>
      </w:tr>
      <w:tr>
        <w:tc>
          <w:tcPr>
            <w:tcW w:type="dxa" w:w="3216"/>
            <w:shd w:val="clear" w:fill="EEF1F7"/>
          </w:tcPr>
          <w:p>
            <w:r>
              <w:rPr>
                <w:sz w:val="19"/>
              </w:rPr>
              <w:t>Credit spreads</w:t>
            </w:r>
          </w:p>
        </w:tc>
        <w:tc>
          <w:tcPr>
            <w:tcW w:type="dxa" w:w="3216"/>
            <w:shd w:val="clear" w:fill="EEF1F7"/>
          </w:tcPr>
          <w:p>
            <w:r>
              <w:rPr>
                <w:sz w:val="19"/>
              </w:rPr>
              <w:t>n/a</w:t>
            </w:r>
          </w:p>
        </w:tc>
        <w:tc>
          <w:tcPr>
            <w:tcW w:type="dxa" w:w="3216"/>
            <w:shd w:val="clear" w:fill="EEF1F7"/>
          </w:tcPr>
          <w:p>
            <w:r>
              <w:rPr>
                <w:sz w:val="19"/>
              </w:rPr>
              <w:t>FRED pending</w:t>
            </w:r>
          </w:p>
        </w:tc>
      </w:tr>
      <w:tr>
        <w:tc>
          <w:tcPr>
            <w:tcW w:type="dxa" w:w="3216"/>
          </w:tcPr>
          <w:p>
            <w:r>
              <w:rPr>
                <w:sz w:val="19"/>
              </w:rPr>
              <w:t>Gold</w:t>
            </w:r>
          </w:p>
        </w:tc>
        <w:tc>
          <w:tcPr>
            <w:tcW w:type="dxa" w:w="3216"/>
          </w:tcPr>
          <w:p>
            <w:r>
              <w:rPr>
                <w:sz w:val="19"/>
              </w:rPr>
              <w:t>+1.0% wk</w:t>
            </w:r>
          </w:p>
        </w:tc>
        <w:tc>
          <w:tcPr>
            <w:tcW w:type="dxa" w:w="3216"/>
          </w:tcPr>
          <w:p>
            <w:r>
              <w:rPr>
                <w:sz w:val="19"/>
              </w:rPr>
              <w:t>soft bid</w:t>
            </w:r>
          </w:p>
        </w:tc>
      </w:tr>
      <w:tr>
        <w:tc>
          <w:tcPr>
            <w:tcW w:type="dxa" w:w="3216"/>
            <w:shd w:val="clear" w:fill="EEF1F7"/>
          </w:tcPr>
          <w:p>
            <w:r>
              <w:rPr>
                <w:sz w:val="19"/>
              </w:rPr>
              <w:t>High-yield (HYG)</w:t>
            </w:r>
          </w:p>
        </w:tc>
        <w:tc>
          <w:tcPr>
            <w:tcW w:type="dxa" w:w="3216"/>
            <w:shd w:val="clear" w:fill="EEF1F7"/>
          </w:tcPr>
          <w:p>
            <w:r>
              <w:rPr>
                <w:sz w:val="19"/>
              </w:rPr>
              <w:t>+0.3% wk</w:t>
            </w:r>
          </w:p>
        </w:tc>
        <w:tc>
          <w:tcPr>
            <w:tcW w:type="dxa" w:w="3216"/>
            <w:shd w:val="clear" w:fill="EEF1F7"/>
          </w:tcPr>
          <w:p>
            <w:r>
              <w:rPr>
                <w:sz w:val="19"/>
              </w:rPr>
              <w:t>steady, risk-on</w:t>
            </w:r>
          </w:p>
        </w:tc>
      </w:tr>
      <w:tr>
        <w:tc>
          <w:tcPr>
            <w:tcW w:type="dxa" w:w="3216"/>
          </w:tcPr>
          <w:p>
            <w:r>
              <w:rPr>
                <w:sz w:val="19"/>
              </w:rPr>
              <w:t>US dollar (DXY)</w:t>
            </w:r>
          </w:p>
        </w:tc>
        <w:tc>
          <w:tcPr>
            <w:tcW w:type="dxa" w:w="3216"/>
          </w:tcPr>
          <w:p>
            <w:r>
              <w:rPr>
                <w:sz w:val="19"/>
              </w:rPr>
              <w:t>-1.6% wk</w:t>
            </w:r>
          </w:p>
        </w:tc>
        <w:tc>
          <w:tcPr>
            <w:tcW w:type="dxa" w:w="3216"/>
          </w:tcPr>
          <w:p>
            <w:r>
              <w:rPr>
                <w:sz w:val="19"/>
              </w:rPr>
              <w:t>soft, risk-on</w:t>
            </w:r>
          </w:p>
        </w:tc>
      </w:tr>
    </w:tbl>
    <w:p/>
    <w:p>
      <w:r>
        <w:t xml:space="preserve">Read the fear panel together and the message is clean: the market shrugged. The Fed nearly hiked, oil whipsawed 4% in a day, Apple gapped down, and none of the gauges that matter blinked. VIX under 16, junk bonds up on the week, the dollar </w:t>
      </w:r>
      <w:r>
        <w:rPr>
          <w:i/>
        </w:rPr>
        <w:t>down</w:t>
      </w:r>
      <w:r>
        <w:t xml:space="preserve"> 1.6% (no flight to safety), gold up a token 1%. That's not fear, that's money staying invested and rotating. If gold had ripped and junk had cracked while the dollar bid, I'd be writing a different issue. It didn't. The one gauge I can't show you is credit spreads (FRED pending), so I won't pretend I have it.</w:t>
      </w:r>
    </w:p>
    <w:p>
      <w:r>
        <w:t>The honest worry sits inside the breadth line: the index rose while more stocks fell than rose, and new highs have dried up to 0 vs 0. That's a narrowing rally leaning on a few megacaps. Narrow rallies can run for months, but they're more fragile than broad ones.</w:t>
      </w:r>
    </w:p>
    <w:p>
      <w:r>
        <w:t>Scenarios, next few weeks:</w:t>
      </w:r>
    </w:p>
    <w:p>
      <w:pPr>
        <w:pStyle w:val="ListBullet"/>
      </w:pPr>
      <w:r>
        <w:t>Base case (55%): the rotation keeps grinding. Financials, refiners, health care and consumer cyclicals lead, chips and utilities lag, the index chops near its record. Nothing breaks.</w:t>
      </w:r>
    </w:p>
    <w:p>
      <w:pPr>
        <w:pStyle w:val="ListBullet"/>
      </w:pPr>
      <w:r>
        <w:t>Bull case (25%): the softening jobs data pulls the Fed toward cuts, the 10-year eases, breadth broadens as the laggards catch a bid, and the index takes out the June high.</w:t>
      </w:r>
    </w:p>
    <w:p>
      <w:pPr>
        <w:pStyle w:val="ListBullet"/>
      </w:pPr>
      <w:r>
        <w:t>Bear case (20%): sticky 3.5% CPI emboldens the hawks, the 10-year pushes higher, the narrow megacap leadership wobbles, and the thin breadth turns into a proper pullback.</w:t>
      </w:r>
    </w:p>
    <w:p>
      <w:r>
        <w:t>Stance: constructive but selective. Own what's leading, respect the rotation, and don't confuse a 1% index week with a healthy one.</w:t>
      </w:r>
    </w:p>
    <w:p>
      <w:pPr>
        <w:pBdr>
          <w:bottom w:val="single" w:sz="6" w:space="1" w:color="C0C0C0"/>
        </w:pBdr>
      </w:pPr>
    </w:p>
    <w:p>
      <w:pPr>
        <w:spacing w:before="240" w:after="80"/>
      </w:pPr>
      <w:r>
        <w:rPr>
          <w:b/>
          <w:color w:val="1F3864"/>
          <w:sz w:val="30"/>
        </w:rPr>
        <w:t>9. The Algo (educational paper track record)</w:t>
      </w:r>
    </w:p>
    <w:p>
      <w:r>
        <w:t>The paper strategy sits at $50,418, up 0.8% since its late-May inception. That's ahead of the S&amp;P (-0.4%) and well ahead of QQQ (-5.7%) over the same stretch, mostly because it's been long financials and health care while the Nasdaq's chip weighting dragged. It had a rough week itself, down 1.7%, and it's in a 5% drawdown.</w:t>
      </w:r>
    </w:p>
    <w:p>
      <w:r>
        <w:t>Be clear-eyed about the record: 44 closed trades, 11 winners, a 25% win rate, averaging -1.2% per trade. It wins by letting the few winners run far past the many small losers. The two it closed green this week, BNY (+11.6%, +2.87R) and CVS (+9.1%, +1.84R), each earned multiples of what a loser cost. The rest of the week's exits were a cluster of health-care and hospitality REIT stops: VTR, WELL, AHR and XHR all stopped out for 4-5% losses within days of entry, and ROK timed out flat. That REIT cluster getting knocked out lines up with utilities and rate-sensitives falling down the board this week.</w:t>
      </w:r>
    </w:p>
    <w:p>
      <w:r>
        <w:t>The open book is now heavily financials (JPM, BAC, MET, USB, CFG, MTB, plus fresh adds MA, WEX and WTW) with a health-care tail (DVA +13%, TMO, IQV), the same rotation the rankings are showing, expressed as trades. New entries this week (MA, WTW, DRH, RHP) are barely off their entry price, so the jury's out.</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pBdr>
          <w:bottom w:val="single" w:sz="6" w:space="1" w:color="C0C0C0"/>
        </w:pBdr>
      </w:pPr>
    </w:p>
    <w:p>
      <w:pPr>
        <w:spacing w:before="240" w:after="80"/>
      </w:pPr>
      <w:r>
        <w:rPr>
          <w:b/>
          <w:color w:val="1F3864"/>
          <w:sz w:val="30"/>
        </w:rPr>
        <w:t>10. Key events next week</w:t>
      </w:r>
    </w:p>
    <w:p>
      <w:pPr>
        <w:pStyle w:val="ListBullet"/>
      </w:pPr>
      <w:r>
        <w:t>Wednesday, Aug 6 — weekly jobless claims. The real tell: claims already crept up to 197,000. Another leg higher starts to look like a trend rather than noise, and that pulls the Fed's dovish wing louder. A drop back down hands the argument to the three hawks.</w:t>
      </w:r>
    </w:p>
    <w:p>
      <w:pPr>
        <w:pStyle w:val="ListBullet"/>
      </w:pPr>
      <w:r>
        <w:t>Friday, Aug 7 — nonfarm payrolls and unemployment. The one that matters. Last print was a soft +57k with unemployment at 4.2%. Another weak number against 3.5% CPI is the market's nightmare scenario, cooling growth with sticky prices, and it would test whether the steepening curve is right about cuts. A hot number flips the rate debate hard.</w:t>
      </w:r>
    </w:p>
    <w:p>
      <w:r>
        <w:t>No individual earnings reports flagged on the calendar for next week in our inputs, so the week is macro-driven. Watch the overseas memory tape too: Korean chip stocks staged a dramatic rebound into Friday after a brutal month, and that lands on our semis and Micron the following session.</w:t>
      </w:r>
    </w:p>
    <w:p>
      <w:pPr>
        <w:pBdr>
          <w:bottom w:val="single" w:sz="6" w:space="1" w:color="C0C0C0"/>
        </w:pBdr>
      </w:pPr>
    </w:p>
    <w:p>
      <w:pPr>
        <w:spacing w:before="240" w:after="80"/>
      </w:pPr>
      <w:r>
        <w:rPr>
          <w:b/>
          <w:color w:val="1F3864"/>
          <w:sz w:val="30"/>
        </w:rPr>
        <w:t>11. Glossary</w:t>
      </w:r>
    </w:p>
    <w:p>
      <w:pPr>
        <w:pStyle w:val="ListBullet"/>
      </w:pPr>
      <w:r>
        <w:rPr>
          <w:b/>
        </w:rPr>
        <w:t>Our rank / the board:</w:t>
      </w:r>
      <w:r>
        <w:t xml:space="preserve"> we sort every US stock we track by relative strength, #1 strongest. "#42 in our system" = 42nd-strongest of ~1,900.</w:t>
      </w:r>
    </w:p>
    <w:p>
      <w:pPr>
        <w:pStyle w:val="ListBullet"/>
      </w:pPr>
      <w:r>
        <w:rPr>
          <w:b/>
        </w:rPr>
        <w:t>Relative strength (RS):</w:t>
      </w:r>
      <w:r>
        <w:t xml:space="preserve"> performance versus the rest of the market, not in isolation. Rising RS = outperforming.</w:t>
      </w:r>
    </w:p>
    <w:p>
      <w:pPr>
        <w:pStyle w:val="ListBullet"/>
      </w:pPr>
      <w:r>
        <w:rPr>
          <w:b/>
        </w:rPr>
        <w:t>Moving averages (20/50/200-day):</w:t>
      </w:r>
      <w:r>
        <w:t xml:space="preserve"> the trend lines. A healthy uptrend has price above a rising 20-day, itself above the 200-day. "Extended" means far above the 20-day and prone to a pullback.</w:t>
      </w:r>
    </w:p>
    <w:p>
      <w:pPr>
        <w:pStyle w:val="ListBullet"/>
      </w:pPr>
      <w:r>
        <w:rPr>
          <w:b/>
        </w:rPr>
        <w:t>Crack spread:</w:t>
      </w:r>
      <w:r>
        <w:t xml:space="preserve"> the margin a refiner earns between the crude it buys and the fuel it sells. Cheaper crude with steady fuel prices = a wider crack.</w:t>
      </w:r>
    </w:p>
    <w:p>
      <w:pPr>
        <w:pStyle w:val="ListBullet"/>
      </w:pPr>
      <w:r>
        <w:rPr>
          <w:b/>
        </w:rPr>
        <w:t>2s10s spread:</w:t>
      </w:r>
      <w:r>
        <w:t xml:space="preserve"> the 10-year Treasury yield minus the 2-year. Positive and steepening (45bp now) usually means the market expects rate cuts ahead.</w:t>
      </w:r>
    </w:p>
    <w:p>
      <w:pPr>
        <w:pStyle w:val="ListBullet"/>
      </w:pPr>
      <w:r>
        <w:rPr>
          <w:b/>
        </w:rPr>
        <w:t>VIX:</w:t>
      </w:r>
      <w:r>
        <w:t xml:space="preserve"> the fear gauge. Below 20 is calm.</w:t>
      </w:r>
    </w:p>
    <w:p>
      <w:pPr>
        <w:pStyle w:val="ListBullet"/>
      </w:pPr>
      <w:r>
        <w:rPr>
          <w:b/>
        </w:rPr>
        <w:t>Credit spreads / high-yield (junk) bonds:</w:t>
      </w:r>
      <w:r>
        <w:t xml:space="preserve"> the extra yield risky companies pay over Treasuries. Widening spreads or falling junk-bond prices are early stress signals; steady is calm.</w:t>
      </w:r>
    </w:p>
    <w:p>
      <w:pPr>
        <w:pStyle w:val="ListBullet"/>
      </w:pPr>
      <w:r>
        <w:rPr>
          <w:b/>
        </w:rPr>
        <w:t>Safe havens (gold, the dollar):</w:t>
      </w:r>
      <w:r>
        <w:t xml:space="preserve"> where money hides when scared. Flat gold and a soft dollar through a scary headline means the market is treating it as noise.</w:t>
      </w:r>
    </w:p>
    <w:p>
      <w:pPr>
        <w:pStyle w:val="ListBullet"/>
      </w:pPr>
      <w:r>
        <w:rPr>
          <w:b/>
        </w:rPr>
        <w:t>Node momentum:</w:t>
      </w:r>
      <w:r>
        <w:t xml:space="preserve"> a 0–100 score blending RS rank, trend and price-vs-the-50-day; 50 is the middle of the universe.</w:t>
      </w:r>
    </w:p>
    <w:p>
      <w:pPr>
        <w:pBdr>
          <w:bottom w:val="single" w:sz="6" w:space="1" w:color="C0C0C0"/>
        </w:pBdr>
      </w:pPr>
    </w:p>
    <w:p>
      <w:r>
        <w:t>The tape closed the week within 1.6% of a record while the Fed nearly hiked and Apple stumbled, which tells you the fear just isn't there. Under that calm, the board moved money out of chips and utilities and into refiners, financials, health care and IT consulting, and the index's 1% gain masked more fallers than risers. Own the leaders, mind the narrow breadth, and don't let a green index number talk you out of reading the rank. Stay invested, stay selective, and we'll see you next Sunday.</w:t>
      </w:r>
    </w:p>
    <w:p>
      <w:r>
        <w:rPr>
          <w:i/>
        </w:rPr>
        <w:t>This is educational market commentary, not financial advice. Every watchlist here is a starting point for your own research, never a recommendation.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