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F3864"/>
          <w:sz w:val="48"/>
        </w:rPr>
        <w:t>When the Index Naps and the Money Sprints</w:t>
      </w:r>
    </w:p>
    <w:p>
      <w:r>
        <w:rPr>
          <w:i/>
        </w:rPr>
        <w:t>Issue 34 · August 14, 2026 · A weekly read built on ranking ~1,900 US stocks by relative strength every day</w:t>
      </w:r>
    </w:p>
    <w:p>
      <w:r>
        <w:t>The S&amp;P closed at 7785.76, a whisker under Wednesday's record high, and the VIX sat at 14.25 like nothing was happening. Under that calm, the money moved with real urgency. Energy rocketed up our board, airlines fell off a cliff, and Korea's memory chips had their best week in ages. The quiet tape is hiding a loud rotation.</w:t>
      </w:r>
    </w:p>
    <w:p>
      <w:pPr>
        <w:spacing w:before="240" w:after="80"/>
      </w:pPr>
      <w:r>
        <w:rPr>
          <w:b/>
          <w:color w:val="1F3864"/>
          <w:sz w:val="30"/>
        </w:rPr>
        <w:t>Grading last time's calls</w:t>
      </w:r>
    </w:p>
    <w:p>
      <w:r>
        <w:t>Three open calls from late June, resolving into early July. Judged against where the board sits now, honestly.</w:t>
      </w:r>
    </w:p>
    <w:p>
      <w:r>
        <w:t>Call: the regime stays healthy — VIX under 20, breadth above 60% above the 200-day. Win, A. VIX is 14.25 and 71.64% of stocks sit above their 200-day. Both held with room to spare, and they still hold today.</w:t>
      </w:r>
    </w:p>
    <w:p>
      <w:r>
        <w:t>Call: semis stay in the lower half of the board and don't reclaim a top-20 peer rank. Win, B. Broad chip leadership never came back. Taiwan Semi still ranks #1079, and Applied Materials fell about 6% on its report this week. The asterisk is Korea, where the memory cycle is heating up fast, so this one is aging into a fight (more below).</w:t>
      </w:r>
    </w:p>
    <w:p>
      <w:r>
        <w:t>Call: the health-care/biotech wave holds its rank gains into a second week. Partial, C. I can't replay the exact July snapshot, but biotech is unmistakably alive now, with AbCellera, Insmet and Natera all climbing hard. Health Care REITs, meanwhile, fell from #58 to #121. So the "wave" is real but choppy, not the clean hold I wanted credit for.</w:t>
      </w:r>
    </w:p>
    <w:p>
      <w:pPr>
        <w:spacing w:before="240" w:after="80"/>
      </w:pPr>
      <w:r>
        <w:rPr>
          <w:b/>
          <w:color w:val="1F3864"/>
          <w:sz w:val="30"/>
        </w:rPr>
        <w:t>1. Oil woke up, and energy took the board</w:t>
      </w:r>
    </w:p>
    <w:p>
      <w:r>
        <w:t>The biggest move this week wasn't in the index level, it was in the sector rankings. Energy leapt from #86 to #11. Oil &amp; Gas Exploration &amp; Production went #99 to #29, and the drillers and service names (Oil &amp; Gas Equipment &amp; Services) went #105 to #41. That's not drift. That's a stampede.</w:t>
      </w:r>
    </w:p>
    <w:p>
      <w:r>
        <w:t>The fuel behind it: Brent crude rose about 6% on the week. The headlines point at a US–Iran deadlock that won't resolve, tanker attacks, and no progress toward a peace deal. Supply-shock stuff, not demand strength. OPEC and the IEA both cut their demand outlooks for the year, so this is a fear premium on barrels, not a booming economy bidding for them.</w:t>
      </w:r>
    </w:p>
    <w:p>
      <w:r>
        <w:t>You can see the pull-through in our climbers. Helmerich &amp; Payne jumped from #945 to #127 (+19.1% on the week), NESR from #796 to #105 (+25.1%), Northern Oil &amp; Gas #943 to #299, and CNR #1023 to #362. Four of the top 25 weekly climbers are energy names. Valero showed up on our watchlist at #184, having climbed 310 spots.</w:t>
      </w:r>
    </w:p>
    <w:p>
      <w:r>
        <w:t>The flip side of a supply-driven oil spike is the group that burns the stuff. Passenger Airlines fell from #21 all the way to #103, the worst sector move on the board this week. When jet fuel gets more expensive and nobody's sure why oil's rising, the market sells the airlines first and asks questions later. Cost flows to whoever can't pass it on.</w:t>
      </w:r>
    </w:p>
    <w:p>
      <w:pPr>
        <w:spacing w:before="240" w:after="80"/>
      </w:pPr>
      <w:r>
        <w:rPr>
          <w:b/>
          <w:color w:val="1F3864"/>
          <w:sz w:val="30"/>
        </w:rPr>
        <w:t>2. Cool inflation, a nervous Fed, and a jobs number nobody's talking enough about</w:t>
      </w:r>
    </w:p>
    <w:p>
      <w:r>
        <w:t xml:space="preserve">CPI came in at 3.4% year over year, right where the Street expected, and wholesale prices (PPI) landed cold. Both readings nudged the odds toward the Fed sitting still in September rather than hiking. Note the direction of that sentence: the debate here is about a </w:t>
      </w:r>
      <w:r>
        <w:rPr>
          <w:i/>
        </w:rPr>
        <w:t>hike</w:t>
      </w:r>
      <w:r>
        <w:t>, not a cut, because the Fed's been leaning hawkish and inflation is still sitting above target.</w:t>
      </w:r>
    </w:p>
    <w:p>
      <w:r>
        <w:t>The bond market is voting for calm. The 10-year yield eased to 4.63% (down 6 basis points) and the 2-year to 4.15% (down 10), leaving the 2s10s spread at a positive 48bp and steepening. Falling yields take pressure off the expensive, long-duration corners of the market like chips and software, part of why the tape held up.</w:t>
      </w:r>
    </w:p>
    <w:p>
      <w:r>
        <w:t xml:space="preserve">Now the number that deserves more airtime than it's getting: the last nonfarm payrolls print was </w:t>
      </w:r>
      <w:r>
        <w:rPr>
          <w:b/>
        </w:rPr>
        <w:t>-23k</w:t>
      </w:r>
      <w:r>
        <w:t>. Jobs went backwards. Unemployment is still only 4.1%, so this isn't a crisis, but a shrinking payroll plus cooling inflation is the mix that argues the Fed's next real move is a cut, not a hike, whatever the hawks say into Jackson Hole. The Fed-funds target upper still sits at 3.63%.</w:t>
      </w:r>
    </w:p>
    <w:p>
      <w:r>
        <w:t>For your money, the read is simple enough. The rate backdrop is a tailwind for stocks right now, and the biggest risk to it is the thing in section 1. If oil keeps climbing, the inflation story reopens and the Fed's hands get tied.</w:t>
      </w:r>
    </w:p>
    <w:p>
      <w:pPr>
        <w:spacing w:before="240" w:after="80"/>
      </w:pPr>
      <w:r>
        <w:rPr>
          <w:b/>
          <w:color w:val="1F3864"/>
          <w:sz w:val="30"/>
        </w:rPr>
        <w:t>3. Korea's memory rocket — the semiconductor tell you can't see on the US board</w:t>
      </w:r>
    </w:p>
    <w:p>
      <w:r>
        <w:t>The KOSPI rose 11.5% on the week. That's not a typo, and it's the most important overseas move of the week for US investors. Korea is Samsung and SK Hynix, which means Korea is the global memory cycle. The catalyst was a report of a potential large investment into both names plus a broad AI-driven chip rally in Seoul. When memory prices firm and money floods the Korean makers, that's a direct read on US memory (Micron and the rest) and on the AI supply chain generally.</w:t>
      </w:r>
    </w:p>
    <w:p>
      <w:r>
        <w:t>Taiwan's TAIEX rose 3.6% in the same stretch, the TSMC-and-AI tell pointing the same way. You can see the echo starting on our board: Nvidia's rank improved 267 spots to #377 on flat price, and Taiwan Semi's ADR climbed 315 spots (still buried at #1079, but moving). Sandisk, a memory name, got upgraded to Buy at Argus this week and was up about 35% — though watch it, because its rank is still #1152 even after climbing 473 spots, which is money chasing price more than leadership confirming.</w:t>
      </w:r>
    </w:p>
    <w:p>
      <w:r>
        <w:t>That's the tension with my "semis stay weak" call. Broad US chip leadership still isn't here. But the leading edge of the cycle — Korea, Taiwan, memory — is turning. If you're watching one thing overseas next week, it's whether Seoul holds this gain or gives it back.</w:t>
      </w:r>
    </w:p>
    <w:p>
      <w:r>
        <w:t>Japan's Nikkei rose 4.7%, with USD/JPY around 159.3 and barely moved. The carry-trade gauge is quiet, so no global risk-off signal firing from Tokyo. Foreign investors did trim Japanese stocks on yen-intervention worries, worth a note, but nothing that says duck.</w:t>
      </w:r>
    </w:p>
    <w:p>
      <w:pPr>
        <w:spacing w:before="240" w:after="80"/>
      </w:pPr>
      <w:r>
        <w:rPr>
          <w:b/>
          <w:color w:val="1F3864"/>
          <w:sz w:val="30"/>
        </w:rPr>
        <w:t>4. The mega-caps leaked while the index held — read both clocks</w:t>
      </w:r>
    </w:p>
    <w:p>
      <w:r>
        <w:t>The S&amp;P rose 0.4% on the week and printed within 0.2% of a record. You might assume the giants carried it. They didn't.</w:t>
      </w:r>
    </w:p>
    <w:p>
      <w:r>
        <w:t>Look at the mega-cap table. Apple fell 2.3% and its rank collapsed 445 spots to #1617, and Jefferies cut it this week from Hold to Underperform against a Street that's still mostly at Buy. Alphabet's two share classes each dropped 2-3% and shed 260-300 ranks. Amazon fell 4.3% (rank #534, down 154). Broadcom fell 8.1%, giving back 207 ranks to #703. Even Berkshire, after its report, fell 3.4% and dropped 493 ranks to #1066. Microsoft is the lone giant still near the top at #33.</w:t>
      </w:r>
    </w:p>
    <w:p>
      <w:r>
        <w:t>So how did the index hold near a record with most of its largest members leaking? Breadth. Advancers beat decliners 1041 to 885, and the leadership came from energy, health care and mid-cap software instead of the usual four or five names. That's a healthier picture than a narrow melt-up, even if it doesn't feel exciting.</w:t>
      </w:r>
    </w:p>
    <w:p>
      <w:r>
        <w:t>The paid-for point sits in the divergences list. Nebius rose about 48% on a blow-out quarter (revenue up 454% year over year as GPU rental prices tripled) and its rank did confirm, jumping 637 spots. But plenty of others rose on price while rank lagged — Sandisk, UWM, WhiteFiber. A stock can pop 25% and still not be leading. The rank has been the better guide to the months ahead than the green candle.</w:t>
      </w:r>
    </w:p>
    <w:p>
      <w:pPr>
        <w:spacing w:before="240" w:after="80"/>
      </w:pPr>
      <w:r>
        <w:rPr>
          <w:b/>
          <w:color w:val="1F3864"/>
          <w:sz w:val="30"/>
        </w:rPr>
        <w:t>5. Theme of the week: how a dollar actually moves (Fintech &amp; Digital Payments)</w:t>
      </w:r>
    </w:p>
    <w:p>
      <w:r>
        <w:t>Forget stock picks for a minute and follow a single card swipe through the plumbing. It's the cleanest way to see where the money in fintech actually collects.</w:t>
      </w:r>
    </w:p>
    <w:p>
      <w:r>
        <w:t>You tap your card at lunch. First it hits a network — Visa, Mastercard, Amex — the toll roads that carry the transaction. Then a processor — Shift4, Fiserv, Global Payments, Toast — does the unglamorous work of plugging the restaurant into those toll roads and settling the money. From there the cash lands in an account held by a neobank or app — PayPal, SoFi, Nu, Robinhood. Some purchases route through a lender instead (Affirm, the buy-now-pay-later crowd). And underneath it all sits infrastructure: FICO scores, Jack Henry's bank software, cross-border rails like Flywire.</w:t>
      </w:r>
    </w:p>
    <w:p>
      <w:r>
        <w:t>Where's the money pooling right now? The processors. That link scores 62/100 on our momentum gauge, the hottest in the chain, while the networks sit at 45 and the lenders at 43. The plumbers, not the toll roads, are where strength is concentrating this week. The standout is Global Payments — momentum 81/100, ranked #193 of ~1,900. If you like the "cheap and growing" angle as a screen (not a recommendation), Shift4 trades at a price-to-sales of 0.7 while growing revenue 34% year over year.</w:t>
      </w:r>
    </w:p>
    <w:p>
      <w:r>
        <w:t>One honest caveat: the theme as a whole is cooling, its median momentum score slipped from 50 to 44 in a week. So the plumbing link is hot inside a group that's losing a step. A value chain can have one strong link while the average member fades. This is a curated teaching spotlight covering part of the market, not a call to rotate your book into payments.</w:t>
      </w:r>
    </w:p>
    <w:p>
      <w:pPr>
        <w:spacing w:before="240" w:after="80"/>
      </w:pPr>
      <w:r>
        <w:rPr>
          <w:b/>
          <w:color w:val="1F3864"/>
          <w:sz w:val="30"/>
        </w:rPr>
        <w:t>6. Where the money is going</w:t>
      </w:r>
    </w:p>
    <w:p>
      <w:r>
        <w:t>The strongest names on the board, top ten in order:</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F3864"/>
          </w:tcPr>
          <w:p>
            <w:r>
              <w:rPr>
                <w:b/>
                <w:color w:val="FFFFFF"/>
                <w:sz w:val="19"/>
              </w:rPr>
              <w:t>#</w:t>
            </w:r>
          </w:p>
        </w:tc>
        <w:tc>
          <w:tcPr>
            <w:tcW w:type="dxa" w:w="1930"/>
            <w:shd w:val="clear" w:fill="1F3864"/>
          </w:tcPr>
          <w:p>
            <w:r>
              <w:rPr>
                <w:b/>
                <w:color w:val="FFFFFF"/>
                <w:sz w:val="19"/>
              </w:rPr>
              <w:t>Ticker</w:t>
            </w:r>
          </w:p>
        </w:tc>
        <w:tc>
          <w:tcPr>
            <w:tcW w:type="dxa" w:w="1930"/>
            <w:shd w:val="clear" w:fill="1F3864"/>
          </w:tcPr>
          <w:p>
            <w:r>
              <w:rPr>
                <w:b/>
                <w:color w:val="FFFFFF"/>
                <w:sz w:val="19"/>
              </w:rPr>
              <w:t>Company</w:t>
            </w:r>
          </w:p>
        </w:tc>
        <w:tc>
          <w:tcPr>
            <w:tcW w:type="dxa" w:w="1930"/>
            <w:shd w:val="clear" w:fill="1F3864"/>
          </w:tcPr>
          <w:p>
            <w:r>
              <w:rPr>
                <w:b/>
                <w:color w:val="FFFFFF"/>
                <w:sz w:val="19"/>
              </w:rPr>
              <w:t>Industry</w:t>
            </w:r>
          </w:p>
        </w:tc>
        <w:tc>
          <w:tcPr>
            <w:tcW w:type="dxa" w:w="1930"/>
            <w:shd w:val="clear" w:fill="1F3864"/>
          </w:tcPr>
          <w:p>
            <w:r>
              <w:rPr>
                <w:b/>
                <w:color w:val="FFFFFF"/>
                <w:sz w:val="19"/>
              </w:rPr>
              <w:t>Wk %</w:t>
            </w:r>
          </w:p>
        </w:tc>
      </w:tr>
      <w:tr>
        <w:tc>
          <w:tcPr>
            <w:tcW w:type="dxa" w:w="1930"/>
          </w:tcPr>
          <w:p>
            <w:r>
              <w:rPr>
                <w:sz w:val="19"/>
              </w:rPr>
              <w:t>1</w:t>
            </w:r>
          </w:p>
        </w:tc>
        <w:tc>
          <w:tcPr>
            <w:tcW w:type="dxa" w:w="1930"/>
          </w:tcPr>
          <w:p>
            <w:r>
              <w:rPr>
                <w:sz w:val="19"/>
              </w:rPr>
              <w:t>ZBRA</w:t>
            </w:r>
          </w:p>
        </w:tc>
        <w:tc>
          <w:tcPr>
            <w:tcW w:type="dxa" w:w="1930"/>
          </w:tcPr>
          <w:p>
            <w:r>
              <w:rPr>
                <w:sz w:val="19"/>
              </w:rPr>
              <w:t>Zebra Technologies</w:t>
            </w:r>
          </w:p>
        </w:tc>
        <w:tc>
          <w:tcPr>
            <w:tcW w:type="dxa" w:w="1930"/>
          </w:tcPr>
          <w:p>
            <w:r>
              <w:rPr>
                <w:sz w:val="19"/>
              </w:rPr>
              <w:t>Electronic Equip &amp; Instruments</w:t>
            </w:r>
          </w:p>
        </w:tc>
        <w:tc>
          <w:tcPr>
            <w:tcW w:type="dxa" w:w="1930"/>
          </w:tcPr>
          <w:p>
            <w:r>
              <w:rPr>
                <w:sz w:val="19"/>
              </w:rPr>
              <w:t>-0.1%</w:t>
            </w:r>
          </w:p>
        </w:tc>
      </w:tr>
      <w:tr>
        <w:tc>
          <w:tcPr>
            <w:tcW w:type="dxa" w:w="1930"/>
            <w:shd w:val="clear" w:fill="EEF1F7"/>
          </w:tcPr>
          <w:p>
            <w:r>
              <w:rPr>
                <w:sz w:val="19"/>
              </w:rPr>
              <w:t>2</w:t>
            </w:r>
          </w:p>
        </w:tc>
        <w:tc>
          <w:tcPr>
            <w:tcW w:type="dxa" w:w="1930"/>
            <w:shd w:val="clear" w:fill="EEF1F7"/>
          </w:tcPr>
          <w:p>
            <w:r>
              <w:rPr>
                <w:sz w:val="19"/>
              </w:rPr>
              <w:t>EFOR</w:t>
            </w:r>
          </w:p>
        </w:tc>
        <w:tc>
          <w:tcPr>
            <w:tcW w:type="dxa" w:w="1930"/>
            <w:shd w:val="clear" w:fill="EEF1F7"/>
          </w:tcPr>
          <w:p>
            <w:r>
              <w:rPr>
                <w:sz w:val="19"/>
              </w:rPr>
              <w:t>Everforth</w:t>
            </w:r>
          </w:p>
        </w:tc>
        <w:tc>
          <w:tcPr>
            <w:tcW w:type="dxa" w:w="1930"/>
            <w:shd w:val="clear" w:fill="EEF1F7"/>
          </w:tcPr>
          <w:p>
            <w:r>
              <w:rPr>
                <w:sz w:val="19"/>
              </w:rPr>
              <w:t>IT Consulting &amp; Services</w:t>
            </w:r>
          </w:p>
        </w:tc>
        <w:tc>
          <w:tcPr>
            <w:tcW w:type="dxa" w:w="1930"/>
            <w:shd w:val="clear" w:fill="EEF1F7"/>
          </w:tcPr>
          <w:p>
            <w:r>
              <w:rPr>
                <w:sz w:val="19"/>
              </w:rPr>
              <w:t>-1.7%</w:t>
            </w:r>
          </w:p>
        </w:tc>
      </w:tr>
      <w:tr>
        <w:tc>
          <w:tcPr>
            <w:tcW w:type="dxa" w:w="1930"/>
          </w:tcPr>
          <w:p>
            <w:r>
              <w:rPr>
                <w:sz w:val="19"/>
              </w:rPr>
              <w:t>3</w:t>
            </w:r>
          </w:p>
        </w:tc>
        <w:tc>
          <w:tcPr>
            <w:tcW w:type="dxa" w:w="1930"/>
          </w:tcPr>
          <w:p>
            <w:r>
              <w:rPr>
                <w:sz w:val="19"/>
              </w:rPr>
              <w:t>CAKE</w:t>
            </w:r>
          </w:p>
        </w:tc>
        <w:tc>
          <w:tcPr>
            <w:tcW w:type="dxa" w:w="1930"/>
          </w:tcPr>
          <w:p>
            <w:r>
              <w:rPr>
                <w:sz w:val="19"/>
              </w:rPr>
              <w:t>Cheesecake Factory</w:t>
            </w:r>
          </w:p>
        </w:tc>
        <w:tc>
          <w:tcPr>
            <w:tcW w:type="dxa" w:w="1930"/>
          </w:tcPr>
          <w:p>
            <w:r>
              <w:rPr>
                <w:sz w:val="19"/>
              </w:rPr>
              <w:t>Restaurants</w:t>
            </w:r>
          </w:p>
        </w:tc>
        <w:tc>
          <w:tcPr>
            <w:tcW w:type="dxa" w:w="1930"/>
          </w:tcPr>
          <w:p>
            <w:r>
              <w:rPr>
                <w:sz w:val="19"/>
              </w:rPr>
              <w:t>+6.2%</w:t>
            </w:r>
          </w:p>
        </w:tc>
      </w:tr>
      <w:tr>
        <w:tc>
          <w:tcPr>
            <w:tcW w:type="dxa" w:w="1930"/>
            <w:shd w:val="clear" w:fill="EEF1F7"/>
          </w:tcPr>
          <w:p>
            <w:r>
              <w:rPr>
                <w:sz w:val="19"/>
              </w:rPr>
              <w:t>4</w:t>
            </w:r>
          </w:p>
        </w:tc>
        <w:tc>
          <w:tcPr>
            <w:tcW w:type="dxa" w:w="1930"/>
            <w:shd w:val="clear" w:fill="EEF1F7"/>
          </w:tcPr>
          <w:p>
            <w:r>
              <w:rPr>
                <w:sz w:val="19"/>
              </w:rPr>
              <w:t>GCT</w:t>
            </w:r>
          </w:p>
        </w:tc>
        <w:tc>
          <w:tcPr>
            <w:tcW w:type="dxa" w:w="1930"/>
            <w:shd w:val="clear" w:fill="EEF1F7"/>
          </w:tcPr>
          <w:p>
            <w:r>
              <w:rPr>
                <w:sz w:val="19"/>
              </w:rPr>
              <w:t>GigaCloud Technology</w:t>
            </w:r>
          </w:p>
        </w:tc>
        <w:tc>
          <w:tcPr>
            <w:tcW w:type="dxa" w:w="1930"/>
            <w:shd w:val="clear" w:fill="EEF1F7"/>
          </w:tcPr>
          <w:p>
            <w:r>
              <w:rPr>
                <w:sz w:val="19"/>
              </w:rPr>
              <w:t>Software - Infrastructure</w:t>
            </w:r>
          </w:p>
        </w:tc>
        <w:tc>
          <w:tcPr>
            <w:tcW w:type="dxa" w:w="1930"/>
            <w:shd w:val="clear" w:fill="EEF1F7"/>
          </w:tcPr>
          <w:p>
            <w:r>
              <w:rPr>
                <w:sz w:val="19"/>
              </w:rPr>
              <w:t>-2.6%</w:t>
            </w:r>
          </w:p>
        </w:tc>
      </w:tr>
      <w:tr>
        <w:tc>
          <w:tcPr>
            <w:tcW w:type="dxa" w:w="1930"/>
          </w:tcPr>
          <w:p>
            <w:r>
              <w:rPr>
                <w:sz w:val="19"/>
              </w:rPr>
              <w:t>5</w:t>
            </w:r>
          </w:p>
        </w:tc>
        <w:tc>
          <w:tcPr>
            <w:tcW w:type="dxa" w:w="1930"/>
          </w:tcPr>
          <w:p>
            <w:r>
              <w:rPr>
                <w:sz w:val="19"/>
              </w:rPr>
              <w:t>NSIT</w:t>
            </w:r>
          </w:p>
        </w:tc>
        <w:tc>
          <w:tcPr>
            <w:tcW w:type="dxa" w:w="1930"/>
          </w:tcPr>
          <w:p>
            <w:r>
              <w:rPr>
                <w:sz w:val="19"/>
              </w:rPr>
              <w:t>Insight Enterprises</w:t>
            </w:r>
          </w:p>
        </w:tc>
        <w:tc>
          <w:tcPr>
            <w:tcW w:type="dxa" w:w="1930"/>
          </w:tcPr>
          <w:p>
            <w:r>
              <w:rPr>
                <w:sz w:val="19"/>
              </w:rPr>
              <w:t>Technology Distributors</w:t>
            </w:r>
          </w:p>
        </w:tc>
        <w:tc>
          <w:tcPr>
            <w:tcW w:type="dxa" w:w="1930"/>
          </w:tcPr>
          <w:p>
            <w:r>
              <w:rPr>
                <w:sz w:val="19"/>
              </w:rPr>
              <w:t>+3.3%</w:t>
            </w:r>
          </w:p>
        </w:tc>
      </w:tr>
      <w:tr>
        <w:tc>
          <w:tcPr>
            <w:tcW w:type="dxa" w:w="1930"/>
            <w:shd w:val="clear" w:fill="EEF1F7"/>
          </w:tcPr>
          <w:p>
            <w:r>
              <w:rPr>
                <w:sz w:val="19"/>
              </w:rPr>
              <w:t>6</w:t>
            </w:r>
          </w:p>
        </w:tc>
        <w:tc>
          <w:tcPr>
            <w:tcW w:type="dxa" w:w="1930"/>
            <w:shd w:val="clear" w:fill="EEF1F7"/>
          </w:tcPr>
          <w:p>
            <w:r>
              <w:rPr>
                <w:sz w:val="19"/>
              </w:rPr>
              <w:t>ITGR</w:t>
            </w:r>
          </w:p>
        </w:tc>
        <w:tc>
          <w:tcPr>
            <w:tcW w:type="dxa" w:w="1930"/>
            <w:shd w:val="clear" w:fill="EEF1F7"/>
          </w:tcPr>
          <w:p>
            <w:r>
              <w:rPr>
                <w:sz w:val="19"/>
              </w:rPr>
              <w:t>Integer Holdings</w:t>
            </w:r>
          </w:p>
        </w:tc>
        <w:tc>
          <w:tcPr>
            <w:tcW w:type="dxa" w:w="1930"/>
            <w:shd w:val="clear" w:fill="EEF1F7"/>
          </w:tcPr>
          <w:p>
            <w:r>
              <w:rPr>
                <w:sz w:val="19"/>
              </w:rPr>
              <w:t>Health Care Equipment</w:t>
            </w:r>
          </w:p>
        </w:tc>
        <w:tc>
          <w:tcPr>
            <w:tcW w:type="dxa" w:w="1930"/>
            <w:shd w:val="clear" w:fill="EEF1F7"/>
          </w:tcPr>
          <w:p>
            <w:r>
              <w:rPr>
                <w:sz w:val="19"/>
              </w:rPr>
              <w:t>-0.0%</w:t>
            </w:r>
          </w:p>
        </w:tc>
      </w:tr>
      <w:tr>
        <w:tc>
          <w:tcPr>
            <w:tcW w:type="dxa" w:w="1930"/>
          </w:tcPr>
          <w:p>
            <w:r>
              <w:rPr>
                <w:sz w:val="19"/>
              </w:rPr>
              <w:t>7</w:t>
            </w:r>
          </w:p>
        </w:tc>
        <w:tc>
          <w:tcPr>
            <w:tcW w:type="dxa" w:w="1930"/>
          </w:tcPr>
          <w:p>
            <w:r>
              <w:rPr>
                <w:sz w:val="19"/>
              </w:rPr>
              <w:t>P</w:t>
            </w:r>
          </w:p>
        </w:tc>
        <w:tc>
          <w:tcPr>
            <w:tcW w:type="dxa" w:w="1930"/>
          </w:tcPr>
          <w:p>
            <w:r>
              <w:rPr>
                <w:sz w:val="19"/>
              </w:rPr>
              <w:t>Everpure</w:t>
            </w:r>
          </w:p>
        </w:tc>
        <w:tc>
          <w:tcPr>
            <w:tcW w:type="dxa" w:w="1930"/>
          </w:tcPr>
          <w:p>
            <w:r>
              <w:rPr>
                <w:sz w:val="19"/>
              </w:rPr>
              <w:t>Tech Hardware &amp; Storage</w:t>
            </w:r>
          </w:p>
        </w:tc>
        <w:tc>
          <w:tcPr>
            <w:tcW w:type="dxa" w:w="1930"/>
          </w:tcPr>
          <w:p>
            <w:r>
              <w:rPr>
                <w:sz w:val="19"/>
              </w:rPr>
              <w:t>+31.2%</w:t>
            </w:r>
          </w:p>
        </w:tc>
      </w:tr>
      <w:tr>
        <w:tc>
          <w:tcPr>
            <w:tcW w:type="dxa" w:w="1930"/>
            <w:shd w:val="clear" w:fill="EEF1F7"/>
          </w:tcPr>
          <w:p>
            <w:r>
              <w:rPr>
                <w:sz w:val="19"/>
              </w:rPr>
              <w:t>8</w:t>
            </w:r>
          </w:p>
        </w:tc>
        <w:tc>
          <w:tcPr>
            <w:tcW w:type="dxa" w:w="1930"/>
            <w:shd w:val="clear" w:fill="EEF1F7"/>
          </w:tcPr>
          <w:p>
            <w:r>
              <w:rPr>
                <w:sz w:val="19"/>
              </w:rPr>
              <w:t>CHYM</w:t>
            </w:r>
          </w:p>
        </w:tc>
        <w:tc>
          <w:tcPr>
            <w:tcW w:type="dxa" w:w="1930"/>
            <w:shd w:val="clear" w:fill="EEF1F7"/>
          </w:tcPr>
          <w:p>
            <w:r>
              <w:rPr>
                <w:sz w:val="19"/>
              </w:rPr>
              <w:t>Chime Financial</w:t>
            </w:r>
          </w:p>
        </w:tc>
        <w:tc>
          <w:tcPr>
            <w:tcW w:type="dxa" w:w="1930"/>
            <w:shd w:val="clear" w:fill="EEF1F7"/>
          </w:tcPr>
          <w:p>
            <w:r>
              <w:rPr>
                <w:sz w:val="19"/>
              </w:rPr>
              <w:t>Software - Application</w:t>
            </w:r>
          </w:p>
        </w:tc>
        <w:tc>
          <w:tcPr>
            <w:tcW w:type="dxa" w:w="1930"/>
            <w:shd w:val="clear" w:fill="EEF1F7"/>
          </w:tcPr>
          <w:p>
            <w:r>
              <w:rPr>
                <w:sz w:val="19"/>
              </w:rPr>
              <w:t>+10.0%</w:t>
            </w:r>
          </w:p>
        </w:tc>
      </w:tr>
      <w:tr>
        <w:tc>
          <w:tcPr>
            <w:tcW w:type="dxa" w:w="1930"/>
          </w:tcPr>
          <w:p>
            <w:r>
              <w:rPr>
                <w:sz w:val="19"/>
              </w:rPr>
              <w:t>9</w:t>
            </w:r>
          </w:p>
        </w:tc>
        <w:tc>
          <w:tcPr>
            <w:tcW w:type="dxa" w:w="1930"/>
          </w:tcPr>
          <w:p>
            <w:r>
              <w:rPr>
                <w:sz w:val="19"/>
              </w:rPr>
              <w:t>SNOW</w:t>
            </w:r>
          </w:p>
        </w:tc>
        <w:tc>
          <w:tcPr>
            <w:tcW w:type="dxa" w:w="1930"/>
          </w:tcPr>
          <w:p>
            <w:r>
              <w:rPr>
                <w:sz w:val="19"/>
              </w:rPr>
              <w:t>Snowflake</w:t>
            </w:r>
          </w:p>
        </w:tc>
        <w:tc>
          <w:tcPr>
            <w:tcW w:type="dxa" w:w="1930"/>
          </w:tcPr>
          <w:p>
            <w:r>
              <w:rPr>
                <w:sz w:val="19"/>
              </w:rPr>
              <w:t>Application Software</w:t>
            </w:r>
          </w:p>
        </w:tc>
        <w:tc>
          <w:tcPr>
            <w:tcW w:type="dxa" w:w="1930"/>
          </w:tcPr>
          <w:p>
            <w:r>
              <w:rPr>
                <w:sz w:val="19"/>
              </w:rPr>
              <w:t>-0.5%</w:t>
            </w:r>
          </w:p>
        </w:tc>
      </w:tr>
      <w:tr>
        <w:tc>
          <w:tcPr>
            <w:tcW w:type="dxa" w:w="1930"/>
            <w:shd w:val="clear" w:fill="EEF1F7"/>
          </w:tcPr>
          <w:p>
            <w:r>
              <w:rPr>
                <w:sz w:val="19"/>
              </w:rPr>
              <w:t>10</w:t>
            </w:r>
          </w:p>
        </w:tc>
        <w:tc>
          <w:tcPr>
            <w:tcW w:type="dxa" w:w="1930"/>
            <w:shd w:val="clear" w:fill="EEF1F7"/>
          </w:tcPr>
          <w:p>
            <w:r>
              <w:rPr>
                <w:sz w:val="19"/>
              </w:rPr>
              <w:t>MMSI</w:t>
            </w:r>
          </w:p>
        </w:tc>
        <w:tc>
          <w:tcPr>
            <w:tcW w:type="dxa" w:w="1930"/>
            <w:shd w:val="clear" w:fill="EEF1F7"/>
          </w:tcPr>
          <w:p>
            <w:r>
              <w:rPr>
                <w:sz w:val="19"/>
              </w:rPr>
              <w:t>Merit Medical</w:t>
            </w:r>
          </w:p>
        </w:tc>
        <w:tc>
          <w:tcPr>
            <w:tcW w:type="dxa" w:w="1930"/>
            <w:shd w:val="clear" w:fill="EEF1F7"/>
          </w:tcPr>
          <w:p>
            <w:r>
              <w:rPr>
                <w:sz w:val="19"/>
              </w:rPr>
              <w:t>Health Care Supplies</w:t>
            </w:r>
          </w:p>
        </w:tc>
        <w:tc>
          <w:tcPr>
            <w:tcW w:type="dxa" w:w="1930"/>
            <w:shd w:val="clear" w:fill="EEF1F7"/>
          </w:tcPr>
          <w:p>
            <w:r>
              <w:rPr>
                <w:sz w:val="19"/>
              </w:rPr>
              <w:t>+1.9%</w:t>
            </w:r>
          </w:p>
        </w:tc>
      </w:tr>
    </w:tbl>
    <w:p/>
    <w:p>
      <w:r>
        <w:t>Notice how many of the strongest names were flat or slightly down on the week. That's the sign of durable leadership, not a momentum blow-off. These stocks earned their rank over months and didn't need a hot week to keep it. The one exception, Everpure up 31%, is worth a raised eyebrow rather than a chase.</w:t>
      </w:r>
    </w:p>
    <w:p>
      <w:r>
        <w:t>The weekly climbers show where fresh money rushed in:</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F3864"/>
          </w:tcPr>
          <w:p>
            <w:r>
              <w:rPr>
                <w:b/>
                <w:color w:val="FFFFFF"/>
                <w:sz w:val="19"/>
              </w:rPr>
              <w:t>Ticker</w:t>
            </w:r>
          </w:p>
        </w:tc>
        <w:tc>
          <w:tcPr>
            <w:tcW w:type="dxa" w:w="1930"/>
            <w:shd w:val="clear" w:fill="1F3864"/>
          </w:tcPr>
          <w:p>
            <w:r>
              <w:rPr>
                <w:b/>
                <w:color w:val="FFFFFF"/>
                <w:sz w:val="19"/>
              </w:rPr>
              <w:t>Sector</w:t>
            </w:r>
          </w:p>
        </w:tc>
        <w:tc>
          <w:tcPr>
            <w:tcW w:type="dxa" w:w="1930"/>
            <w:shd w:val="clear" w:fill="1F3864"/>
          </w:tcPr>
          <w:p>
            <w:r>
              <w:rPr>
                <w:b/>
                <w:color w:val="FFFFFF"/>
                <w:sz w:val="19"/>
              </w:rPr>
              <w:t>Rank: wk ago → now</w:t>
            </w:r>
          </w:p>
        </w:tc>
        <w:tc>
          <w:tcPr>
            <w:tcW w:type="dxa" w:w="1930"/>
            <w:shd w:val="clear" w:fill="1F3864"/>
          </w:tcPr>
          <w:p>
            <w:r>
              <w:rPr>
                <w:b/>
                <w:color w:val="FFFFFF"/>
                <w:sz w:val="19"/>
              </w:rPr>
              <w:t>Climb</w:t>
            </w:r>
          </w:p>
        </w:tc>
        <w:tc>
          <w:tcPr>
            <w:tcW w:type="dxa" w:w="1930"/>
            <w:shd w:val="clear" w:fill="1F3864"/>
          </w:tcPr>
          <w:p>
            <w:r>
              <w:rPr>
                <w:b/>
                <w:color w:val="FFFFFF"/>
                <w:sz w:val="19"/>
              </w:rPr>
              <w:t>Wk %</w:t>
            </w:r>
          </w:p>
        </w:tc>
      </w:tr>
      <w:tr>
        <w:tc>
          <w:tcPr>
            <w:tcW w:type="dxa" w:w="1930"/>
          </w:tcPr>
          <w:p>
            <w:r>
              <w:rPr>
                <w:sz w:val="19"/>
              </w:rPr>
              <w:t>NN</w:t>
            </w:r>
          </w:p>
        </w:tc>
        <w:tc>
          <w:tcPr>
            <w:tcW w:type="dxa" w:w="1930"/>
          </w:tcPr>
          <w:p>
            <w:r>
              <w:rPr>
                <w:sz w:val="19"/>
              </w:rPr>
              <w:t>Info Tech</w:t>
            </w:r>
          </w:p>
        </w:tc>
        <w:tc>
          <w:tcPr>
            <w:tcW w:type="dxa" w:w="1930"/>
          </w:tcPr>
          <w:p>
            <w:r>
              <w:rPr>
                <w:sz w:val="19"/>
              </w:rPr>
              <w:t>1540 → 327</w:t>
            </w:r>
          </w:p>
        </w:tc>
        <w:tc>
          <w:tcPr>
            <w:tcW w:type="dxa" w:w="1930"/>
          </w:tcPr>
          <w:p>
            <w:r>
              <w:rPr>
                <w:sz w:val="19"/>
              </w:rPr>
              <w:t>+1213</w:t>
            </w:r>
          </w:p>
        </w:tc>
        <w:tc>
          <w:tcPr>
            <w:tcW w:type="dxa" w:w="1930"/>
          </w:tcPr>
          <w:p>
            <w:r>
              <w:rPr>
                <w:sz w:val="19"/>
              </w:rPr>
              <w:t>+22.0%</w:t>
            </w:r>
          </w:p>
        </w:tc>
      </w:tr>
      <w:tr>
        <w:tc>
          <w:tcPr>
            <w:tcW w:type="dxa" w:w="1930"/>
            <w:shd w:val="clear" w:fill="EEF1F7"/>
          </w:tcPr>
          <w:p>
            <w:r>
              <w:rPr>
                <w:sz w:val="19"/>
              </w:rPr>
              <w:t>HZO</w:t>
            </w:r>
          </w:p>
        </w:tc>
        <w:tc>
          <w:tcPr>
            <w:tcW w:type="dxa" w:w="1930"/>
            <w:shd w:val="clear" w:fill="EEF1F7"/>
          </w:tcPr>
          <w:p>
            <w:r>
              <w:rPr>
                <w:sz w:val="19"/>
              </w:rPr>
              <w:t>Cons. Disc.</w:t>
            </w:r>
          </w:p>
        </w:tc>
        <w:tc>
          <w:tcPr>
            <w:tcW w:type="dxa" w:w="1930"/>
            <w:shd w:val="clear" w:fill="EEF1F7"/>
          </w:tcPr>
          <w:p>
            <w:r>
              <w:rPr>
                <w:sz w:val="19"/>
              </w:rPr>
              <w:t>1040 → 30</w:t>
            </w:r>
          </w:p>
        </w:tc>
        <w:tc>
          <w:tcPr>
            <w:tcW w:type="dxa" w:w="1930"/>
            <w:shd w:val="clear" w:fill="EEF1F7"/>
          </w:tcPr>
          <w:p>
            <w:r>
              <w:rPr>
                <w:sz w:val="19"/>
              </w:rPr>
              <w:t>+1010</w:t>
            </w:r>
          </w:p>
        </w:tc>
        <w:tc>
          <w:tcPr>
            <w:tcW w:type="dxa" w:w="1930"/>
            <w:shd w:val="clear" w:fill="EEF1F7"/>
          </w:tcPr>
          <w:p>
            <w:r>
              <w:rPr>
                <w:sz w:val="19"/>
              </w:rPr>
              <w:t>+45.8%</w:t>
            </w:r>
          </w:p>
        </w:tc>
      </w:tr>
      <w:tr>
        <w:tc>
          <w:tcPr>
            <w:tcW w:type="dxa" w:w="1930"/>
          </w:tcPr>
          <w:p>
            <w:r>
              <w:rPr>
                <w:sz w:val="19"/>
              </w:rPr>
              <w:t>ABCL</w:t>
            </w:r>
          </w:p>
        </w:tc>
        <w:tc>
          <w:tcPr>
            <w:tcW w:type="dxa" w:w="1930"/>
          </w:tcPr>
          <w:p>
            <w:r>
              <w:rPr>
                <w:sz w:val="19"/>
              </w:rPr>
              <w:t>Health Care</w:t>
            </w:r>
          </w:p>
        </w:tc>
        <w:tc>
          <w:tcPr>
            <w:tcW w:type="dxa" w:w="1930"/>
          </w:tcPr>
          <w:p>
            <w:r>
              <w:rPr>
                <w:sz w:val="19"/>
              </w:rPr>
              <w:t>1003 → 26</w:t>
            </w:r>
          </w:p>
        </w:tc>
        <w:tc>
          <w:tcPr>
            <w:tcW w:type="dxa" w:w="1930"/>
          </w:tcPr>
          <w:p>
            <w:r>
              <w:rPr>
                <w:sz w:val="19"/>
              </w:rPr>
              <w:t>+977</w:t>
            </w:r>
          </w:p>
        </w:tc>
        <w:tc>
          <w:tcPr>
            <w:tcW w:type="dxa" w:w="1930"/>
          </w:tcPr>
          <w:p>
            <w:r>
              <w:rPr>
                <w:sz w:val="19"/>
              </w:rPr>
              <w:t>+64.2%</w:t>
            </w:r>
          </w:p>
        </w:tc>
      </w:tr>
      <w:tr>
        <w:tc>
          <w:tcPr>
            <w:tcW w:type="dxa" w:w="1930"/>
            <w:shd w:val="clear" w:fill="EEF1F7"/>
          </w:tcPr>
          <w:p>
            <w:r>
              <w:rPr>
                <w:sz w:val="19"/>
              </w:rPr>
              <w:t>HTFL</w:t>
            </w:r>
          </w:p>
        </w:tc>
        <w:tc>
          <w:tcPr>
            <w:tcW w:type="dxa" w:w="1930"/>
            <w:shd w:val="clear" w:fill="EEF1F7"/>
          </w:tcPr>
          <w:p>
            <w:r>
              <w:rPr>
                <w:sz w:val="19"/>
              </w:rPr>
              <w:t>Health Care</w:t>
            </w:r>
          </w:p>
        </w:tc>
        <w:tc>
          <w:tcPr>
            <w:tcW w:type="dxa" w:w="1930"/>
            <w:shd w:val="clear" w:fill="EEF1F7"/>
          </w:tcPr>
          <w:p>
            <w:r>
              <w:rPr>
                <w:sz w:val="19"/>
              </w:rPr>
              <w:t>1189 → 249</w:t>
            </w:r>
          </w:p>
        </w:tc>
        <w:tc>
          <w:tcPr>
            <w:tcW w:type="dxa" w:w="1930"/>
            <w:shd w:val="clear" w:fill="EEF1F7"/>
          </w:tcPr>
          <w:p>
            <w:r>
              <w:rPr>
                <w:sz w:val="19"/>
              </w:rPr>
              <w:t>+940</w:t>
            </w:r>
          </w:p>
        </w:tc>
        <w:tc>
          <w:tcPr>
            <w:tcW w:type="dxa" w:w="1930"/>
            <w:shd w:val="clear" w:fill="EEF1F7"/>
          </w:tcPr>
          <w:p>
            <w:r>
              <w:rPr>
                <w:sz w:val="19"/>
              </w:rPr>
              <w:t>+46.0%</w:t>
            </w:r>
          </w:p>
        </w:tc>
      </w:tr>
      <w:tr>
        <w:tc>
          <w:tcPr>
            <w:tcW w:type="dxa" w:w="1930"/>
          </w:tcPr>
          <w:p>
            <w:r>
              <w:rPr>
                <w:sz w:val="19"/>
              </w:rPr>
              <w:t>HASI</w:t>
            </w:r>
          </w:p>
        </w:tc>
        <w:tc>
          <w:tcPr>
            <w:tcW w:type="dxa" w:w="1930"/>
          </w:tcPr>
          <w:p>
            <w:r>
              <w:rPr>
                <w:sz w:val="19"/>
              </w:rPr>
              <w:t>Financials</w:t>
            </w:r>
          </w:p>
        </w:tc>
        <w:tc>
          <w:tcPr>
            <w:tcW w:type="dxa" w:w="1930"/>
          </w:tcPr>
          <w:p>
            <w:r>
              <w:rPr>
                <w:sz w:val="19"/>
              </w:rPr>
              <w:t>1234 → 345</w:t>
            </w:r>
          </w:p>
        </w:tc>
        <w:tc>
          <w:tcPr>
            <w:tcW w:type="dxa" w:w="1930"/>
          </w:tcPr>
          <w:p>
            <w:r>
              <w:rPr>
                <w:sz w:val="19"/>
              </w:rPr>
              <w:t>+889</w:t>
            </w:r>
          </w:p>
        </w:tc>
        <w:tc>
          <w:tcPr>
            <w:tcW w:type="dxa" w:w="1930"/>
          </w:tcPr>
          <w:p>
            <w:r>
              <w:rPr>
                <w:sz w:val="19"/>
              </w:rPr>
              <w:t>+3.5%</w:t>
            </w:r>
          </w:p>
        </w:tc>
      </w:tr>
      <w:tr>
        <w:tc>
          <w:tcPr>
            <w:tcW w:type="dxa" w:w="1930"/>
            <w:shd w:val="clear" w:fill="EEF1F7"/>
          </w:tcPr>
          <w:p>
            <w:r>
              <w:rPr>
                <w:sz w:val="19"/>
              </w:rPr>
              <w:t>TWLO</w:t>
            </w:r>
          </w:p>
        </w:tc>
        <w:tc>
          <w:tcPr>
            <w:tcW w:type="dxa" w:w="1930"/>
            <w:shd w:val="clear" w:fill="EEF1F7"/>
          </w:tcPr>
          <w:p>
            <w:r>
              <w:rPr>
                <w:sz w:val="19"/>
              </w:rPr>
              <w:t>Info Tech</w:t>
            </w:r>
          </w:p>
        </w:tc>
        <w:tc>
          <w:tcPr>
            <w:tcW w:type="dxa" w:w="1930"/>
            <w:shd w:val="clear" w:fill="EEF1F7"/>
          </w:tcPr>
          <w:p>
            <w:r>
              <w:rPr>
                <w:sz w:val="19"/>
              </w:rPr>
              <w:t>1124 → 258</w:t>
            </w:r>
          </w:p>
        </w:tc>
        <w:tc>
          <w:tcPr>
            <w:tcW w:type="dxa" w:w="1930"/>
            <w:shd w:val="clear" w:fill="EEF1F7"/>
          </w:tcPr>
          <w:p>
            <w:r>
              <w:rPr>
                <w:sz w:val="19"/>
              </w:rPr>
              <w:t>+866</w:t>
            </w:r>
          </w:p>
        </w:tc>
        <w:tc>
          <w:tcPr>
            <w:tcW w:type="dxa" w:w="1930"/>
            <w:shd w:val="clear" w:fill="EEF1F7"/>
          </w:tcPr>
          <w:p>
            <w:r>
              <w:rPr>
                <w:sz w:val="19"/>
              </w:rPr>
              <w:t>-1.3%</w:t>
            </w:r>
          </w:p>
        </w:tc>
      </w:tr>
      <w:tr>
        <w:tc>
          <w:tcPr>
            <w:tcW w:type="dxa" w:w="1930"/>
          </w:tcPr>
          <w:p>
            <w:r>
              <w:rPr>
                <w:sz w:val="19"/>
              </w:rPr>
              <w:t>HP</w:t>
            </w:r>
          </w:p>
        </w:tc>
        <w:tc>
          <w:tcPr>
            <w:tcW w:type="dxa" w:w="1930"/>
          </w:tcPr>
          <w:p>
            <w:r>
              <w:rPr>
                <w:sz w:val="19"/>
              </w:rPr>
              <w:t>Energy</w:t>
            </w:r>
          </w:p>
        </w:tc>
        <w:tc>
          <w:tcPr>
            <w:tcW w:type="dxa" w:w="1930"/>
          </w:tcPr>
          <w:p>
            <w:r>
              <w:rPr>
                <w:sz w:val="19"/>
              </w:rPr>
              <w:t>945 → 127</w:t>
            </w:r>
          </w:p>
        </w:tc>
        <w:tc>
          <w:tcPr>
            <w:tcW w:type="dxa" w:w="1930"/>
          </w:tcPr>
          <w:p>
            <w:r>
              <w:rPr>
                <w:sz w:val="19"/>
              </w:rPr>
              <w:t>+818</w:t>
            </w:r>
          </w:p>
        </w:tc>
        <w:tc>
          <w:tcPr>
            <w:tcW w:type="dxa" w:w="1930"/>
          </w:tcPr>
          <w:p>
            <w:r>
              <w:rPr>
                <w:sz w:val="19"/>
              </w:rPr>
              <w:t>+19.1%</w:t>
            </w:r>
          </w:p>
        </w:tc>
      </w:tr>
      <w:tr>
        <w:tc>
          <w:tcPr>
            <w:tcW w:type="dxa" w:w="1930"/>
            <w:shd w:val="clear" w:fill="EEF1F7"/>
          </w:tcPr>
          <w:p>
            <w:r>
              <w:rPr>
                <w:sz w:val="19"/>
              </w:rPr>
              <w:t>SATL</w:t>
            </w:r>
          </w:p>
        </w:tc>
        <w:tc>
          <w:tcPr>
            <w:tcW w:type="dxa" w:w="1930"/>
            <w:shd w:val="clear" w:fill="EEF1F7"/>
          </w:tcPr>
          <w:p>
            <w:r>
              <w:rPr>
                <w:sz w:val="19"/>
              </w:rPr>
              <w:t>Industrials</w:t>
            </w:r>
          </w:p>
        </w:tc>
        <w:tc>
          <w:tcPr>
            <w:tcW w:type="dxa" w:w="1930"/>
            <w:shd w:val="clear" w:fill="EEF1F7"/>
          </w:tcPr>
          <w:p>
            <w:r>
              <w:rPr>
                <w:sz w:val="19"/>
              </w:rPr>
              <w:t>1140 → 336</w:t>
            </w:r>
          </w:p>
        </w:tc>
        <w:tc>
          <w:tcPr>
            <w:tcW w:type="dxa" w:w="1930"/>
            <w:shd w:val="clear" w:fill="EEF1F7"/>
          </w:tcPr>
          <w:p>
            <w:r>
              <w:rPr>
                <w:sz w:val="19"/>
              </w:rPr>
              <w:t>+804</w:t>
            </w:r>
          </w:p>
        </w:tc>
        <w:tc>
          <w:tcPr>
            <w:tcW w:type="dxa" w:w="1930"/>
            <w:shd w:val="clear" w:fill="EEF1F7"/>
          </w:tcPr>
          <w:p>
            <w:r>
              <w:rPr>
                <w:sz w:val="19"/>
              </w:rPr>
              <w:t>+5.1%</w:t>
            </w:r>
          </w:p>
        </w:tc>
      </w:tr>
      <w:tr>
        <w:tc>
          <w:tcPr>
            <w:tcW w:type="dxa" w:w="1930"/>
          </w:tcPr>
          <w:p>
            <w:r>
              <w:rPr>
                <w:sz w:val="19"/>
              </w:rPr>
              <w:t>BKSY</w:t>
            </w:r>
          </w:p>
        </w:tc>
        <w:tc>
          <w:tcPr>
            <w:tcW w:type="dxa" w:w="1930"/>
          </w:tcPr>
          <w:p>
            <w:r>
              <w:rPr>
                <w:sz w:val="19"/>
              </w:rPr>
              <w:t>Industrials</w:t>
            </w:r>
          </w:p>
        </w:tc>
        <w:tc>
          <w:tcPr>
            <w:tcW w:type="dxa" w:w="1930"/>
          </w:tcPr>
          <w:p>
            <w:r>
              <w:rPr>
                <w:sz w:val="19"/>
              </w:rPr>
              <w:t>1121 → 397</w:t>
            </w:r>
          </w:p>
        </w:tc>
        <w:tc>
          <w:tcPr>
            <w:tcW w:type="dxa" w:w="1930"/>
          </w:tcPr>
          <w:p>
            <w:r>
              <w:rPr>
                <w:sz w:val="19"/>
              </w:rPr>
              <w:t>+724</w:t>
            </w:r>
          </w:p>
        </w:tc>
        <w:tc>
          <w:tcPr>
            <w:tcW w:type="dxa" w:w="1930"/>
          </w:tcPr>
          <w:p>
            <w:r>
              <w:rPr>
                <w:sz w:val="19"/>
              </w:rPr>
              <w:t>+6.0%</w:t>
            </w:r>
          </w:p>
        </w:tc>
      </w:tr>
      <w:tr>
        <w:tc>
          <w:tcPr>
            <w:tcW w:type="dxa" w:w="1930"/>
            <w:shd w:val="clear" w:fill="EEF1F7"/>
          </w:tcPr>
          <w:p>
            <w:r>
              <w:rPr>
                <w:sz w:val="19"/>
              </w:rPr>
              <w:t>KOPN</w:t>
            </w:r>
          </w:p>
        </w:tc>
        <w:tc>
          <w:tcPr>
            <w:tcW w:type="dxa" w:w="1930"/>
            <w:shd w:val="clear" w:fill="EEF1F7"/>
          </w:tcPr>
          <w:p>
            <w:r>
              <w:rPr>
                <w:sz w:val="19"/>
              </w:rPr>
              <w:t>Info Tech</w:t>
            </w:r>
          </w:p>
        </w:tc>
        <w:tc>
          <w:tcPr>
            <w:tcW w:type="dxa" w:w="1930"/>
            <w:shd w:val="clear" w:fill="EEF1F7"/>
          </w:tcPr>
          <w:p>
            <w:r>
              <w:rPr>
                <w:sz w:val="19"/>
              </w:rPr>
              <w:t>1088 → 390</w:t>
            </w:r>
          </w:p>
        </w:tc>
        <w:tc>
          <w:tcPr>
            <w:tcW w:type="dxa" w:w="1930"/>
            <w:shd w:val="clear" w:fill="EEF1F7"/>
          </w:tcPr>
          <w:p>
            <w:r>
              <w:rPr>
                <w:sz w:val="19"/>
              </w:rPr>
              <w:t>+698</w:t>
            </w:r>
          </w:p>
        </w:tc>
        <w:tc>
          <w:tcPr>
            <w:tcW w:type="dxa" w:w="1930"/>
            <w:shd w:val="clear" w:fill="EEF1F7"/>
          </w:tcPr>
          <w:p>
            <w:r>
              <w:rPr>
                <w:sz w:val="19"/>
              </w:rPr>
              <w:t>+28.8%</w:t>
            </w:r>
          </w:p>
        </w:tc>
      </w:tr>
      <w:tr>
        <w:tc>
          <w:tcPr>
            <w:tcW w:type="dxa" w:w="1930"/>
          </w:tcPr>
          <w:p>
            <w:r>
              <w:rPr>
                <w:sz w:val="19"/>
              </w:rPr>
              <w:t>NESR</w:t>
            </w:r>
          </w:p>
        </w:tc>
        <w:tc>
          <w:tcPr>
            <w:tcW w:type="dxa" w:w="1930"/>
          </w:tcPr>
          <w:p>
            <w:r>
              <w:rPr>
                <w:sz w:val="19"/>
              </w:rPr>
              <w:t>Energy</w:t>
            </w:r>
          </w:p>
        </w:tc>
        <w:tc>
          <w:tcPr>
            <w:tcW w:type="dxa" w:w="1930"/>
          </w:tcPr>
          <w:p>
            <w:r>
              <w:rPr>
                <w:sz w:val="19"/>
              </w:rPr>
              <w:t>796 → 105</w:t>
            </w:r>
          </w:p>
        </w:tc>
        <w:tc>
          <w:tcPr>
            <w:tcW w:type="dxa" w:w="1930"/>
          </w:tcPr>
          <w:p>
            <w:r>
              <w:rPr>
                <w:sz w:val="19"/>
              </w:rPr>
              <w:t>+691</w:t>
            </w:r>
          </w:p>
        </w:tc>
        <w:tc>
          <w:tcPr>
            <w:tcW w:type="dxa" w:w="1930"/>
          </w:tcPr>
          <w:p>
            <w:r>
              <w:rPr>
                <w:sz w:val="19"/>
              </w:rPr>
              <w:t>+25.1%</w:t>
            </w:r>
          </w:p>
        </w:tc>
      </w:tr>
      <w:tr>
        <w:tc>
          <w:tcPr>
            <w:tcW w:type="dxa" w:w="1930"/>
            <w:shd w:val="clear" w:fill="EEF1F7"/>
          </w:tcPr>
          <w:p>
            <w:r>
              <w:rPr>
                <w:sz w:val="19"/>
              </w:rPr>
              <w:t>HCC</w:t>
            </w:r>
          </w:p>
        </w:tc>
        <w:tc>
          <w:tcPr>
            <w:tcW w:type="dxa" w:w="1930"/>
            <w:shd w:val="clear" w:fill="EEF1F7"/>
          </w:tcPr>
          <w:p>
            <w:r>
              <w:rPr>
                <w:sz w:val="19"/>
              </w:rPr>
              <w:t>Materials</w:t>
            </w:r>
          </w:p>
        </w:tc>
        <w:tc>
          <w:tcPr>
            <w:tcW w:type="dxa" w:w="1930"/>
            <w:shd w:val="clear" w:fill="EEF1F7"/>
          </w:tcPr>
          <w:p>
            <w:r>
              <w:rPr>
                <w:sz w:val="19"/>
              </w:rPr>
              <w:t>893 → 208</w:t>
            </w:r>
          </w:p>
        </w:tc>
        <w:tc>
          <w:tcPr>
            <w:tcW w:type="dxa" w:w="1930"/>
            <w:shd w:val="clear" w:fill="EEF1F7"/>
          </w:tcPr>
          <w:p>
            <w:r>
              <w:rPr>
                <w:sz w:val="19"/>
              </w:rPr>
              <w:t>+685</w:t>
            </w:r>
          </w:p>
        </w:tc>
        <w:tc>
          <w:tcPr>
            <w:tcW w:type="dxa" w:w="1930"/>
            <w:shd w:val="clear" w:fill="EEF1F7"/>
          </w:tcPr>
          <w:p>
            <w:r>
              <w:rPr>
                <w:sz w:val="19"/>
              </w:rPr>
              <w:t>+6.9%</w:t>
            </w:r>
          </w:p>
        </w:tc>
      </w:tr>
      <w:tr>
        <w:tc>
          <w:tcPr>
            <w:tcW w:type="dxa" w:w="1930"/>
          </w:tcPr>
          <w:p>
            <w:r>
              <w:rPr>
                <w:sz w:val="19"/>
              </w:rPr>
              <w:t>SMCI</w:t>
            </w:r>
          </w:p>
        </w:tc>
        <w:tc>
          <w:tcPr>
            <w:tcW w:type="dxa" w:w="1930"/>
          </w:tcPr>
          <w:p>
            <w:r>
              <w:rPr>
                <w:sz w:val="19"/>
              </w:rPr>
              <w:t>Info Tech</w:t>
            </w:r>
          </w:p>
        </w:tc>
        <w:tc>
          <w:tcPr>
            <w:tcW w:type="dxa" w:w="1930"/>
          </w:tcPr>
          <w:p>
            <w:r>
              <w:rPr>
                <w:sz w:val="19"/>
              </w:rPr>
              <w:t>960 → 278</w:t>
            </w:r>
          </w:p>
        </w:tc>
        <w:tc>
          <w:tcPr>
            <w:tcW w:type="dxa" w:w="1930"/>
          </w:tcPr>
          <w:p>
            <w:r>
              <w:rPr>
                <w:sz w:val="19"/>
              </w:rPr>
              <w:t>+682</w:t>
            </w:r>
          </w:p>
        </w:tc>
        <w:tc>
          <w:tcPr>
            <w:tcW w:type="dxa" w:w="1930"/>
          </w:tcPr>
          <w:p>
            <w:r>
              <w:rPr>
                <w:sz w:val="19"/>
              </w:rPr>
              <w:t>+28.0%</w:t>
            </w:r>
          </w:p>
        </w:tc>
      </w:tr>
      <w:tr>
        <w:tc>
          <w:tcPr>
            <w:tcW w:type="dxa" w:w="1930"/>
            <w:shd w:val="clear" w:fill="EEF1F7"/>
          </w:tcPr>
          <w:p>
            <w:r>
              <w:rPr>
                <w:sz w:val="19"/>
              </w:rPr>
              <w:t>INSM</w:t>
            </w:r>
          </w:p>
        </w:tc>
        <w:tc>
          <w:tcPr>
            <w:tcW w:type="dxa" w:w="1930"/>
            <w:shd w:val="clear" w:fill="EEF1F7"/>
          </w:tcPr>
          <w:p>
            <w:r>
              <w:rPr>
                <w:sz w:val="19"/>
              </w:rPr>
              <w:t>Health Care</w:t>
            </w:r>
          </w:p>
        </w:tc>
        <w:tc>
          <w:tcPr>
            <w:tcW w:type="dxa" w:w="1930"/>
            <w:shd w:val="clear" w:fill="EEF1F7"/>
          </w:tcPr>
          <w:p>
            <w:r>
              <w:rPr>
                <w:sz w:val="19"/>
              </w:rPr>
              <w:t>1012 → 340</w:t>
            </w:r>
          </w:p>
        </w:tc>
        <w:tc>
          <w:tcPr>
            <w:tcW w:type="dxa" w:w="1930"/>
            <w:shd w:val="clear" w:fill="EEF1F7"/>
          </w:tcPr>
          <w:p>
            <w:r>
              <w:rPr>
                <w:sz w:val="19"/>
              </w:rPr>
              <w:t>+672</w:t>
            </w:r>
          </w:p>
        </w:tc>
        <w:tc>
          <w:tcPr>
            <w:tcW w:type="dxa" w:w="1930"/>
            <w:shd w:val="clear" w:fill="EEF1F7"/>
          </w:tcPr>
          <w:p>
            <w:r>
              <w:rPr>
                <w:sz w:val="19"/>
              </w:rPr>
              <w:t>-5.6%</w:t>
            </w:r>
          </w:p>
        </w:tc>
      </w:tr>
      <w:tr>
        <w:tc>
          <w:tcPr>
            <w:tcW w:type="dxa" w:w="1930"/>
          </w:tcPr>
          <w:p>
            <w:r>
              <w:rPr>
                <w:sz w:val="19"/>
              </w:rPr>
              <w:t>HL</w:t>
            </w:r>
          </w:p>
        </w:tc>
        <w:tc>
          <w:tcPr>
            <w:tcW w:type="dxa" w:w="1930"/>
          </w:tcPr>
          <w:p>
            <w:r>
              <w:rPr>
                <w:sz w:val="19"/>
              </w:rPr>
              <w:t>Materials</w:t>
            </w:r>
          </w:p>
        </w:tc>
        <w:tc>
          <w:tcPr>
            <w:tcW w:type="dxa" w:w="1930"/>
          </w:tcPr>
          <w:p>
            <w:r>
              <w:rPr>
                <w:sz w:val="19"/>
              </w:rPr>
              <w:t>1010 → 346</w:t>
            </w:r>
          </w:p>
        </w:tc>
        <w:tc>
          <w:tcPr>
            <w:tcW w:type="dxa" w:w="1930"/>
          </w:tcPr>
          <w:p>
            <w:r>
              <w:rPr>
                <w:sz w:val="19"/>
              </w:rPr>
              <w:t>+664</w:t>
            </w:r>
          </w:p>
        </w:tc>
        <w:tc>
          <w:tcPr>
            <w:tcW w:type="dxa" w:w="1930"/>
          </w:tcPr>
          <w:p>
            <w:r>
              <w:rPr>
                <w:sz w:val="19"/>
              </w:rPr>
              <w:t>+9.0%</w:t>
            </w:r>
          </w:p>
        </w:tc>
      </w:tr>
      <w:tr>
        <w:tc>
          <w:tcPr>
            <w:tcW w:type="dxa" w:w="1930"/>
            <w:shd w:val="clear" w:fill="EEF1F7"/>
          </w:tcPr>
          <w:p>
            <w:r>
              <w:rPr>
                <w:sz w:val="19"/>
              </w:rPr>
              <w:t>CNR</w:t>
            </w:r>
          </w:p>
        </w:tc>
        <w:tc>
          <w:tcPr>
            <w:tcW w:type="dxa" w:w="1930"/>
            <w:shd w:val="clear" w:fill="EEF1F7"/>
          </w:tcPr>
          <w:p>
            <w:r>
              <w:rPr>
                <w:sz w:val="19"/>
              </w:rPr>
              <w:t>Energy</w:t>
            </w:r>
          </w:p>
        </w:tc>
        <w:tc>
          <w:tcPr>
            <w:tcW w:type="dxa" w:w="1930"/>
            <w:shd w:val="clear" w:fill="EEF1F7"/>
          </w:tcPr>
          <w:p>
            <w:r>
              <w:rPr>
                <w:sz w:val="19"/>
              </w:rPr>
              <w:t>1023 → 362</w:t>
            </w:r>
          </w:p>
        </w:tc>
        <w:tc>
          <w:tcPr>
            <w:tcW w:type="dxa" w:w="1930"/>
            <w:shd w:val="clear" w:fill="EEF1F7"/>
          </w:tcPr>
          <w:p>
            <w:r>
              <w:rPr>
                <w:sz w:val="19"/>
              </w:rPr>
              <w:t>+661</w:t>
            </w:r>
          </w:p>
        </w:tc>
        <w:tc>
          <w:tcPr>
            <w:tcW w:type="dxa" w:w="1930"/>
            <w:shd w:val="clear" w:fill="EEF1F7"/>
          </w:tcPr>
          <w:p>
            <w:r>
              <w:rPr>
                <w:sz w:val="19"/>
              </w:rPr>
              <w:t>+7.1%</w:t>
            </w:r>
          </w:p>
        </w:tc>
      </w:tr>
      <w:tr>
        <w:tc>
          <w:tcPr>
            <w:tcW w:type="dxa" w:w="1930"/>
          </w:tcPr>
          <w:p>
            <w:r>
              <w:rPr>
                <w:sz w:val="19"/>
              </w:rPr>
              <w:t>ATRO</w:t>
            </w:r>
          </w:p>
        </w:tc>
        <w:tc>
          <w:tcPr>
            <w:tcW w:type="dxa" w:w="1930"/>
          </w:tcPr>
          <w:p>
            <w:r>
              <w:rPr>
                <w:sz w:val="19"/>
              </w:rPr>
              <w:t>Industrials</w:t>
            </w:r>
          </w:p>
        </w:tc>
        <w:tc>
          <w:tcPr>
            <w:tcW w:type="dxa" w:w="1930"/>
          </w:tcPr>
          <w:p>
            <w:r>
              <w:rPr>
                <w:sz w:val="19"/>
              </w:rPr>
              <w:t>863 → 211</w:t>
            </w:r>
          </w:p>
        </w:tc>
        <w:tc>
          <w:tcPr>
            <w:tcW w:type="dxa" w:w="1930"/>
          </w:tcPr>
          <w:p>
            <w:r>
              <w:rPr>
                <w:sz w:val="19"/>
              </w:rPr>
              <w:t>+652</w:t>
            </w:r>
          </w:p>
        </w:tc>
        <w:tc>
          <w:tcPr>
            <w:tcW w:type="dxa" w:w="1930"/>
          </w:tcPr>
          <w:p>
            <w:r>
              <w:rPr>
                <w:sz w:val="19"/>
              </w:rPr>
              <w:t>+20.2%</w:t>
            </w:r>
          </w:p>
        </w:tc>
      </w:tr>
      <w:tr>
        <w:tc>
          <w:tcPr>
            <w:tcW w:type="dxa" w:w="1930"/>
            <w:shd w:val="clear" w:fill="EEF1F7"/>
          </w:tcPr>
          <w:p>
            <w:r>
              <w:rPr>
                <w:sz w:val="19"/>
              </w:rPr>
              <w:t>NOG</w:t>
            </w:r>
          </w:p>
        </w:tc>
        <w:tc>
          <w:tcPr>
            <w:tcW w:type="dxa" w:w="1930"/>
            <w:shd w:val="clear" w:fill="EEF1F7"/>
          </w:tcPr>
          <w:p>
            <w:r>
              <w:rPr>
                <w:sz w:val="19"/>
              </w:rPr>
              <w:t>Energy</w:t>
            </w:r>
          </w:p>
        </w:tc>
        <w:tc>
          <w:tcPr>
            <w:tcW w:type="dxa" w:w="1930"/>
            <w:shd w:val="clear" w:fill="EEF1F7"/>
          </w:tcPr>
          <w:p>
            <w:r>
              <w:rPr>
                <w:sz w:val="19"/>
              </w:rPr>
              <w:t>943 → 299</w:t>
            </w:r>
          </w:p>
        </w:tc>
        <w:tc>
          <w:tcPr>
            <w:tcW w:type="dxa" w:w="1930"/>
            <w:shd w:val="clear" w:fill="EEF1F7"/>
          </w:tcPr>
          <w:p>
            <w:r>
              <w:rPr>
                <w:sz w:val="19"/>
              </w:rPr>
              <w:t>+644</w:t>
            </w:r>
          </w:p>
        </w:tc>
        <w:tc>
          <w:tcPr>
            <w:tcW w:type="dxa" w:w="1930"/>
            <w:shd w:val="clear" w:fill="EEF1F7"/>
          </w:tcPr>
          <w:p>
            <w:r>
              <w:rPr>
                <w:sz w:val="19"/>
              </w:rPr>
              <w:t>+13.4%</w:t>
            </w:r>
          </w:p>
        </w:tc>
      </w:tr>
      <w:tr>
        <w:tc>
          <w:tcPr>
            <w:tcW w:type="dxa" w:w="1930"/>
          </w:tcPr>
          <w:p>
            <w:r>
              <w:rPr>
                <w:sz w:val="19"/>
              </w:rPr>
              <w:t>SSRM</w:t>
            </w:r>
          </w:p>
        </w:tc>
        <w:tc>
          <w:tcPr>
            <w:tcW w:type="dxa" w:w="1930"/>
          </w:tcPr>
          <w:p>
            <w:r>
              <w:rPr>
                <w:sz w:val="19"/>
              </w:rPr>
              <w:t>Materials</w:t>
            </w:r>
          </w:p>
        </w:tc>
        <w:tc>
          <w:tcPr>
            <w:tcW w:type="dxa" w:w="1930"/>
          </w:tcPr>
          <w:p>
            <w:r>
              <w:rPr>
                <w:sz w:val="19"/>
              </w:rPr>
              <w:t>1006 → 393</w:t>
            </w:r>
          </w:p>
        </w:tc>
        <w:tc>
          <w:tcPr>
            <w:tcW w:type="dxa" w:w="1930"/>
          </w:tcPr>
          <w:p>
            <w:r>
              <w:rPr>
                <w:sz w:val="19"/>
              </w:rPr>
              <w:t>+613</w:t>
            </w:r>
          </w:p>
        </w:tc>
        <w:tc>
          <w:tcPr>
            <w:tcW w:type="dxa" w:w="1930"/>
          </w:tcPr>
          <w:p>
            <w:r>
              <w:rPr>
                <w:sz w:val="19"/>
              </w:rPr>
              <w:t>+1.3%</w:t>
            </w:r>
          </w:p>
        </w:tc>
      </w:tr>
      <w:tr>
        <w:tc>
          <w:tcPr>
            <w:tcW w:type="dxa" w:w="1930"/>
            <w:shd w:val="clear" w:fill="EEF1F7"/>
          </w:tcPr>
          <w:p>
            <w:r>
              <w:rPr>
                <w:sz w:val="19"/>
              </w:rPr>
              <w:t>RDW</w:t>
            </w:r>
          </w:p>
        </w:tc>
        <w:tc>
          <w:tcPr>
            <w:tcW w:type="dxa" w:w="1930"/>
            <w:shd w:val="clear" w:fill="EEF1F7"/>
          </w:tcPr>
          <w:p>
            <w:r>
              <w:rPr>
                <w:sz w:val="19"/>
              </w:rPr>
              <w:t>Industrials</w:t>
            </w:r>
          </w:p>
        </w:tc>
        <w:tc>
          <w:tcPr>
            <w:tcW w:type="dxa" w:w="1930"/>
            <w:shd w:val="clear" w:fill="EEF1F7"/>
          </w:tcPr>
          <w:p>
            <w:r>
              <w:rPr>
                <w:sz w:val="19"/>
              </w:rPr>
              <w:t>911 → 314</w:t>
            </w:r>
          </w:p>
        </w:tc>
        <w:tc>
          <w:tcPr>
            <w:tcW w:type="dxa" w:w="1930"/>
            <w:shd w:val="clear" w:fill="EEF1F7"/>
          </w:tcPr>
          <w:p>
            <w:r>
              <w:rPr>
                <w:sz w:val="19"/>
              </w:rPr>
              <w:t>+597</w:t>
            </w:r>
          </w:p>
        </w:tc>
        <w:tc>
          <w:tcPr>
            <w:tcW w:type="dxa" w:w="1930"/>
            <w:shd w:val="clear" w:fill="EEF1F7"/>
          </w:tcPr>
          <w:p>
            <w:r>
              <w:rPr>
                <w:sz w:val="19"/>
              </w:rPr>
              <w:t>-0.1%</w:t>
            </w:r>
          </w:p>
        </w:tc>
      </w:tr>
    </w:tbl>
    <w:p/>
    <w:p>
      <w:r>
        <w:t>Four clusters do most of the work: energy (HP, NESR, CNR, NOG), materials/miners (HCC, Hecla, SSR Mining, with gold up 2.2% behind them), industrials including a few space/defense names (Satellogic, BlackSky, Astronics, Redwire), and health care (AbCellera, Insmet). AbCellera's 64% pop came on a menopause-drug trial win plus a Vertex deal and an equity raise, and its rank confirmed hard, from #1003 to #26.</w:t>
      </w:r>
    </w:p>
    <w:p>
      <w:r>
        <w:t>One thing the climb column can flatter: a big rank jump on a flat or negative price. Twilio climbed 866 spots while its price fell 1.3%, and Insmet climbed 672 while dropping about 6%. That's rank catching up to a base that's been building, not a fresh breakout. Fine, but know what you're looking at.</w:t>
      </w:r>
    </w:p>
    <w:p>
      <w:pPr>
        <w:spacing w:before="240" w:after="80"/>
      </w:pPr>
      <w:r>
        <w:rPr>
          <w:b/>
          <w:color w:val="1F3864"/>
          <w:sz w:val="30"/>
        </w:rPr>
        <w:t>7. A few names worth a look</w:t>
      </w:r>
    </w:p>
    <w:p>
      <w:r>
        <w:t>These passed all four filters: a strong sector, an improving rank, a genuine uptrend (price above a rising 20-day, above the 50, above the 200), and not yet stretched (within 10% of the 20-day, so you're not chasing a vertical move).</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fill="1F3864"/>
          </w:tcPr>
          <w:p>
            <w:r>
              <w:rPr>
                <w:b/>
                <w:color w:val="FFFFFF"/>
                <w:sz w:val="19"/>
              </w:rPr>
              <w:t>Ticker</w:t>
            </w:r>
          </w:p>
        </w:tc>
        <w:tc>
          <w:tcPr>
            <w:tcW w:type="dxa" w:w="1608"/>
            <w:shd w:val="clear" w:fill="1F3864"/>
          </w:tcPr>
          <w:p>
            <w:r>
              <w:rPr>
                <w:b/>
                <w:color w:val="FFFFFF"/>
                <w:sz w:val="19"/>
              </w:rPr>
              <w:t>Company</w:t>
            </w:r>
          </w:p>
        </w:tc>
        <w:tc>
          <w:tcPr>
            <w:tcW w:type="dxa" w:w="1608"/>
            <w:shd w:val="clear" w:fill="1F3864"/>
          </w:tcPr>
          <w:p>
            <w:r>
              <w:rPr>
                <w:b/>
                <w:color w:val="FFFFFF"/>
                <w:sz w:val="19"/>
              </w:rPr>
              <w:t>Sector</w:t>
            </w:r>
          </w:p>
        </w:tc>
        <w:tc>
          <w:tcPr>
            <w:tcW w:type="dxa" w:w="1608"/>
            <w:shd w:val="clear" w:fill="1F3864"/>
          </w:tcPr>
          <w:p>
            <w:r>
              <w:rPr>
                <w:b/>
                <w:color w:val="FFFFFF"/>
                <w:sz w:val="19"/>
              </w:rPr>
              <w:t>Rank (Δwk)</w:t>
            </w:r>
          </w:p>
        </w:tc>
        <w:tc>
          <w:tcPr>
            <w:tcW w:type="dxa" w:w="1608"/>
            <w:shd w:val="clear" w:fill="1F3864"/>
          </w:tcPr>
          <w:p>
            <w:r>
              <w:rPr>
                <w:b/>
                <w:color w:val="FFFFFF"/>
                <w:sz w:val="19"/>
              </w:rPr>
              <w:t>Conviction</w:t>
            </w:r>
          </w:p>
        </w:tc>
        <w:tc>
          <w:tcPr>
            <w:tcW w:type="dxa" w:w="1608"/>
            <w:shd w:val="clear" w:fill="1F3864"/>
          </w:tcPr>
          <w:p>
            <w:r>
              <w:rPr>
                <w:b/>
                <w:color w:val="FFFFFF"/>
                <w:sz w:val="19"/>
              </w:rPr>
              <w:t>% above 20d</w:t>
            </w:r>
          </w:p>
        </w:tc>
      </w:tr>
      <w:tr>
        <w:tc>
          <w:tcPr>
            <w:tcW w:type="dxa" w:w="1608"/>
          </w:tcPr>
          <w:p>
            <w:r>
              <w:rPr>
                <w:sz w:val="19"/>
              </w:rPr>
              <w:t>NTNX</w:t>
            </w:r>
          </w:p>
        </w:tc>
        <w:tc>
          <w:tcPr>
            <w:tcW w:type="dxa" w:w="1608"/>
          </w:tcPr>
          <w:p>
            <w:r>
              <w:rPr>
                <w:sz w:val="19"/>
              </w:rPr>
              <w:t>Nutanix</w:t>
            </w:r>
          </w:p>
        </w:tc>
        <w:tc>
          <w:tcPr>
            <w:tcW w:type="dxa" w:w="1608"/>
          </w:tcPr>
          <w:p>
            <w:r>
              <w:rPr>
                <w:sz w:val="19"/>
              </w:rPr>
              <w:t>Info Tech</w:t>
            </w:r>
          </w:p>
        </w:tc>
        <w:tc>
          <w:tcPr>
            <w:tcW w:type="dxa" w:w="1608"/>
          </w:tcPr>
          <w:p>
            <w:r>
              <w:rPr>
                <w:sz w:val="19"/>
              </w:rPr>
              <w:t>47 (+32)</w:t>
            </w:r>
          </w:p>
        </w:tc>
        <w:tc>
          <w:tcPr>
            <w:tcW w:type="dxa" w:w="1608"/>
          </w:tcPr>
          <w:p>
            <w:r>
              <w:rPr>
                <w:sz w:val="19"/>
              </w:rPr>
              <w:t>C</w:t>
            </w:r>
          </w:p>
        </w:tc>
        <w:tc>
          <w:tcPr>
            <w:tcW w:type="dxa" w:w="1608"/>
          </w:tcPr>
          <w:p>
            <w:r>
              <w:rPr>
                <w:sz w:val="19"/>
              </w:rPr>
              <w:t>+9.3%</w:t>
            </w:r>
          </w:p>
        </w:tc>
      </w:tr>
      <w:tr>
        <w:tc>
          <w:tcPr>
            <w:tcW w:type="dxa" w:w="1608"/>
            <w:shd w:val="clear" w:fill="EEF1F7"/>
          </w:tcPr>
          <w:p>
            <w:r>
              <w:rPr>
                <w:sz w:val="19"/>
              </w:rPr>
              <w:t>PANW</w:t>
            </w:r>
          </w:p>
        </w:tc>
        <w:tc>
          <w:tcPr>
            <w:tcW w:type="dxa" w:w="1608"/>
            <w:shd w:val="clear" w:fill="EEF1F7"/>
          </w:tcPr>
          <w:p>
            <w:r>
              <w:rPr>
                <w:sz w:val="19"/>
              </w:rPr>
              <w:t>Palo Alto Networks</w:t>
            </w:r>
          </w:p>
        </w:tc>
        <w:tc>
          <w:tcPr>
            <w:tcW w:type="dxa" w:w="1608"/>
            <w:shd w:val="clear" w:fill="EEF1F7"/>
          </w:tcPr>
          <w:p>
            <w:r>
              <w:rPr>
                <w:sz w:val="19"/>
              </w:rPr>
              <w:t>Info Tech</w:t>
            </w:r>
          </w:p>
        </w:tc>
        <w:tc>
          <w:tcPr>
            <w:tcW w:type="dxa" w:w="1608"/>
            <w:shd w:val="clear" w:fill="EEF1F7"/>
          </w:tcPr>
          <w:p>
            <w:r>
              <w:rPr>
                <w:sz w:val="19"/>
              </w:rPr>
              <w:t>91 (+184)</w:t>
            </w:r>
          </w:p>
        </w:tc>
        <w:tc>
          <w:tcPr>
            <w:tcW w:type="dxa" w:w="1608"/>
            <w:shd w:val="clear" w:fill="EEF1F7"/>
          </w:tcPr>
          <w:p>
            <w:r>
              <w:rPr>
                <w:sz w:val="19"/>
              </w:rPr>
              <w:t>C</w:t>
            </w:r>
          </w:p>
        </w:tc>
        <w:tc>
          <w:tcPr>
            <w:tcW w:type="dxa" w:w="1608"/>
            <w:shd w:val="clear" w:fill="EEF1F7"/>
          </w:tcPr>
          <w:p>
            <w:r>
              <w:rPr>
                <w:sz w:val="19"/>
              </w:rPr>
              <w:t>+7.1%</w:t>
            </w:r>
          </w:p>
        </w:tc>
      </w:tr>
      <w:tr>
        <w:tc>
          <w:tcPr>
            <w:tcW w:type="dxa" w:w="1608"/>
          </w:tcPr>
          <w:p>
            <w:r>
              <w:rPr>
                <w:sz w:val="19"/>
              </w:rPr>
              <w:t>CRWD</w:t>
            </w:r>
          </w:p>
        </w:tc>
        <w:tc>
          <w:tcPr>
            <w:tcW w:type="dxa" w:w="1608"/>
          </w:tcPr>
          <w:p>
            <w:r>
              <w:rPr>
                <w:sz w:val="19"/>
              </w:rPr>
              <w:t>CrowdStrike</w:t>
            </w:r>
          </w:p>
        </w:tc>
        <w:tc>
          <w:tcPr>
            <w:tcW w:type="dxa" w:w="1608"/>
          </w:tcPr>
          <w:p>
            <w:r>
              <w:rPr>
                <w:sz w:val="19"/>
              </w:rPr>
              <w:t>Info Tech</w:t>
            </w:r>
          </w:p>
        </w:tc>
        <w:tc>
          <w:tcPr>
            <w:tcW w:type="dxa" w:w="1608"/>
          </w:tcPr>
          <w:p>
            <w:r>
              <w:rPr>
                <w:sz w:val="19"/>
              </w:rPr>
              <w:t>138 (+129)</w:t>
            </w:r>
          </w:p>
        </w:tc>
        <w:tc>
          <w:tcPr>
            <w:tcW w:type="dxa" w:w="1608"/>
          </w:tcPr>
          <w:p>
            <w:r>
              <w:rPr>
                <w:sz w:val="19"/>
              </w:rPr>
              <w:t>D</w:t>
            </w:r>
          </w:p>
        </w:tc>
        <w:tc>
          <w:tcPr>
            <w:tcW w:type="dxa" w:w="1608"/>
          </w:tcPr>
          <w:p>
            <w:r>
              <w:rPr>
                <w:sz w:val="19"/>
              </w:rPr>
              <w:t>+5.2%</w:t>
            </w:r>
          </w:p>
        </w:tc>
      </w:tr>
      <w:tr>
        <w:tc>
          <w:tcPr>
            <w:tcW w:type="dxa" w:w="1608"/>
            <w:shd w:val="clear" w:fill="EEF1F7"/>
          </w:tcPr>
          <w:p>
            <w:r>
              <w:rPr>
                <w:sz w:val="19"/>
              </w:rPr>
              <w:t>WPM</w:t>
            </w:r>
          </w:p>
        </w:tc>
        <w:tc>
          <w:tcPr>
            <w:tcW w:type="dxa" w:w="1608"/>
            <w:shd w:val="clear" w:fill="EEF1F7"/>
          </w:tcPr>
          <w:p>
            <w:r>
              <w:rPr>
                <w:sz w:val="19"/>
              </w:rPr>
              <w:t>Wheaton Precious Metals</w:t>
            </w:r>
          </w:p>
        </w:tc>
        <w:tc>
          <w:tcPr>
            <w:tcW w:type="dxa" w:w="1608"/>
            <w:shd w:val="clear" w:fill="EEF1F7"/>
          </w:tcPr>
          <w:p>
            <w:r>
              <w:rPr>
                <w:sz w:val="19"/>
              </w:rPr>
              <w:t>Materials</w:t>
            </w:r>
          </w:p>
        </w:tc>
        <w:tc>
          <w:tcPr>
            <w:tcW w:type="dxa" w:w="1608"/>
            <w:shd w:val="clear" w:fill="EEF1F7"/>
          </w:tcPr>
          <w:p>
            <w:r>
              <w:rPr>
                <w:sz w:val="19"/>
              </w:rPr>
              <w:t>143 (+333)</w:t>
            </w:r>
          </w:p>
        </w:tc>
        <w:tc>
          <w:tcPr>
            <w:tcW w:type="dxa" w:w="1608"/>
            <w:shd w:val="clear" w:fill="EEF1F7"/>
          </w:tcPr>
          <w:p>
            <w:r>
              <w:rPr>
                <w:sz w:val="19"/>
              </w:rPr>
              <w:t>B</w:t>
            </w:r>
          </w:p>
        </w:tc>
        <w:tc>
          <w:tcPr>
            <w:tcW w:type="dxa" w:w="1608"/>
            <w:shd w:val="clear" w:fill="EEF1F7"/>
          </w:tcPr>
          <w:p>
            <w:r>
              <w:rPr>
                <w:sz w:val="19"/>
              </w:rPr>
              <w:t>+9.4%</w:t>
            </w:r>
          </w:p>
        </w:tc>
      </w:tr>
      <w:tr>
        <w:tc>
          <w:tcPr>
            <w:tcW w:type="dxa" w:w="1608"/>
          </w:tcPr>
          <w:p>
            <w:r>
              <w:rPr>
                <w:sz w:val="19"/>
              </w:rPr>
              <w:t>BLK</w:t>
            </w:r>
          </w:p>
        </w:tc>
        <w:tc>
          <w:tcPr>
            <w:tcW w:type="dxa" w:w="1608"/>
          </w:tcPr>
          <w:p>
            <w:r>
              <w:rPr>
                <w:sz w:val="19"/>
              </w:rPr>
              <w:t>BlackRock</w:t>
            </w:r>
          </w:p>
        </w:tc>
        <w:tc>
          <w:tcPr>
            <w:tcW w:type="dxa" w:w="1608"/>
          </w:tcPr>
          <w:p>
            <w:r>
              <w:rPr>
                <w:sz w:val="19"/>
              </w:rPr>
              <w:t>Financials</w:t>
            </w:r>
          </w:p>
        </w:tc>
        <w:tc>
          <w:tcPr>
            <w:tcW w:type="dxa" w:w="1608"/>
          </w:tcPr>
          <w:p>
            <w:r>
              <w:rPr>
                <w:sz w:val="19"/>
              </w:rPr>
              <w:t>155 (+79)</w:t>
            </w:r>
          </w:p>
        </w:tc>
        <w:tc>
          <w:tcPr>
            <w:tcW w:type="dxa" w:w="1608"/>
          </w:tcPr>
          <w:p>
            <w:r>
              <w:rPr>
                <w:sz w:val="19"/>
              </w:rPr>
              <w:t>C</w:t>
            </w:r>
          </w:p>
        </w:tc>
        <w:tc>
          <w:tcPr>
            <w:tcW w:type="dxa" w:w="1608"/>
          </w:tcPr>
          <w:p>
            <w:r>
              <w:rPr>
                <w:sz w:val="19"/>
              </w:rPr>
              <w:t>+5.2%</w:t>
            </w:r>
          </w:p>
        </w:tc>
      </w:tr>
      <w:tr>
        <w:tc>
          <w:tcPr>
            <w:tcW w:type="dxa" w:w="1608"/>
            <w:shd w:val="clear" w:fill="EEF1F7"/>
          </w:tcPr>
          <w:p>
            <w:r>
              <w:rPr>
                <w:sz w:val="19"/>
              </w:rPr>
              <w:t>NTRA</w:t>
            </w:r>
          </w:p>
        </w:tc>
        <w:tc>
          <w:tcPr>
            <w:tcW w:type="dxa" w:w="1608"/>
            <w:shd w:val="clear" w:fill="EEF1F7"/>
          </w:tcPr>
          <w:p>
            <w:r>
              <w:rPr>
                <w:sz w:val="19"/>
              </w:rPr>
              <w:t>Natera</w:t>
            </w:r>
          </w:p>
        </w:tc>
        <w:tc>
          <w:tcPr>
            <w:tcW w:type="dxa" w:w="1608"/>
            <w:shd w:val="clear" w:fill="EEF1F7"/>
          </w:tcPr>
          <w:p>
            <w:r>
              <w:rPr>
                <w:sz w:val="19"/>
              </w:rPr>
              <w:t>Health Care</w:t>
            </w:r>
          </w:p>
        </w:tc>
        <w:tc>
          <w:tcPr>
            <w:tcW w:type="dxa" w:w="1608"/>
            <w:shd w:val="clear" w:fill="EEF1F7"/>
          </w:tcPr>
          <w:p>
            <w:r>
              <w:rPr>
                <w:sz w:val="19"/>
              </w:rPr>
              <w:t>172 (+245)</w:t>
            </w:r>
          </w:p>
        </w:tc>
        <w:tc>
          <w:tcPr>
            <w:tcW w:type="dxa" w:w="1608"/>
            <w:shd w:val="clear" w:fill="EEF1F7"/>
          </w:tcPr>
          <w:p>
            <w:r>
              <w:rPr>
                <w:sz w:val="19"/>
              </w:rPr>
              <w:t>C</w:t>
            </w:r>
          </w:p>
        </w:tc>
        <w:tc>
          <w:tcPr>
            <w:tcW w:type="dxa" w:w="1608"/>
            <w:shd w:val="clear" w:fill="EEF1F7"/>
          </w:tcPr>
          <w:p>
            <w:r>
              <w:rPr>
                <w:sz w:val="19"/>
              </w:rPr>
              <w:t>+7.9%</w:t>
            </w:r>
          </w:p>
        </w:tc>
      </w:tr>
      <w:tr>
        <w:tc>
          <w:tcPr>
            <w:tcW w:type="dxa" w:w="1608"/>
          </w:tcPr>
          <w:p>
            <w:r>
              <w:rPr>
                <w:sz w:val="19"/>
              </w:rPr>
              <w:t>VLO</w:t>
            </w:r>
          </w:p>
        </w:tc>
        <w:tc>
          <w:tcPr>
            <w:tcW w:type="dxa" w:w="1608"/>
          </w:tcPr>
          <w:p>
            <w:r>
              <w:rPr>
                <w:sz w:val="19"/>
              </w:rPr>
              <w:t>Valero Energy</w:t>
            </w:r>
          </w:p>
        </w:tc>
        <w:tc>
          <w:tcPr>
            <w:tcW w:type="dxa" w:w="1608"/>
          </w:tcPr>
          <w:p>
            <w:r>
              <w:rPr>
                <w:sz w:val="19"/>
              </w:rPr>
              <w:t>Energy</w:t>
            </w:r>
          </w:p>
        </w:tc>
        <w:tc>
          <w:tcPr>
            <w:tcW w:type="dxa" w:w="1608"/>
          </w:tcPr>
          <w:p>
            <w:r>
              <w:rPr>
                <w:sz w:val="19"/>
              </w:rPr>
              <w:t>184 (+310)</w:t>
            </w:r>
          </w:p>
        </w:tc>
        <w:tc>
          <w:tcPr>
            <w:tcW w:type="dxa" w:w="1608"/>
          </w:tcPr>
          <w:p>
            <w:r>
              <w:rPr>
                <w:sz w:val="19"/>
              </w:rPr>
              <w:t>C</w:t>
            </w:r>
          </w:p>
        </w:tc>
        <w:tc>
          <w:tcPr>
            <w:tcW w:type="dxa" w:w="1608"/>
          </w:tcPr>
          <w:p>
            <w:r>
              <w:rPr>
                <w:sz w:val="19"/>
              </w:rPr>
              <w:t>+9.6%</w:t>
            </w:r>
          </w:p>
        </w:tc>
      </w:tr>
      <w:tr>
        <w:tc>
          <w:tcPr>
            <w:tcW w:type="dxa" w:w="1608"/>
            <w:shd w:val="clear" w:fill="EEF1F7"/>
          </w:tcPr>
          <w:p>
            <w:r>
              <w:rPr>
                <w:sz w:val="19"/>
              </w:rPr>
              <w:t>TWLO</w:t>
            </w:r>
          </w:p>
        </w:tc>
        <w:tc>
          <w:tcPr>
            <w:tcW w:type="dxa" w:w="1608"/>
            <w:shd w:val="clear" w:fill="EEF1F7"/>
          </w:tcPr>
          <w:p>
            <w:r>
              <w:rPr>
                <w:sz w:val="19"/>
              </w:rPr>
              <w:t>Twilio</w:t>
            </w:r>
          </w:p>
        </w:tc>
        <w:tc>
          <w:tcPr>
            <w:tcW w:type="dxa" w:w="1608"/>
            <w:shd w:val="clear" w:fill="EEF1F7"/>
          </w:tcPr>
          <w:p>
            <w:r>
              <w:rPr>
                <w:sz w:val="19"/>
              </w:rPr>
              <w:t>Info Tech</w:t>
            </w:r>
          </w:p>
        </w:tc>
        <w:tc>
          <w:tcPr>
            <w:tcW w:type="dxa" w:w="1608"/>
            <w:shd w:val="clear" w:fill="EEF1F7"/>
          </w:tcPr>
          <w:p>
            <w:r>
              <w:rPr>
                <w:sz w:val="19"/>
              </w:rPr>
              <w:t>258 (+866)</w:t>
            </w:r>
          </w:p>
        </w:tc>
        <w:tc>
          <w:tcPr>
            <w:tcW w:type="dxa" w:w="1608"/>
            <w:shd w:val="clear" w:fill="EEF1F7"/>
          </w:tcPr>
          <w:p>
            <w:r>
              <w:rPr>
                <w:sz w:val="19"/>
              </w:rPr>
              <w:t>C</w:t>
            </w:r>
          </w:p>
        </w:tc>
        <w:tc>
          <w:tcPr>
            <w:tcW w:type="dxa" w:w="1608"/>
            <w:shd w:val="clear" w:fill="EEF1F7"/>
          </w:tcPr>
          <w:p>
            <w:r>
              <w:rPr>
                <w:sz w:val="19"/>
              </w:rPr>
              <w:t>+8.4%</w:t>
            </w:r>
          </w:p>
        </w:tc>
      </w:tr>
      <w:tr>
        <w:tc>
          <w:tcPr>
            <w:tcW w:type="dxa" w:w="1608"/>
          </w:tcPr>
          <w:p>
            <w:r>
              <w:rPr>
                <w:sz w:val="19"/>
              </w:rPr>
              <w:t>WAT</w:t>
            </w:r>
          </w:p>
        </w:tc>
        <w:tc>
          <w:tcPr>
            <w:tcW w:type="dxa" w:w="1608"/>
          </w:tcPr>
          <w:p>
            <w:r>
              <w:rPr>
                <w:sz w:val="19"/>
              </w:rPr>
              <w:t>Waters</w:t>
            </w:r>
          </w:p>
        </w:tc>
        <w:tc>
          <w:tcPr>
            <w:tcW w:type="dxa" w:w="1608"/>
          </w:tcPr>
          <w:p>
            <w:r>
              <w:rPr>
                <w:sz w:val="19"/>
              </w:rPr>
              <w:t>Health Care</w:t>
            </w:r>
          </w:p>
        </w:tc>
        <w:tc>
          <w:tcPr>
            <w:tcW w:type="dxa" w:w="1608"/>
          </w:tcPr>
          <w:p>
            <w:r>
              <w:rPr>
                <w:sz w:val="19"/>
              </w:rPr>
              <w:t>270 (+187)</w:t>
            </w:r>
          </w:p>
        </w:tc>
        <w:tc>
          <w:tcPr>
            <w:tcW w:type="dxa" w:w="1608"/>
          </w:tcPr>
          <w:p>
            <w:r>
              <w:rPr>
                <w:sz w:val="19"/>
              </w:rPr>
              <w:t>C</w:t>
            </w:r>
          </w:p>
        </w:tc>
        <w:tc>
          <w:tcPr>
            <w:tcW w:type="dxa" w:w="1608"/>
          </w:tcPr>
          <w:p>
            <w:r>
              <w:rPr>
                <w:sz w:val="19"/>
              </w:rPr>
              <w:t>+4.3%</w:t>
            </w:r>
          </w:p>
        </w:tc>
      </w:tr>
      <w:tr>
        <w:tc>
          <w:tcPr>
            <w:tcW w:type="dxa" w:w="1608"/>
            <w:shd w:val="clear" w:fill="EEF1F7"/>
          </w:tcPr>
          <w:p>
            <w:r>
              <w:rPr>
                <w:sz w:val="19"/>
              </w:rPr>
              <w:t>A</w:t>
            </w:r>
          </w:p>
        </w:tc>
        <w:tc>
          <w:tcPr>
            <w:tcW w:type="dxa" w:w="1608"/>
            <w:shd w:val="clear" w:fill="EEF1F7"/>
          </w:tcPr>
          <w:p>
            <w:r>
              <w:rPr>
                <w:sz w:val="19"/>
              </w:rPr>
              <w:t>Agilent</w:t>
            </w:r>
          </w:p>
        </w:tc>
        <w:tc>
          <w:tcPr>
            <w:tcW w:type="dxa" w:w="1608"/>
            <w:shd w:val="clear" w:fill="EEF1F7"/>
          </w:tcPr>
          <w:p>
            <w:r>
              <w:rPr>
                <w:sz w:val="19"/>
              </w:rPr>
              <w:t>Health Care</w:t>
            </w:r>
          </w:p>
        </w:tc>
        <w:tc>
          <w:tcPr>
            <w:tcW w:type="dxa" w:w="1608"/>
            <w:shd w:val="clear" w:fill="EEF1F7"/>
          </w:tcPr>
          <w:p>
            <w:r>
              <w:rPr>
                <w:sz w:val="19"/>
              </w:rPr>
              <w:t>290 (+179)</w:t>
            </w:r>
          </w:p>
        </w:tc>
        <w:tc>
          <w:tcPr>
            <w:tcW w:type="dxa" w:w="1608"/>
            <w:shd w:val="clear" w:fill="EEF1F7"/>
          </w:tcPr>
          <w:p>
            <w:r>
              <w:rPr>
                <w:sz w:val="19"/>
              </w:rPr>
              <w:t>C</w:t>
            </w:r>
          </w:p>
        </w:tc>
        <w:tc>
          <w:tcPr>
            <w:tcW w:type="dxa" w:w="1608"/>
            <w:shd w:val="clear" w:fill="EEF1F7"/>
          </w:tcPr>
          <w:p>
            <w:r>
              <w:rPr>
                <w:sz w:val="19"/>
              </w:rPr>
              <w:t>+4.4%</w:t>
            </w:r>
          </w:p>
        </w:tc>
      </w:tr>
      <w:tr>
        <w:tc>
          <w:tcPr>
            <w:tcW w:type="dxa" w:w="1608"/>
          </w:tcPr>
          <w:p>
            <w:r>
              <w:rPr>
                <w:sz w:val="19"/>
              </w:rPr>
              <w:t>APO</w:t>
            </w:r>
          </w:p>
        </w:tc>
        <w:tc>
          <w:tcPr>
            <w:tcW w:type="dxa" w:w="1608"/>
          </w:tcPr>
          <w:p>
            <w:r>
              <w:rPr>
                <w:sz w:val="19"/>
              </w:rPr>
              <w:t>Apollo Global</w:t>
            </w:r>
          </w:p>
        </w:tc>
        <w:tc>
          <w:tcPr>
            <w:tcW w:type="dxa" w:w="1608"/>
          </w:tcPr>
          <w:p>
            <w:r>
              <w:rPr>
                <w:sz w:val="19"/>
              </w:rPr>
              <w:t>Financials</w:t>
            </w:r>
          </w:p>
        </w:tc>
        <w:tc>
          <w:tcPr>
            <w:tcW w:type="dxa" w:w="1608"/>
          </w:tcPr>
          <w:p>
            <w:r>
              <w:rPr>
                <w:sz w:val="19"/>
              </w:rPr>
              <w:t>301 (+541)</w:t>
            </w:r>
          </w:p>
        </w:tc>
        <w:tc>
          <w:tcPr>
            <w:tcW w:type="dxa" w:w="1608"/>
          </w:tcPr>
          <w:p>
            <w:r>
              <w:rPr>
                <w:sz w:val="19"/>
              </w:rPr>
              <w:t>C</w:t>
            </w:r>
          </w:p>
        </w:tc>
        <w:tc>
          <w:tcPr>
            <w:tcW w:type="dxa" w:w="1608"/>
          </w:tcPr>
          <w:p>
            <w:r>
              <w:rPr>
                <w:sz w:val="19"/>
              </w:rPr>
              <w:t>+7.7%</w:t>
            </w:r>
          </w:p>
        </w:tc>
      </w:tr>
      <w:tr>
        <w:tc>
          <w:tcPr>
            <w:tcW w:type="dxa" w:w="1608"/>
            <w:shd w:val="clear" w:fill="EEF1F7"/>
          </w:tcPr>
          <w:p>
            <w:r>
              <w:rPr>
                <w:sz w:val="19"/>
              </w:rPr>
              <w:t>FNV</w:t>
            </w:r>
          </w:p>
        </w:tc>
        <w:tc>
          <w:tcPr>
            <w:tcW w:type="dxa" w:w="1608"/>
            <w:shd w:val="clear" w:fill="EEF1F7"/>
          </w:tcPr>
          <w:p>
            <w:r>
              <w:rPr>
                <w:sz w:val="19"/>
              </w:rPr>
              <w:t>Franco-Nevada</w:t>
            </w:r>
          </w:p>
        </w:tc>
        <w:tc>
          <w:tcPr>
            <w:tcW w:type="dxa" w:w="1608"/>
            <w:shd w:val="clear" w:fill="EEF1F7"/>
          </w:tcPr>
          <w:p>
            <w:r>
              <w:rPr>
                <w:sz w:val="19"/>
              </w:rPr>
              <w:t>Materials</w:t>
            </w:r>
          </w:p>
        </w:tc>
        <w:tc>
          <w:tcPr>
            <w:tcW w:type="dxa" w:w="1608"/>
            <w:shd w:val="clear" w:fill="EEF1F7"/>
          </w:tcPr>
          <w:p>
            <w:r>
              <w:rPr>
                <w:sz w:val="19"/>
              </w:rPr>
              <w:t>381 (+161)</w:t>
            </w:r>
          </w:p>
        </w:tc>
        <w:tc>
          <w:tcPr>
            <w:tcW w:type="dxa" w:w="1608"/>
            <w:shd w:val="clear" w:fill="EEF1F7"/>
          </w:tcPr>
          <w:p>
            <w:r>
              <w:rPr>
                <w:sz w:val="19"/>
              </w:rPr>
              <w:t>C</w:t>
            </w:r>
          </w:p>
        </w:tc>
        <w:tc>
          <w:tcPr>
            <w:tcW w:type="dxa" w:w="1608"/>
            <w:shd w:val="clear" w:fill="EEF1F7"/>
          </w:tcPr>
          <w:p>
            <w:r>
              <w:rPr>
                <w:sz w:val="19"/>
              </w:rPr>
              <w:t>+4.1%</w:t>
            </w:r>
          </w:p>
        </w:tc>
      </w:tr>
    </w:tbl>
    <w:p/>
    <w:p>
      <w:r>
        <w:t>The two miners here (Wheaton, Franco-Nevada) are royalty plays riding gold's bid, and Wheaton carries the highest conviction on the list at B. Valero is your energy toe-hold if you believe the oil move has legs. The way to use this list: buy strength early in a trend on a pause, never after a vertical rip, and let the trend in front of you set the terms. This is a starting point for your own homework, not a recommendation. Do the work before you risk a dollar.</w:t>
      </w:r>
    </w:p>
    <w:p>
      <w:pPr>
        <w:spacing w:before="240" w:after="80"/>
      </w:pPr>
      <w:r>
        <w:rPr>
          <w:b/>
          <w:color w:val="1F3864"/>
          <w:sz w:val="30"/>
        </w:rPr>
        <w:t>8. Where we stand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F3864"/>
          </w:tcPr>
          <w:p>
            <w:r>
              <w:rPr>
                <w:b/>
                <w:color w:val="FFFFFF"/>
                <w:sz w:val="19"/>
              </w:rPr>
              <w:t>Check</w:t>
            </w:r>
          </w:p>
        </w:tc>
        <w:tc>
          <w:tcPr>
            <w:tcW w:type="dxa" w:w="3216"/>
            <w:shd w:val="clear" w:fill="1F3864"/>
          </w:tcPr>
          <w:p>
            <w:r>
              <w:rPr>
                <w:b/>
                <w:color w:val="FFFFFF"/>
                <w:sz w:val="19"/>
              </w:rPr>
              <w:t>Reading</w:t>
            </w:r>
          </w:p>
        </w:tc>
        <w:tc>
          <w:tcPr>
            <w:tcW w:type="dxa" w:w="3216"/>
            <w:shd w:val="clear" w:fill="1F3864"/>
          </w:tcPr>
          <w:p>
            <w:r>
              <w:rPr>
                <w:b/>
                <w:color w:val="FFFFFF"/>
                <w:sz w:val="19"/>
              </w:rPr>
              <w:t>Note</w:t>
            </w:r>
          </w:p>
        </w:tc>
      </w:tr>
      <w:tr>
        <w:tc>
          <w:tcPr>
            <w:tcW w:type="dxa" w:w="3216"/>
          </w:tcPr>
          <w:p>
            <w:r>
              <w:rPr>
                <w:sz w:val="19"/>
              </w:rPr>
              <w:t>S&amp;P 500 level</w:t>
            </w:r>
          </w:p>
        </w:tc>
        <w:tc>
          <w:tcPr>
            <w:tcW w:type="dxa" w:w="3216"/>
          </w:tcPr>
          <w:p>
            <w:r>
              <w:rPr>
                <w:sz w:val="19"/>
              </w:rPr>
              <w:t>7785.76</w:t>
            </w:r>
          </w:p>
        </w:tc>
        <w:tc>
          <w:tcPr>
            <w:tcW w:type="dxa" w:w="3216"/>
          </w:tcPr>
          <w:p>
            <w:r>
              <w:rPr>
                <w:sz w:val="19"/>
              </w:rPr>
              <w:t>-0.2% below the Aug 13 record high</w:t>
            </w:r>
          </w:p>
        </w:tc>
      </w:tr>
      <w:tr>
        <w:tc>
          <w:tcPr>
            <w:tcW w:type="dxa" w:w="3216"/>
            <w:shd w:val="clear" w:fill="EEF1F7"/>
          </w:tcPr>
          <w:p>
            <w:r>
              <w:rPr>
                <w:sz w:val="19"/>
              </w:rPr>
              <w:t>S&amp;P vs 200-day</w:t>
            </w:r>
          </w:p>
        </w:tc>
        <w:tc>
          <w:tcPr>
            <w:tcW w:type="dxa" w:w="3216"/>
            <w:shd w:val="clear" w:fill="EEF1F7"/>
          </w:tcPr>
          <w:p>
            <w:r>
              <w:rPr>
                <w:sz w:val="19"/>
              </w:rPr>
              <w:t>ABOVE</w:t>
            </w:r>
          </w:p>
        </w:tc>
        <w:tc>
          <w:tcPr>
            <w:tcW w:type="dxa" w:w="3216"/>
            <w:shd w:val="clear" w:fill="EEF1F7"/>
          </w:tcPr>
          <w:p>
            <w:r>
              <w:rPr>
                <w:sz w:val="19"/>
              </w:rPr>
              <w:t>7785.76 vs 7100.67</w:t>
            </w:r>
          </w:p>
        </w:tc>
      </w:tr>
      <w:tr>
        <w:tc>
          <w:tcPr>
            <w:tcW w:type="dxa" w:w="3216"/>
          </w:tcPr>
          <w:p>
            <w:r>
              <w:rPr>
                <w:sz w:val="19"/>
              </w:rPr>
              <w:t>Stocks above 200-day</w:t>
            </w:r>
          </w:p>
        </w:tc>
        <w:tc>
          <w:tcPr>
            <w:tcW w:type="dxa" w:w="3216"/>
          </w:tcPr>
          <w:p>
            <w:r>
              <w:rPr>
                <w:sz w:val="19"/>
              </w:rPr>
              <w:t>71.64%</w:t>
            </w:r>
          </w:p>
        </w:tc>
        <w:tc>
          <w:tcPr>
            <w:tcW w:type="dxa" w:w="3216"/>
          </w:tcPr>
          <w:p>
            <w:r>
              <w:rPr>
                <w:sz w:val="19"/>
              </w:rPr>
              <w:t>broad</w:t>
            </w:r>
          </w:p>
        </w:tc>
      </w:tr>
      <w:tr>
        <w:tc>
          <w:tcPr>
            <w:tcW w:type="dxa" w:w="3216"/>
            <w:shd w:val="clear" w:fill="EEF1F7"/>
          </w:tcPr>
          <w:p>
            <w:r>
              <w:rPr>
                <w:sz w:val="19"/>
              </w:rPr>
              <w:t>Stocks above 50-day</w:t>
            </w:r>
          </w:p>
        </w:tc>
        <w:tc>
          <w:tcPr>
            <w:tcW w:type="dxa" w:w="3216"/>
            <w:shd w:val="clear" w:fill="EEF1F7"/>
          </w:tcPr>
          <w:p>
            <w:r>
              <w:rPr>
                <w:sz w:val="19"/>
              </w:rPr>
              <w:t>67.99%</w:t>
            </w:r>
          </w:p>
        </w:tc>
        <w:tc>
          <w:tcPr>
            <w:tcW w:type="dxa" w:w="3216"/>
            <w:shd w:val="clear" w:fill="EEF1F7"/>
          </w:tcPr>
          <w:p>
            <w:r>
              <w:rPr>
                <w:sz w:val="19"/>
              </w:rPr>
              <w:t>healthy</w:t>
            </w:r>
          </w:p>
        </w:tc>
      </w:tr>
      <w:tr>
        <w:tc>
          <w:tcPr>
            <w:tcW w:type="dxa" w:w="3216"/>
          </w:tcPr>
          <w:p>
            <w:r>
              <w:rPr>
                <w:sz w:val="19"/>
              </w:rPr>
              <w:t>New 52w highs vs lows</w:t>
            </w:r>
          </w:p>
        </w:tc>
        <w:tc>
          <w:tcPr>
            <w:tcW w:type="dxa" w:w="3216"/>
          </w:tcPr>
          <w:p>
            <w:r>
              <w:rPr>
                <w:sz w:val="19"/>
              </w:rPr>
              <w:t>2 vs 0</w:t>
            </w:r>
          </w:p>
        </w:tc>
        <w:tc>
          <w:tcPr>
            <w:tcW w:type="dxa" w:w="3216"/>
          </w:tcPr>
          <w:p>
            <w:r>
              <w:rPr>
                <w:sz w:val="19"/>
              </w:rPr>
              <w:t>thin but positive</w:t>
            </w:r>
          </w:p>
        </w:tc>
      </w:tr>
      <w:tr>
        <w:tc>
          <w:tcPr>
            <w:tcW w:type="dxa" w:w="3216"/>
            <w:shd w:val="clear" w:fill="EEF1F7"/>
          </w:tcPr>
          <w:p>
            <w:r>
              <w:rPr>
                <w:sz w:val="19"/>
              </w:rPr>
              <w:t>Advancers vs decliners</w:t>
            </w:r>
          </w:p>
        </w:tc>
        <w:tc>
          <w:tcPr>
            <w:tcW w:type="dxa" w:w="3216"/>
            <w:shd w:val="clear" w:fill="EEF1F7"/>
          </w:tcPr>
          <w:p>
            <w:r>
              <w:rPr>
                <w:sz w:val="19"/>
              </w:rPr>
              <w:t>1041 vs 885</w:t>
            </w:r>
          </w:p>
        </w:tc>
        <w:tc>
          <w:tcPr>
            <w:tcW w:type="dxa" w:w="3216"/>
            <w:shd w:val="clear" w:fill="EEF1F7"/>
          </w:tcPr>
          <w:p>
            <w:r>
              <w:rPr>
                <w:sz w:val="19"/>
              </w:rPr>
              <w:t>broadening</w:t>
            </w:r>
          </w:p>
        </w:tc>
      </w:tr>
      <w:tr>
        <w:tc>
          <w:tcPr>
            <w:tcW w:type="dxa" w:w="3216"/>
          </w:tcPr>
          <w:p>
            <w:r>
              <w:rPr>
                <w:sz w:val="19"/>
              </w:rPr>
              <w:t>VIX</w:t>
            </w:r>
          </w:p>
        </w:tc>
        <w:tc>
          <w:tcPr>
            <w:tcW w:type="dxa" w:w="3216"/>
          </w:tcPr>
          <w:p>
            <w:r>
              <w:rPr>
                <w:sz w:val="19"/>
              </w:rPr>
              <w:t>14.25</w:t>
            </w:r>
          </w:p>
        </w:tc>
        <w:tc>
          <w:tcPr>
            <w:tcW w:type="dxa" w:w="3216"/>
          </w:tcPr>
          <w:p>
            <w:r>
              <w:rPr>
                <w:sz w:val="19"/>
              </w:rPr>
              <w:t>calm</w:t>
            </w:r>
          </w:p>
        </w:tc>
      </w:tr>
      <w:tr>
        <w:tc>
          <w:tcPr>
            <w:tcW w:type="dxa" w:w="3216"/>
            <w:shd w:val="clear" w:fill="EEF1F7"/>
          </w:tcPr>
          <w:p>
            <w:r>
              <w:rPr>
                <w:sz w:val="19"/>
              </w:rPr>
              <w:t>Credit spreads</w:t>
            </w:r>
          </w:p>
        </w:tc>
        <w:tc>
          <w:tcPr>
            <w:tcW w:type="dxa" w:w="3216"/>
            <w:shd w:val="clear" w:fill="EEF1F7"/>
          </w:tcPr>
          <w:p>
            <w:r>
              <w:rPr>
                <w:sz w:val="19"/>
              </w:rPr>
              <w:t>n/a (FRED pending)</w:t>
            </w:r>
          </w:p>
        </w:tc>
        <w:tc>
          <w:tcPr>
            <w:tcW w:type="dxa" w:w="3216"/>
            <w:shd w:val="clear" w:fill="EEF1F7"/>
          </w:tcPr>
          <w:p>
            <w:r>
              <w:rPr>
                <w:sz w:val="19"/>
              </w:rPr>
              <w:t>not available this week</w:t>
            </w:r>
          </w:p>
        </w:tc>
      </w:tr>
      <w:tr>
        <w:tc>
          <w:tcPr>
            <w:tcW w:type="dxa" w:w="3216"/>
          </w:tcPr>
          <w:p>
            <w:r>
              <w:rPr>
                <w:sz w:val="19"/>
              </w:rPr>
              <w:t>Gold</w:t>
            </w:r>
          </w:p>
        </w:tc>
        <w:tc>
          <w:tcPr>
            <w:tcW w:type="dxa" w:w="3216"/>
          </w:tcPr>
          <w:p>
            <w:r>
              <w:rPr>
                <w:sz w:val="19"/>
              </w:rPr>
              <w:t>+2.2% wk</w:t>
            </w:r>
          </w:p>
        </w:tc>
        <w:tc>
          <w:tcPr>
            <w:tcW w:type="dxa" w:w="3216"/>
          </w:tcPr>
          <w:p>
            <w:r>
              <w:rPr>
                <w:sz w:val="19"/>
              </w:rPr>
              <w:t>mild fear bid</w:t>
            </w:r>
          </w:p>
        </w:tc>
      </w:tr>
      <w:tr>
        <w:tc>
          <w:tcPr>
            <w:tcW w:type="dxa" w:w="3216"/>
            <w:shd w:val="clear" w:fill="EEF1F7"/>
          </w:tcPr>
          <w:p>
            <w:r>
              <w:rPr>
                <w:sz w:val="19"/>
              </w:rPr>
              <w:t>High-yield (HYG)</w:t>
            </w:r>
          </w:p>
        </w:tc>
        <w:tc>
          <w:tcPr>
            <w:tcW w:type="dxa" w:w="3216"/>
            <w:shd w:val="clear" w:fill="EEF1F7"/>
          </w:tcPr>
          <w:p>
            <w:r>
              <w:rPr>
                <w:sz w:val="19"/>
              </w:rPr>
              <w:t>+0.1% wk</w:t>
            </w:r>
          </w:p>
        </w:tc>
        <w:tc>
          <w:tcPr>
            <w:tcW w:type="dxa" w:w="3216"/>
            <w:shd w:val="clear" w:fill="EEF1F7"/>
          </w:tcPr>
          <w:p>
            <w:r>
              <w:rPr>
                <w:sz w:val="19"/>
              </w:rPr>
              <w:t>risk-on</w:t>
            </w:r>
          </w:p>
        </w:tc>
      </w:tr>
      <w:tr>
        <w:tc>
          <w:tcPr>
            <w:tcW w:type="dxa" w:w="3216"/>
          </w:tcPr>
          <w:p>
            <w:r>
              <w:rPr>
                <w:sz w:val="19"/>
              </w:rPr>
              <w:t>US dollar (DXY)</w:t>
            </w:r>
          </w:p>
        </w:tc>
        <w:tc>
          <w:tcPr>
            <w:tcW w:type="dxa" w:w="3216"/>
          </w:tcPr>
          <w:p>
            <w:r>
              <w:rPr>
                <w:sz w:val="19"/>
              </w:rPr>
              <w:t>+0.1% wk</w:t>
            </w:r>
          </w:p>
        </w:tc>
        <w:tc>
          <w:tcPr>
            <w:tcW w:type="dxa" w:w="3216"/>
          </w:tcPr>
          <w:p>
            <w:r>
              <w:rPr>
                <w:sz w:val="19"/>
              </w:rPr>
              <w:t>flat</w:t>
            </w:r>
          </w:p>
        </w:tc>
      </w:tr>
    </w:tbl>
    <w:p/>
    <w:p>
      <w:r>
        <w:t>Run the fear panel across its channels and the picture is calm with one flicker. VIX asleep at 14.25, junk bonds steady, the dollar flat. The one gauge that moved is gold, up 2.2%, a modest hedge going on while oil climbs, not a stampede for the exits. Fear showing up in one place and nowhere else is contained fear. If gold's rally were joined by cracking junk bonds and a spiking dollar, that would be the real thing. It isn't, yet.</w:t>
      </w:r>
    </w:p>
    <w:p>
      <w:r>
        <w:t>Scenarios into the back half of August:</w:t>
      </w:r>
    </w:p>
    <w:p>
      <w:pPr>
        <w:pStyle w:val="ListBullet"/>
      </w:pPr>
      <w:r>
        <w:rPr>
          <w:b/>
        </w:rPr>
        <w:t>Base case (55%):</w:t>
      </w:r>
      <w:r>
        <w:t xml:space="preserve"> the index grinds near its highs, the rotation keeps working — energy and materials lead, mega-cap tech consolidates, breadth stays broad. Cool inflation and a steepening curve keep the floor in.</w:t>
      </w:r>
    </w:p>
    <w:p>
      <w:pPr>
        <w:pStyle w:val="ListBullet"/>
      </w:pPr>
      <w:r>
        <w:rPr>
          <w:b/>
        </w:rPr>
        <w:t>Bull case (25%):</w:t>
      </w:r>
      <w:r>
        <w:t xml:space="preserve"> Jackson Hole and the Fed minutes confirm a pause, the memory cycle turning in Korea drags US semis back up the board, and the rally broadens into a proper melt-up.</w:t>
      </w:r>
    </w:p>
    <w:p>
      <w:pPr>
        <w:pStyle w:val="ListBullet"/>
      </w:pPr>
      <w:r>
        <w:rPr>
          <w:b/>
        </w:rPr>
        <w:t>Bear case (20%):</w:t>
      </w:r>
      <w:r>
        <w:t xml:space="preserve"> the oil spike keeps going, the inflation story reopens, the Fed leans hawkish into next month, and long-duration tech takes the hit while airlines and consumer names get squeezed.</w:t>
      </w:r>
    </w:p>
    <w:p>
      <w:r>
        <w:t>Stance: constructive but selective. Own the leadership, respect the oil risk, don't chase the 40%-in-a-week names.</w:t>
      </w:r>
    </w:p>
    <w:p>
      <w:pPr>
        <w:spacing w:before="240" w:after="80"/>
      </w:pPr>
      <w:r>
        <w:rPr>
          <w:b/>
          <w:color w:val="1F3864"/>
          <w:sz w:val="30"/>
        </w:rPr>
        <w:t>9. The Algo (educational paper track record)</w:t>
      </w:r>
    </w:p>
    <w:p>
      <w:r>
        <w:t>The paper strategy sits at $50,458, up 0.9% since it started on May 27, trailing the S&amp;P's +3.5% and edging QQQ's +0.2% over the same span. On the week it gained 1.1%, with a drawdown of 4.9%. The full record is unflattering and I'll say so plainly: 52 closed trades, 13 winners, a 25% win rate, averaging -1.6% per trade. This is a strategy that wins small often enough to matter only if the few big winners run, and lately they've been thin.</w:t>
      </w:r>
    </w:p>
    <w:p>
      <w:r>
        <w:t>It closed one position this week: VSXY, stopped out at -8.7%. The open book tells the real story. It's stacked with financials (JPMorgan, Bank of America, MetLife, M&amp;T, Citizens, USB and more), which is where the rules found relative-strength acceleration over the summer. The standout open winner is an energy name, Marathon Petroleum, up 17.4% since mid-July, bought before this week's energy surge, which is the system doing its job even when the aggregate numbers look grim. The newest entry, Zoom, is already down 4.2%.</w:t>
      </w:r>
    </w:p>
    <w:p>
      <w:r>
        <w:rPr>
          <w:i/>
        </w:rPr>
        <w:t>Methodology. The Algo is a long-only, rules-based paper strategy on a $50,000 notional sleeve, trading the same ~1,900-stock universe. A name is bought only if it clears every gate: its sector ranks near the top of the board with broad participation, earnings are growing year-over-year in both revenue and profit, it isn't already held, and it's past a 21-day cooldown. Qualifying setups are sorted into four conviction tiers by how many independent signals fire — from T1 (multiple 'strong' chart patterns, risked at 1.5% of the sleeve) down to T4 (relative-strength acceleration, 0.5%). Size is set by risk, not dollars: each trade is sized so a stop 2×ATR below entry costs only that tier's risk budget, capped at $2,000–$6,000. Exits are mechanical — scale out a third at +2R and a third at +4R (1R = the initial stop distance), trail the remainder by 2×ATR, book some after a +25% spike, and time out positions left flat after 25 trading days. New entries pause if the book is down 2% on the day or 8% from its peak. Signals are generated after the close and filled the next session at the live price plus 0.15% slippage. These are educational paper results — not advice, and not a live account.</w:t>
      </w:r>
    </w:p>
    <w:p>
      <w:pPr>
        <w:spacing w:before="240" w:after="80"/>
      </w:pPr>
      <w:r>
        <w:rPr>
          <w:b/>
          <w:color w:val="1F3864"/>
          <w:sz w:val="30"/>
        </w:rPr>
        <w:t>10. Key events next week</w:t>
      </w:r>
    </w:p>
    <w:p>
      <w:pPr>
        <w:pStyle w:val="ListBullet"/>
      </w:pPr>
      <w:r>
        <w:rPr>
          <w:b/>
        </w:rPr>
        <w:t>Fed minutes and Jackson Hole.</w:t>
      </w:r>
      <w:r>
        <w:t xml:space="preserve"> The main event. Markets are pricing a September pause; the hawks may push back. The real tell isn't the words, it's whether the two-year yield moves — if it jumps, the market heard "higher for longer."</w:t>
      </w:r>
    </w:p>
    <w:p>
      <w:pPr>
        <w:pStyle w:val="ListBullet"/>
      </w:pPr>
      <w:r>
        <w:rPr>
          <w:b/>
        </w:rPr>
        <w:t>Initial jobless claims (Aug 20).</w:t>
      </w:r>
      <w:r>
        <w:t xml:space="preserve"> With payrolls already negative at -23k, this weekly print is the early read on whether the labor market is cracking or just cooling. A pop in claims would strengthen the case for a cut and likely lift long-duration tech.</w:t>
      </w:r>
    </w:p>
    <w:p>
      <w:pPr>
        <w:pStyle w:val="ListBullet"/>
      </w:pPr>
      <w:r>
        <w:rPr>
          <w:b/>
        </w:rPr>
        <w:t>Brent crude, every day.</w:t>
      </w:r>
      <w:r>
        <w:t xml:space="preserve"> Not a scheduled release, but the swing factor for the whole tape. Watch the US–Iran headlines. If oil keeps grinding higher, the bear case gets louder; if the deadlock eases and barrels back off, the inflation worry deflates.</w:t>
      </w:r>
    </w:p>
    <w:p>
      <w:pPr>
        <w:pStyle w:val="ListBullet"/>
      </w:pPr>
      <w:r>
        <w:rPr>
          <w:b/>
        </w:rPr>
        <w:t>Korea's open.</w:t>
      </w:r>
      <w:r>
        <w:t xml:space="preserve"> Whether the KOSPI holds its 11.5% surge or gives it back tells you if the memory-cycle turn is real. That lands on US chip sentiment before our market opens.</w:t>
      </w:r>
    </w:p>
    <w:p>
      <w:pPr>
        <w:spacing w:before="240" w:after="80"/>
      </w:pPr>
      <w:r>
        <w:rPr>
          <w:b/>
          <w:color w:val="1F3864"/>
          <w:sz w:val="30"/>
        </w:rPr>
        <w:t>11. Glossary</w:t>
      </w:r>
    </w:p>
    <w:p>
      <w:pPr>
        <w:pStyle w:val="ListBullet"/>
      </w:pPr>
      <w:r>
        <w:rPr>
          <w:b/>
        </w:rPr>
        <w:t>Our rank / the board:</w:t>
      </w:r>
      <w:r>
        <w:t xml:space="preserve"> we rank every US stock we track by relative strength, #1 strongest. "#11 in our system" = 11th-strongest of ~1,900.</w:t>
      </w:r>
    </w:p>
    <w:p>
      <w:pPr>
        <w:pStyle w:val="ListBullet"/>
      </w:pPr>
      <w:r>
        <w:rPr>
          <w:b/>
        </w:rPr>
        <w:t>Relative strength (RS):</w:t>
      </w:r>
      <w:r>
        <w:t xml:space="preserve"> performance versus the rest of the market. Rising RS = outperforming.</w:t>
      </w:r>
    </w:p>
    <w:p>
      <w:pPr>
        <w:pStyle w:val="ListBullet"/>
      </w:pPr>
      <w:r>
        <w:rPr>
          <w:b/>
        </w:rPr>
        <w:t>Moving averages (20/50/200-day):</w:t>
      </w:r>
      <w:r>
        <w:t xml:space="preserve"> the trend lines. A healthy uptrend has price above a rising 20-day, itself above the 200. "Stretched" means far above the 20-day and prone to a pullback.</w:t>
      </w:r>
    </w:p>
    <w:p>
      <w:pPr>
        <w:pStyle w:val="ListBullet"/>
      </w:pPr>
      <w:r>
        <w:rPr>
          <w:b/>
        </w:rPr>
        <w:t>VIX:</w:t>
      </w:r>
      <w:r>
        <w:t xml:space="preserve"> the market's fear gauge. Below 20 = calm.</w:t>
      </w:r>
    </w:p>
    <w:p>
      <w:pPr>
        <w:pStyle w:val="ListBullet"/>
      </w:pPr>
      <w:r>
        <w:rPr>
          <w:b/>
        </w:rPr>
        <w:t>Credit spreads:</w:t>
      </w:r>
      <w:r>
        <w:t xml:space="preserve"> the extra yield demanded on risky corporate bonds versus safe government bonds. Widening warns of stress; unavailable this week.</w:t>
      </w:r>
    </w:p>
    <w:p>
      <w:pPr>
        <w:pStyle w:val="ListBullet"/>
      </w:pPr>
      <w:r>
        <w:rPr>
          <w:b/>
        </w:rPr>
        <w:t>2s10s spread:</w:t>
      </w:r>
      <w:r>
        <w:t xml:space="preserve"> the 10-year Treasury yield minus the 2-year. Positive and steepening (48bp now) is a normal, healthier signal than the inverted curve that warns of recession.</w:t>
      </w:r>
    </w:p>
    <w:p>
      <w:pPr>
        <w:pStyle w:val="ListBullet"/>
      </w:pPr>
      <w:r>
        <w:rPr>
          <w:b/>
        </w:rPr>
        <w:t>Breadth:</w:t>
      </w:r>
      <w:r>
        <w:t xml:space="preserve"> how many stocks participate. 71.64% above the 200-day is broad and healthy.</w:t>
      </w:r>
    </w:p>
    <w:p>
      <w:pPr>
        <w:pStyle w:val="ListBullet"/>
      </w:pPr>
      <w:r>
        <w:rPr>
          <w:b/>
        </w:rPr>
        <w:t>High-yield / junk bonds:</w:t>
      </w:r>
      <w:r>
        <w:t xml:space="preserve"> bonds from riskier companies; investors sell them first when scared, so steady prices (HYG +0.1%) mean calm.</w:t>
      </w:r>
    </w:p>
    <w:p>
      <w:pPr>
        <w:pStyle w:val="ListBullet"/>
      </w:pPr>
      <w:r>
        <w:rPr>
          <w:b/>
        </w:rPr>
        <w:t>Safe havens (gold, the dollar):</w:t>
      </w:r>
      <w:r>
        <w:t xml:space="preserve"> where money runs when afraid. Gold up 2.2% with the dollar flat is a mild hedge, not a panic.</w:t>
      </w:r>
    </w:p>
    <w:p>
      <w:pPr>
        <w:pBdr>
          <w:bottom w:val="single" w:sz="6" w:space="1" w:color="C0C0C0"/>
        </w:pBdr>
      </w:pPr>
    </w:p>
    <w:p>
      <w:r>
        <w:t>The index is resting near a record while the money underneath it sprints out of airlines and mega-cap tech into energy, miners and the payments plumbing. The oil move is the swing factor, the tailwind for the leaders and the single biggest threat to the calm. This is educational commentary, not advice; every name here is a starting point for your own work. Stay invested, stay selective, and we'll see you next Sunday.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