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The Money Didn't Leave, It Moved</w:t>
      </w:r>
    </w:p>
    <w:p>
      <w:r>
        <w:rPr>
          <w:i/>
        </w:rPr>
        <w:t>Weekly Market Newsletter — Issue for the week ending Friday, July 10, 2026</w:t>
      </w:r>
    </w:p>
    <w:p>
      <w:r>
        <w:t>Oil ripped higher on a fresh Middle East flare-up, and the Fed minutes told everyone waiting for a rate cut to stop waiting. Under both of those, the S&amp;P 500 still closed up 1.2% on the week. The story isn't the index. It's where the cash went while the headlines screamed: into refiners, hospitals, and the firms that manage other people's money, and out of farm equipment and cement. Our read rests on ranking about 1,900 US stocks by relative strength every day, and this week the board reshuffled hard.</w:t>
      </w:r>
    </w:p>
    <w:p>
      <w:pPr>
        <w:spacing w:before="240" w:after="80"/>
      </w:pPr>
      <w:r>
        <w:rPr>
          <w:b/>
          <w:color w:val="1F3864"/>
          <w:sz w:val="30"/>
        </w:rPr>
        <w:t>Grading last week's calls</w:t>
      </w:r>
    </w:p>
    <w:p>
      <w:r>
        <w:t>Three predictions came due from June 26. Here's the honest scorecard.</w:t>
      </w:r>
    </w:p>
    <w:p>
      <w:r>
        <w:rPr>
          <w:b/>
        </w:rPr>
        <w:t>Health Care / biotech holds its gains into a second week — A-.</w:t>
      </w:r>
      <w:r>
        <w:t xml:space="preserve"> It more than held. Biotech and health care own the top of our board now: APGE sits at #7, CRNX rocketed to #3, and 7 of the top 25 weekly climbers are health care names. This rotation has legs.</w:t>
      </w:r>
    </w:p>
    <w:p>
      <w:r>
        <w:rPr>
          <w:b/>
        </w:rPr>
        <w:t>Semiconductors stay in the lower half and don't reclaim a top-20 peer rank — B+.</w:t>
      </w:r>
      <w:r>
        <w:t xml:space="preserve"> No chip group is anywhere near the top of the board, Taiwan fell 3.0% and Korea 2.2% on the week, and Broadcom got cut from Buy to Hold. The call was right in direction. I'll dock myself because this pack doesn't hand me the exact semi peer-group rank to nail it shut, so I'm reading it off the tape.</w:t>
      </w:r>
    </w:p>
    <w:p>
      <w:r>
        <w:rPr>
          <w:b/>
        </w:rPr>
        <w:t>Regime stays healthy, VIX under 20 and breadth above 60% — A.</w:t>
      </w:r>
      <w:r>
        <w:t xml:space="preserve"> VIX closed at 15.04 and 66.79% of stocks are above their 200-day. Clean hit.</w:t>
      </w:r>
    </w:p>
    <w:p>
      <w:pPr>
        <w:spacing w:before="240" w:after="80"/>
      </w:pPr>
      <w:r>
        <w:rPr>
          <w:b/>
          <w:color w:val="1F3864"/>
          <w:sz w:val="30"/>
        </w:rPr>
        <w:t>1. Oil is back, and the refiners are eating</w:t>
      </w:r>
    </w:p>
    <w:p>
      <w:r>
        <w:t>The renewed US-Iran fight put shipping near a standstill in the Strait of Hormuz again, the US revoked Iran's oil-sanctions relief after tanker attacks, and Brent crude jumped 5.9% on the week. When crude spikes on a supply scare rather than booming demand, the winners aren't the drillers first. They're the refiners, who turn crude into gasoline and diesel and pocket a fatter margin when product prices run ahead of the barrel.</w:t>
      </w:r>
    </w:p>
    <w:p>
      <w:r>
        <w:t>Our board caught it in real time. Oil &amp; Gas Refining &amp; Marketing surged from #65 to #13 as a peer group, and Oil &amp; Gas Storage &amp; Transportation — the pipelines and tank farms that get more valuable when the Strait chokes — climbed from #99 to #51. You can see it in individual names too: DINO jumped 738 spots to #356 and MPC climbed 706 to #371 on the week.</w:t>
      </w:r>
    </w:p>
    <w:p>
      <w:r>
        <w:t>The catch worth saying out loud: this move is riding a geopolitical headline, and OPEC+ is adding 188,000 barrels a day from August. If the Strait reopens and that supply lands, the crude-price support behind these refiners can drain as fast as it filled. Respect the strength while the trend holds; don't chase a vertical chart after it's already run.</w:t>
      </w:r>
    </w:p>
    <w:p>
      <w:pPr>
        <w:spacing w:before="240" w:after="80"/>
      </w:pPr>
      <w:r>
        <w:rPr>
          <w:b/>
          <w:color w:val="1F3864"/>
          <w:sz w:val="30"/>
        </w:rPr>
        <w:t>2. The Fed shut the door, and yields noticed</w:t>
      </w:r>
    </w:p>
    <w:p>
      <w:r>
        <w:t xml:space="preserve">The June minutes, and Chair Warsh's first meeting, landed on the same message: no rate cuts this year, and with a fresh oil shock feeding inflation worries, the market is now pricing in the odds of a </w:t>
      </w:r>
      <w:r>
        <w:rPr>
          <w:i/>
        </w:rPr>
        <w:t>hike</w:t>
      </w:r>
      <w:r>
        <w:t xml:space="preserve"> rather than a cut. That's a real shift from the "cuts are coming" mood that carried stocks earlier in the year.</w:t>
      </w:r>
    </w:p>
    <w:p>
      <w:r>
        <w:t>The bond market moved accordingly. The 10-year Treasury yield rose 5 basis points to 4.54%, the 2-year added 2 to 4.16%, and the 2s10s spread sits at a positive 38bp, steepening. A rising long yield is a tax on expensive, long-duration stocks — the chips and richly-valued growth names whose value sits years out in the future. It's part of why money keeps favoring cash-generating, near-term businesses like refiners, insurers, and hospital operators over the priciest growth right now.</w:t>
      </w:r>
    </w:p>
    <w:p>
      <w:r>
        <w:t>Inflation is still running at 4.2% year over year, unemployment is 4.2%, and the last payrolls print was a soft +57k. Sticky prices, a cooling-but-not-cracking job market, a Fed that won't ease: that's why next week's jobless claims (Thursday) matter more than usual. If claims start creeping up, the "no cuts" stance gets harder to hold.</w:t>
      </w:r>
    </w:p>
    <w:p>
      <w:pPr>
        <w:spacing w:before="240" w:after="80"/>
      </w:pPr>
      <w:r>
        <w:rPr>
          <w:b/>
          <w:color w:val="1F3864"/>
          <w:sz w:val="30"/>
        </w:rPr>
        <w:t>3. Where the board reshuffled</w:t>
      </w:r>
    </w:p>
    <w:p>
      <w:r>
        <w:t>The index gained, more stocks rose than fell (1,052 advancers against 892 decliners), and yet new 52-week highs collapsed. A week ago the tape printed 16 new highs and zero new lows; this week it was 1 and 1. Fewer stocks pushing to fresh highs while the index climbs tells you the rally narrowed even as it rose. The gains are concentrated in the groups catching money, not spread across everything.</w:t>
      </w:r>
    </w:p>
    <w:p>
      <w:r>
        <w:t>And money left two groups hard. Agricultural &amp; Farm Machinery fell from #23 to #103 on the board, and Construction Materials dropped from #46 to #109. Both are cyclical, capital-heavy plays that struggle when rates stay high and a supply-driven oil spike threatens demand. Vale, a materials proxy, got knocked from Overweight to Equal-Weight by Morgan Stanley this week, the Street reading the same cooling.</w:t>
      </w:r>
    </w:p>
    <w:p>
      <w:r>
        <w:t>Where it went: health care (7 of the top 25 climbers), software and cybersecurity, and financials — specifically Asset Management &amp; Custody Banks, which leapt from #82 to #39. Charles Schwab jumped 753 spots to #230 and Jack Henry &amp; Associates climbed 800 to #249. When brokers and custody banks catch a bid alongside insurers, it usually means the market expects trading volume and interest income to stay healthy, not to roll over.</w:t>
      </w:r>
    </w:p>
    <w:p>
      <w:pPr>
        <w:spacing w:before="240" w:after="80"/>
      </w:pPr>
      <w:r>
        <w:rPr>
          <w:b/>
          <w:color w:val="1F3864"/>
          <w:sz w:val="30"/>
        </w:rPr>
        <w:t>4. The overnight tape: China up, chips down</w:t>
      </w:r>
    </w:p>
    <w:p>
      <w:r>
        <w:t>Hong Kong was the standout. The Hang Seng rose 4.9% on the week as fears over share lock-up expiries eased and Asian stocks climbed even with oil elevated. That's a China-demand signal, supportive for materials and for US multinationals with China revenue, though notice our own board still shoved US construction materials down the ranks. The Hong Kong bounce hasn't translated into US cyclicals yet. Copper's quiet 2.7% gain fits the same modestly-firmer-China read.</w:t>
      </w:r>
    </w:p>
    <w:p>
      <w:r>
        <w:t>The chip tell went the other way. Taiwan fell 3.0% and Korea's KOSPI dropped 2.2%. Taiwan is your TSMC-and-AI-supply-chain gauge; Korea is the Samsung/SK Hynix memory read that leads Micron. Both softened into a week where our board kept semis buried and Broadcom got downgraded. The dollar barely moved (index +0.1%) and the yen firmed slightly, so there's no carry-unwind panic in the currency tape. The risk this week is oil, not a funding blowup. Bitcoin rose 4.3% on the week and then slipped 0.2% over the weekend, a shrug rather than a warning into Monday.</w:t>
      </w:r>
    </w:p>
    <w:p>
      <w:pPr>
        <w:spacing w:before="240" w:after="80"/>
      </w:pPr>
      <w:r>
        <w:rPr>
          <w:b/>
          <w:color w:val="1F3864"/>
          <w:sz w:val="30"/>
        </w:rPr>
        <w:t>5. Theme of the week: reading, writing, and catching disease in your blood</w:t>
      </w:r>
    </w:p>
    <w:p>
      <w:r>
        <w:t>This week's teaching spotlight is genomics and precision medicine — medicine rebuilt around your DNA. It's a curated look at one value chain, not a call on the whole market, so treat it as a lesson in how the plumbing works.</w:t>
      </w:r>
    </w:p>
    <w:p>
      <w:r>
        <w:t>Picture your genome as a vast library. Five different businesses work on that library, and the money flows to whichever one is the chokepoint at the moment.</w:t>
      </w:r>
    </w:p>
    <w:p>
      <w:pPr>
        <w:pStyle w:val="ListBullet"/>
      </w:pPr>
      <w:r>
        <w:rPr>
          <w:b/>
        </w:rPr>
        <w:t>Sequencing</w:t>
      </w:r>
      <w:r>
        <w:t xml:space="preserve"> is reading the books. Illumina, PacBio, and 10x Genomics build the machines that spell out your DNA letter by letter. Node momentum 84 out of 100 — strong.</w:t>
      </w:r>
    </w:p>
    <w:p>
      <w:pPr>
        <w:pStyle w:val="ListBullet"/>
      </w:pPr>
      <w:r>
        <w:rPr>
          <w:b/>
        </w:rPr>
        <w:t>Tools</w:t>
      </w:r>
      <w:r>
        <w:t xml:space="preserve"> are the ink, paper, and lab reagents everyone else buys — Thermo Fisher, Agilent, Qiagen, Revvity. Momentum 76. A steady toll booth on the whole industry.</w:t>
      </w:r>
    </w:p>
    <w:p>
      <w:pPr>
        <w:pStyle w:val="ListBullet"/>
      </w:pPr>
      <w:r>
        <w:rPr>
          <w:b/>
        </w:rPr>
        <w:t>Diagnostics</w:t>
      </w:r>
      <w:r>
        <w:t xml:space="preserve"> is the early-warning blood test — a liquid biopsy that spots cancer or a genetic risk before symptoms show. Guardant, Natera, Tempus. This is the hottest link on the board at 87.</w:t>
      </w:r>
    </w:p>
    <w:p>
      <w:pPr>
        <w:pStyle w:val="ListBullet"/>
      </w:pPr>
      <w:r>
        <w:rPr>
          <w:b/>
        </w:rPr>
        <w:t>Gene Editing</w:t>
      </w:r>
      <w:r>
        <w:t xml:space="preserve"> is rewriting the sentences: Beam, CRISPR, Intellia, Editas. Momentum 69, the coolest link — the science is furthest from revenue, so it lags when rates are high.</w:t>
      </w:r>
    </w:p>
    <w:p>
      <w:pPr>
        <w:pStyle w:val="ListBullet"/>
      </w:pPr>
      <w:r>
        <w:rPr>
          <w:b/>
        </w:rPr>
        <w:t>AI Discovery</w:t>
      </w:r>
      <w:r>
        <w:t xml:space="preserve"> is the drafting assistant, using models to design drugs faster: Recursion, Schrödinger, Absci. Momentum 76.</w:t>
      </w:r>
    </w:p>
    <w:p>
      <w:r>
        <w:t xml:space="preserve">The whole theme is steady, 76 now versus 77 a week ago, so nothing's breaking. What matters is </w:t>
      </w:r>
      <w:r>
        <w:rPr>
          <w:i/>
        </w:rPr>
        <w:t>where inside the chain</w:t>
      </w:r>
      <w:r>
        <w:t xml:space="preserve"> the money sits: in diagnostics, the link closest to an actual paying customer and a repeatable test. That fits the broader market mood — cash favors the business that gets paid now over the one promising a cure in 2032.</w:t>
      </w:r>
    </w:p>
    <w:p>
      <w:r>
        <w:t>The standout is Natera, top of the theme at 92 momentum and #42 on our full board, and it shows up on this week's watchlist too, which is the kind of cross-confirmation worth a second look on your own. For contrast, Beam screens as the cheapest on growth-adjusted sales (price-to-sales of 20.7 against 325% revenue growth), but it lives in the gene-editing link that's lagging, which is why "cheap" and "in favor" aren't the same thing. Do your own homework here; theme momentum is a starting point, not a verdict.</w:t>
      </w:r>
    </w:p>
    <w:p>
      <w:pPr>
        <w:spacing w:before="240" w:after="80"/>
      </w:pPr>
      <w:r>
        <w:rPr>
          <w:b/>
          <w:color w:val="1F3864"/>
          <w:sz w:val="30"/>
        </w:rPr>
        <w:t>6. Where the money is going</w:t>
      </w:r>
    </w:p>
    <w:p>
      <w:r>
        <w:t>Here's the top of the board — the ten strongest names in our system, in order.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r>
              <w:rPr>
                <w:b/>
                <w:color w:val="FFFFFF"/>
                <w:sz w:val="19"/>
              </w:rPr>
              <w:t>#</w:t>
            </w:r>
          </w:p>
        </w:tc>
        <w:tc>
          <w:tcPr>
            <w:tcW w:type="dxa" w:w="2412"/>
            <w:shd w:val="clear" w:fill="1F3864"/>
          </w:tcPr>
          <w:p>
            <w:r>
              <w:rPr>
                <w:b/>
                <w:color w:val="FFFFFF"/>
                <w:sz w:val="19"/>
              </w:rPr>
              <w:t>Ticker</w:t>
            </w:r>
          </w:p>
        </w:tc>
        <w:tc>
          <w:tcPr>
            <w:tcW w:type="dxa" w:w="2412"/>
            <w:shd w:val="clear" w:fill="1F3864"/>
          </w:tcPr>
          <w:p>
            <w:r>
              <w:rPr>
                <w:b/>
                <w:color w:val="FFFFFF"/>
                <w:sz w:val="19"/>
              </w:rPr>
              <w:t>Company</w:t>
            </w:r>
          </w:p>
        </w:tc>
        <w:tc>
          <w:tcPr>
            <w:tcW w:type="dxa" w:w="2412"/>
            <w:shd w:val="clear" w:fill="1F3864"/>
          </w:tcPr>
          <w:p>
            <w:r>
              <w:rPr>
                <w:b/>
                <w:color w:val="FFFFFF"/>
                <w:sz w:val="19"/>
              </w:rPr>
              <w:t>Industry</w:t>
            </w:r>
          </w:p>
        </w:tc>
      </w:tr>
      <w:tr>
        <w:tc>
          <w:tcPr>
            <w:tcW w:type="dxa" w:w="2412"/>
          </w:tcPr>
          <w:p>
            <w:r>
              <w:rPr>
                <w:sz w:val="19"/>
              </w:rPr>
              <w:t>1</w:t>
            </w:r>
          </w:p>
        </w:tc>
        <w:tc>
          <w:tcPr>
            <w:tcW w:type="dxa" w:w="2412"/>
          </w:tcPr>
          <w:p>
            <w:r>
              <w:rPr>
                <w:sz w:val="19"/>
              </w:rPr>
              <w:t>QLYS</w:t>
            </w:r>
          </w:p>
        </w:tc>
        <w:tc>
          <w:tcPr>
            <w:tcW w:type="dxa" w:w="2412"/>
          </w:tcPr>
          <w:p>
            <w:r>
              <w:rPr>
                <w:sz w:val="19"/>
              </w:rPr>
              <w:t>Qualys</w:t>
            </w:r>
          </w:p>
        </w:tc>
        <w:tc>
          <w:tcPr>
            <w:tcW w:type="dxa" w:w="2412"/>
          </w:tcPr>
          <w:p>
            <w:r>
              <w:rPr>
                <w:sz w:val="19"/>
              </w:rPr>
              <w:t>Systems Software</w:t>
            </w:r>
          </w:p>
        </w:tc>
      </w:tr>
      <w:tr>
        <w:tc>
          <w:tcPr>
            <w:tcW w:type="dxa" w:w="2412"/>
            <w:shd w:val="clear" w:fill="EEF1F7"/>
          </w:tcPr>
          <w:p>
            <w:r>
              <w:rPr>
                <w:sz w:val="19"/>
              </w:rPr>
              <w:t>2</w:t>
            </w:r>
          </w:p>
        </w:tc>
        <w:tc>
          <w:tcPr>
            <w:tcW w:type="dxa" w:w="2412"/>
            <w:shd w:val="clear" w:fill="EEF1F7"/>
          </w:tcPr>
          <w:p>
            <w:r>
              <w:rPr>
                <w:sz w:val="19"/>
              </w:rPr>
              <w:t>PTRN</w:t>
            </w:r>
          </w:p>
        </w:tc>
        <w:tc>
          <w:tcPr>
            <w:tcW w:type="dxa" w:w="2412"/>
            <w:shd w:val="clear" w:fill="EEF1F7"/>
          </w:tcPr>
          <w:p>
            <w:r>
              <w:rPr>
                <w:sz w:val="19"/>
              </w:rPr>
              <w:t>Pattern Group</w:t>
            </w:r>
          </w:p>
        </w:tc>
        <w:tc>
          <w:tcPr>
            <w:tcW w:type="dxa" w:w="2412"/>
            <w:shd w:val="clear" w:fill="EEF1F7"/>
          </w:tcPr>
          <w:p>
            <w:r>
              <w:rPr>
                <w:sz w:val="19"/>
              </w:rPr>
              <w:t>Software - Application</w:t>
            </w:r>
          </w:p>
        </w:tc>
      </w:tr>
      <w:tr>
        <w:tc>
          <w:tcPr>
            <w:tcW w:type="dxa" w:w="2412"/>
          </w:tcPr>
          <w:p>
            <w:r>
              <w:rPr>
                <w:sz w:val="19"/>
              </w:rPr>
              <w:t>3</w:t>
            </w:r>
          </w:p>
        </w:tc>
        <w:tc>
          <w:tcPr>
            <w:tcW w:type="dxa" w:w="2412"/>
          </w:tcPr>
          <w:p>
            <w:r>
              <w:rPr>
                <w:sz w:val="19"/>
              </w:rPr>
              <w:t>CRNX</w:t>
            </w:r>
          </w:p>
        </w:tc>
        <w:tc>
          <w:tcPr>
            <w:tcW w:type="dxa" w:w="2412"/>
          </w:tcPr>
          <w:p>
            <w:r>
              <w:rPr>
                <w:sz w:val="19"/>
              </w:rPr>
              <w:t>Crinetics Pharmaceuticals</w:t>
            </w:r>
          </w:p>
        </w:tc>
        <w:tc>
          <w:tcPr>
            <w:tcW w:type="dxa" w:w="2412"/>
          </w:tcPr>
          <w:p>
            <w:r>
              <w:rPr>
                <w:sz w:val="19"/>
              </w:rPr>
              <w:t>Biotechnology</w:t>
            </w:r>
          </w:p>
        </w:tc>
      </w:tr>
      <w:tr>
        <w:tc>
          <w:tcPr>
            <w:tcW w:type="dxa" w:w="2412"/>
            <w:shd w:val="clear" w:fill="EEF1F7"/>
          </w:tcPr>
          <w:p>
            <w:r>
              <w:rPr>
                <w:sz w:val="19"/>
              </w:rPr>
              <w:t>4</w:t>
            </w:r>
          </w:p>
        </w:tc>
        <w:tc>
          <w:tcPr>
            <w:tcW w:type="dxa" w:w="2412"/>
            <w:shd w:val="clear" w:fill="EEF1F7"/>
          </w:tcPr>
          <w:p>
            <w:r>
              <w:rPr>
                <w:sz w:val="19"/>
              </w:rPr>
              <w:t>QNST</w:t>
            </w:r>
          </w:p>
        </w:tc>
        <w:tc>
          <w:tcPr>
            <w:tcW w:type="dxa" w:w="2412"/>
            <w:shd w:val="clear" w:fill="EEF1F7"/>
          </w:tcPr>
          <w:p>
            <w:r>
              <w:rPr>
                <w:sz w:val="19"/>
              </w:rPr>
              <w:t>QuinStreet</w:t>
            </w:r>
          </w:p>
        </w:tc>
        <w:tc>
          <w:tcPr>
            <w:tcW w:type="dxa" w:w="2412"/>
            <w:shd w:val="clear" w:fill="EEF1F7"/>
          </w:tcPr>
          <w:p>
            <w:r>
              <w:rPr>
                <w:sz w:val="19"/>
              </w:rPr>
              <w:t>Interactive Media &amp; Services</w:t>
            </w:r>
          </w:p>
        </w:tc>
      </w:tr>
      <w:tr>
        <w:tc>
          <w:tcPr>
            <w:tcW w:type="dxa" w:w="2412"/>
          </w:tcPr>
          <w:p>
            <w:r>
              <w:rPr>
                <w:sz w:val="19"/>
              </w:rPr>
              <w:t>5</w:t>
            </w:r>
          </w:p>
        </w:tc>
        <w:tc>
          <w:tcPr>
            <w:tcW w:type="dxa" w:w="2412"/>
          </w:tcPr>
          <w:p>
            <w:r>
              <w:rPr>
                <w:sz w:val="19"/>
              </w:rPr>
              <w:t>DFTX</w:t>
            </w:r>
          </w:p>
        </w:tc>
        <w:tc>
          <w:tcPr>
            <w:tcW w:type="dxa" w:w="2412"/>
          </w:tcPr>
          <w:p>
            <w:r>
              <w:rPr>
                <w:sz w:val="19"/>
              </w:rPr>
              <w:t>Definium Therapeutics</w:t>
            </w:r>
          </w:p>
        </w:tc>
        <w:tc>
          <w:tcPr>
            <w:tcW w:type="dxa" w:w="2412"/>
          </w:tcPr>
          <w:p>
            <w:r>
              <w:rPr>
                <w:sz w:val="19"/>
              </w:rPr>
              <w:t>Biotechnology</w:t>
            </w:r>
          </w:p>
        </w:tc>
      </w:tr>
      <w:tr>
        <w:tc>
          <w:tcPr>
            <w:tcW w:type="dxa" w:w="2412"/>
            <w:shd w:val="clear" w:fill="EEF1F7"/>
          </w:tcPr>
          <w:p>
            <w:r>
              <w:rPr>
                <w:sz w:val="19"/>
              </w:rPr>
              <w:t>6</w:t>
            </w:r>
          </w:p>
        </w:tc>
        <w:tc>
          <w:tcPr>
            <w:tcW w:type="dxa" w:w="2412"/>
            <w:shd w:val="clear" w:fill="EEF1F7"/>
          </w:tcPr>
          <w:p>
            <w:r>
              <w:rPr>
                <w:sz w:val="19"/>
              </w:rPr>
              <w:t>VRNS</w:t>
            </w:r>
          </w:p>
        </w:tc>
        <w:tc>
          <w:tcPr>
            <w:tcW w:type="dxa" w:w="2412"/>
            <w:shd w:val="clear" w:fill="EEF1F7"/>
          </w:tcPr>
          <w:p>
            <w:r>
              <w:rPr>
                <w:sz w:val="19"/>
              </w:rPr>
              <w:t>Varonis Systems</w:t>
            </w:r>
          </w:p>
        </w:tc>
        <w:tc>
          <w:tcPr>
            <w:tcW w:type="dxa" w:w="2412"/>
            <w:shd w:val="clear" w:fill="EEF1F7"/>
          </w:tcPr>
          <w:p>
            <w:r>
              <w:rPr>
                <w:sz w:val="19"/>
              </w:rPr>
              <w:t>Software - Infrastructure</w:t>
            </w:r>
          </w:p>
        </w:tc>
      </w:tr>
      <w:tr>
        <w:tc>
          <w:tcPr>
            <w:tcW w:type="dxa" w:w="2412"/>
          </w:tcPr>
          <w:p>
            <w:r>
              <w:rPr>
                <w:sz w:val="19"/>
              </w:rPr>
              <w:t>7</w:t>
            </w:r>
          </w:p>
        </w:tc>
        <w:tc>
          <w:tcPr>
            <w:tcW w:type="dxa" w:w="2412"/>
          </w:tcPr>
          <w:p>
            <w:r>
              <w:rPr>
                <w:sz w:val="19"/>
              </w:rPr>
              <w:t>APGE</w:t>
            </w:r>
          </w:p>
        </w:tc>
        <w:tc>
          <w:tcPr>
            <w:tcW w:type="dxa" w:w="2412"/>
          </w:tcPr>
          <w:p>
            <w:r>
              <w:rPr>
                <w:sz w:val="19"/>
              </w:rPr>
              <w:t>Apogee Therapeutics</w:t>
            </w:r>
          </w:p>
        </w:tc>
        <w:tc>
          <w:tcPr>
            <w:tcW w:type="dxa" w:w="2412"/>
          </w:tcPr>
          <w:p>
            <w:r>
              <w:rPr>
                <w:sz w:val="19"/>
              </w:rPr>
              <w:t>Biotechnology</w:t>
            </w:r>
          </w:p>
        </w:tc>
      </w:tr>
      <w:tr>
        <w:tc>
          <w:tcPr>
            <w:tcW w:type="dxa" w:w="2412"/>
            <w:shd w:val="clear" w:fill="EEF1F7"/>
          </w:tcPr>
          <w:p>
            <w:r>
              <w:rPr>
                <w:sz w:val="19"/>
              </w:rPr>
              <w:t>8</w:t>
            </w:r>
          </w:p>
        </w:tc>
        <w:tc>
          <w:tcPr>
            <w:tcW w:type="dxa" w:w="2412"/>
            <w:shd w:val="clear" w:fill="EEF1F7"/>
          </w:tcPr>
          <w:p>
            <w:r>
              <w:rPr>
                <w:sz w:val="19"/>
              </w:rPr>
              <w:t>NRIX</w:t>
            </w:r>
          </w:p>
        </w:tc>
        <w:tc>
          <w:tcPr>
            <w:tcW w:type="dxa" w:w="2412"/>
            <w:shd w:val="clear" w:fill="EEF1F7"/>
          </w:tcPr>
          <w:p>
            <w:r>
              <w:rPr>
                <w:sz w:val="19"/>
              </w:rPr>
              <w:t>Nurix Therapeutics</w:t>
            </w:r>
          </w:p>
        </w:tc>
        <w:tc>
          <w:tcPr>
            <w:tcW w:type="dxa" w:w="2412"/>
            <w:shd w:val="clear" w:fill="EEF1F7"/>
          </w:tcPr>
          <w:p>
            <w:r>
              <w:rPr>
                <w:sz w:val="19"/>
              </w:rPr>
              <w:t>Biotechnology</w:t>
            </w:r>
          </w:p>
        </w:tc>
      </w:tr>
      <w:tr>
        <w:tc>
          <w:tcPr>
            <w:tcW w:type="dxa" w:w="2412"/>
          </w:tcPr>
          <w:p>
            <w:r>
              <w:rPr>
                <w:sz w:val="19"/>
              </w:rPr>
              <w:t>9</w:t>
            </w:r>
          </w:p>
        </w:tc>
        <w:tc>
          <w:tcPr>
            <w:tcW w:type="dxa" w:w="2412"/>
          </w:tcPr>
          <w:p>
            <w:r>
              <w:rPr>
                <w:sz w:val="19"/>
              </w:rPr>
              <w:t>CORT</w:t>
            </w:r>
          </w:p>
        </w:tc>
        <w:tc>
          <w:tcPr>
            <w:tcW w:type="dxa" w:w="2412"/>
          </w:tcPr>
          <w:p>
            <w:r>
              <w:rPr>
                <w:sz w:val="19"/>
              </w:rPr>
              <w:t>Corcept Therapeutics</w:t>
            </w:r>
          </w:p>
        </w:tc>
        <w:tc>
          <w:tcPr>
            <w:tcW w:type="dxa" w:w="2412"/>
          </w:tcPr>
          <w:p>
            <w:r>
              <w:rPr>
                <w:sz w:val="19"/>
              </w:rPr>
              <w:t>Pharmaceuticals</w:t>
            </w:r>
          </w:p>
        </w:tc>
      </w:tr>
      <w:tr>
        <w:tc>
          <w:tcPr>
            <w:tcW w:type="dxa" w:w="2412"/>
            <w:shd w:val="clear" w:fill="EEF1F7"/>
          </w:tcPr>
          <w:p>
            <w:r>
              <w:rPr>
                <w:sz w:val="19"/>
              </w:rPr>
              <w:t>10</w:t>
            </w:r>
          </w:p>
        </w:tc>
        <w:tc>
          <w:tcPr>
            <w:tcW w:type="dxa" w:w="2412"/>
            <w:shd w:val="clear" w:fill="EEF1F7"/>
          </w:tcPr>
          <w:p>
            <w:r>
              <w:rPr>
                <w:sz w:val="19"/>
              </w:rPr>
              <w:t>TENB</w:t>
            </w:r>
          </w:p>
        </w:tc>
        <w:tc>
          <w:tcPr>
            <w:tcW w:type="dxa" w:w="2412"/>
            <w:shd w:val="clear" w:fill="EEF1F7"/>
          </w:tcPr>
          <w:p>
            <w:r>
              <w:rPr>
                <w:sz w:val="19"/>
              </w:rPr>
              <w:t>Tenable Holdings</w:t>
            </w:r>
          </w:p>
        </w:tc>
        <w:tc>
          <w:tcPr>
            <w:tcW w:type="dxa" w:w="2412"/>
            <w:shd w:val="clear" w:fill="EEF1F7"/>
          </w:tcPr>
          <w:p>
            <w:r>
              <w:rPr>
                <w:sz w:val="19"/>
              </w:rPr>
              <w:t>Software - Infrastructure</w:t>
            </w:r>
          </w:p>
        </w:tc>
      </w:tr>
    </w:tbl>
    <w:p/>
    <w:p>
      <w:r>
        <w:t>Two clusters run the leaderboard: cybersecurity software (QLYS at #1, VRNS, TENB, with Rapid7 close behind at #15) and biotech (CRNX, DFTX, APGE, NRIX, CORT). Consumer finance shows up right behind at #16 and #17 with Dave and Enova. One caution on CRNX at #3: it's there because Vertex agreed to acquire it and the stock jumped 98% on the week. That's a buyout pop, a one-time re-rating to the deal price, not a trend you can ride. The rank is real but the fuel is spent.</w:t>
      </w:r>
    </w:p>
    <w:p>
      <w:r>
        <w:t>The weekly climbers show the same rotation from a different angle: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864"/>
          </w:tcPr>
          <w:p>
            <w:r>
              <w:rPr>
                <w:b/>
                <w:color w:val="FFFFFF"/>
                <w:sz w:val="19"/>
              </w:rPr>
              <w:t>Ticker</w:t>
            </w:r>
          </w:p>
        </w:tc>
        <w:tc>
          <w:tcPr>
            <w:tcW w:type="dxa" w:w="2412"/>
            <w:shd w:val="clear" w:fill="1F3864"/>
          </w:tcPr>
          <w:p>
            <w:r>
              <w:rPr>
                <w:b/>
                <w:color w:val="FFFFFF"/>
                <w:sz w:val="19"/>
              </w:rPr>
              <w:t>Sector</w:t>
            </w:r>
          </w:p>
        </w:tc>
        <w:tc>
          <w:tcPr>
            <w:tcW w:type="dxa" w:w="2412"/>
            <w:shd w:val="clear" w:fill="1F3864"/>
          </w:tcPr>
          <w:p>
            <w:r>
              <w:rPr>
                <w:b/>
                <w:color w:val="FFFFFF"/>
                <w:sz w:val="19"/>
              </w:rPr>
              <w:t>Rank: week ago → now</w:t>
            </w:r>
          </w:p>
        </w:tc>
        <w:tc>
          <w:tcPr>
            <w:tcW w:type="dxa" w:w="2412"/>
            <w:shd w:val="clear" w:fill="1F3864"/>
          </w:tcPr>
          <w:p>
            <w:r>
              <w:rPr>
                <w:b/>
                <w:color w:val="FFFFFF"/>
                <w:sz w:val="19"/>
              </w:rPr>
              <w:t>Climb</w:t>
            </w:r>
          </w:p>
        </w:tc>
      </w:tr>
      <w:tr>
        <w:tc>
          <w:tcPr>
            <w:tcW w:type="dxa" w:w="2412"/>
          </w:tcPr>
          <w:p>
            <w:r>
              <w:rPr>
                <w:sz w:val="19"/>
              </w:rPr>
              <w:t>INSP</w:t>
            </w:r>
          </w:p>
        </w:tc>
        <w:tc>
          <w:tcPr>
            <w:tcW w:type="dxa" w:w="2412"/>
          </w:tcPr>
          <w:p>
            <w:r>
              <w:rPr>
                <w:sz w:val="19"/>
              </w:rPr>
              <w:t>Health Care</w:t>
            </w:r>
          </w:p>
        </w:tc>
        <w:tc>
          <w:tcPr>
            <w:tcW w:type="dxa" w:w="2412"/>
          </w:tcPr>
          <w:p>
            <w:r>
              <w:rPr>
                <w:sz w:val="19"/>
              </w:rPr>
              <w:t>1100 → 243</w:t>
            </w:r>
          </w:p>
        </w:tc>
        <w:tc>
          <w:tcPr>
            <w:tcW w:type="dxa" w:w="2412"/>
          </w:tcPr>
          <w:p>
            <w:r>
              <w:rPr>
                <w:sz w:val="19"/>
              </w:rPr>
              <w:t>+857</w:t>
            </w:r>
          </w:p>
        </w:tc>
      </w:tr>
      <w:tr>
        <w:tc>
          <w:tcPr>
            <w:tcW w:type="dxa" w:w="2412"/>
            <w:shd w:val="clear" w:fill="EEF1F7"/>
          </w:tcPr>
          <w:p>
            <w:r>
              <w:rPr>
                <w:sz w:val="19"/>
              </w:rPr>
              <w:t>LZ</w:t>
            </w:r>
          </w:p>
        </w:tc>
        <w:tc>
          <w:tcPr>
            <w:tcW w:type="dxa" w:w="2412"/>
            <w:shd w:val="clear" w:fill="EEF1F7"/>
          </w:tcPr>
          <w:p>
            <w:r>
              <w:rPr>
                <w:sz w:val="19"/>
              </w:rPr>
              <w:t>Industrials</w:t>
            </w:r>
          </w:p>
        </w:tc>
        <w:tc>
          <w:tcPr>
            <w:tcW w:type="dxa" w:w="2412"/>
            <w:shd w:val="clear" w:fill="EEF1F7"/>
          </w:tcPr>
          <w:p>
            <w:r>
              <w:rPr>
                <w:sz w:val="19"/>
              </w:rPr>
              <w:t>1022 → 170</w:t>
            </w:r>
          </w:p>
        </w:tc>
        <w:tc>
          <w:tcPr>
            <w:tcW w:type="dxa" w:w="2412"/>
            <w:shd w:val="clear" w:fill="EEF1F7"/>
          </w:tcPr>
          <w:p>
            <w:r>
              <w:rPr>
                <w:sz w:val="19"/>
              </w:rPr>
              <w:t>+852</w:t>
            </w:r>
          </w:p>
        </w:tc>
      </w:tr>
      <w:tr>
        <w:tc>
          <w:tcPr>
            <w:tcW w:type="dxa" w:w="2412"/>
          </w:tcPr>
          <w:p>
            <w:r>
              <w:rPr>
                <w:sz w:val="19"/>
              </w:rPr>
              <w:t>GERN</w:t>
            </w:r>
          </w:p>
        </w:tc>
        <w:tc>
          <w:tcPr>
            <w:tcW w:type="dxa" w:w="2412"/>
          </w:tcPr>
          <w:p>
            <w:r>
              <w:rPr>
                <w:sz w:val="19"/>
              </w:rPr>
              <w:t>Health Care</w:t>
            </w:r>
          </w:p>
        </w:tc>
        <w:tc>
          <w:tcPr>
            <w:tcW w:type="dxa" w:w="2412"/>
          </w:tcPr>
          <w:p>
            <w:r>
              <w:rPr>
                <w:sz w:val="19"/>
              </w:rPr>
              <w:t>1148 → 311</w:t>
            </w:r>
          </w:p>
        </w:tc>
        <w:tc>
          <w:tcPr>
            <w:tcW w:type="dxa" w:w="2412"/>
          </w:tcPr>
          <w:p>
            <w:r>
              <w:rPr>
                <w:sz w:val="19"/>
              </w:rPr>
              <w:t>+837</w:t>
            </w:r>
          </w:p>
        </w:tc>
      </w:tr>
      <w:tr>
        <w:tc>
          <w:tcPr>
            <w:tcW w:type="dxa" w:w="2412"/>
            <w:shd w:val="clear" w:fill="EEF1F7"/>
          </w:tcPr>
          <w:p>
            <w:r>
              <w:rPr>
                <w:sz w:val="19"/>
              </w:rPr>
              <w:t>OMCL</w:t>
            </w:r>
          </w:p>
        </w:tc>
        <w:tc>
          <w:tcPr>
            <w:tcW w:type="dxa" w:w="2412"/>
            <w:shd w:val="clear" w:fill="EEF1F7"/>
          </w:tcPr>
          <w:p>
            <w:r>
              <w:rPr>
                <w:sz w:val="19"/>
              </w:rPr>
              <w:t>Health Care</w:t>
            </w:r>
          </w:p>
        </w:tc>
        <w:tc>
          <w:tcPr>
            <w:tcW w:type="dxa" w:w="2412"/>
            <w:shd w:val="clear" w:fill="EEF1F7"/>
          </w:tcPr>
          <w:p>
            <w:r>
              <w:rPr>
                <w:sz w:val="19"/>
              </w:rPr>
              <w:t>1197 → 363</w:t>
            </w:r>
          </w:p>
        </w:tc>
        <w:tc>
          <w:tcPr>
            <w:tcW w:type="dxa" w:w="2412"/>
            <w:shd w:val="clear" w:fill="EEF1F7"/>
          </w:tcPr>
          <w:p>
            <w:r>
              <w:rPr>
                <w:sz w:val="19"/>
              </w:rPr>
              <w:t>+834</w:t>
            </w:r>
          </w:p>
        </w:tc>
      </w:tr>
      <w:tr>
        <w:tc>
          <w:tcPr>
            <w:tcW w:type="dxa" w:w="2412"/>
          </w:tcPr>
          <w:p>
            <w:r>
              <w:rPr>
                <w:sz w:val="19"/>
              </w:rPr>
              <w:t>JKHY</w:t>
            </w:r>
          </w:p>
        </w:tc>
        <w:tc>
          <w:tcPr>
            <w:tcW w:type="dxa" w:w="2412"/>
          </w:tcPr>
          <w:p>
            <w:r>
              <w:rPr>
                <w:sz w:val="19"/>
              </w:rPr>
              <w:t>Financials</w:t>
            </w:r>
          </w:p>
        </w:tc>
        <w:tc>
          <w:tcPr>
            <w:tcW w:type="dxa" w:w="2412"/>
          </w:tcPr>
          <w:p>
            <w:r>
              <w:rPr>
                <w:sz w:val="19"/>
              </w:rPr>
              <w:t>1049 → 249</w:t>
            </w:r>
          </w:p>
        </w:tc>
        <w:tc>
          <w:tcPr>
            <w:tcW w:type="dxa" w:w="2412"/>
          </w:tcPr>
          <w:p>
            <w:r>
              <w:rPr>
                <w:sz w:val="19"/>
              </w:rPr>
              <w:t>+800</w:t>
            </w:r>
          </w:p>
        </w:tc>
      </w:tr>
      <w:tr>
        <w:tc>
          <w:tcPr>
            <w:tcW w:type="dxa" w:w="2412"/>
            <w:shd w:val="clear" w:fill="EEF1F7"/>
          </w:tcPr>
          <w:p>
            <w:r>
              <w:rPr>
                <w:sz w:val="19"/>
              </w:rPr>
              <w:t>FIVN</w:t>
            </w:r>
          </w:p>
        </w:tc>
        <w:tc>
          <w:tcPr>
            <w:tcW w:type="dxa" w:w="2412"/>
            <w:shd w:val="clear" w:fill="EEF1F7"/>
          </w:tcPr>
          <w:p>
            <w:r>
              <w:rPr>
                <w:sz w:val="19"/>
              </w:rPr>
              <w:t>Information Technology</w:t>
            </w:r>
          </w:p>
        </w:tc>
        <w:tc>
          <w:tcPr>
            <w:tcW w:type="dxa" w:w="2412"/>
            <w:shd w:val="clear" w:fill="EEF1F7"/>
          </w:tcPr>
          <w:p>
            <w:r>
              <w:rPr>
                <w:sz w:val="19"/>
              </w:rPr>
              <w:t>1138 → 341</w:t>
            </w:r>
          </w:p>
        </w:tc>
        <w:tc>
          <w:tcPr>
            <w:tcW w:type="dxa" w:w="2412"/>
            <w:shd w:val="clear" w:fill="EEF1F7"/>
          </w:tcPr>
          <w:p>
            <w:r>
              <w:rPr>
                <w:sz w:val="19"/>
              </w:rPr>
              <w:t>+797</w:t>
            </w:r>
          </w:p>
        </w:tc>
      </w:tr>
      <w:tr>
        <w:tc>
          <w:tcPr>
            <w:tcW w:type="dxa" w:w="2412"/>
          </w:tcPr>
          <w:p>
            <w:r>
              <w:rPr>
                <w:sz w:val="19"/>
              </w:rPr>
              <w:t>CRNX</w:t>
            </w:r>
          </w:p>
        </w:tc>
        <w:tc>
          <w:tcPr>
            <w:tcW w:type="dxa" w:w="2412"/>
          </w:tcPr>
          <w:p>
            <w:r>
              <w:rPr>
                <w:sz w:val="19"/>
              </w:rPr>
              <w:t>Health Care</w:t>
            </w:r>
          </w:p>
        </w:tc>
        <w:tc>
          <w:tcPr>
            <w:tcW w:type="dxa" w:w="2412"/>
          </w:tcPr>
          <w:p>
            <w:r>
              <w:rPr>
                <w:sz w:val="19"/>
              </w:rPr>
              <w:t>768 → 3</w:t>
            </w:r>
          </w:p>
        </w:tc>
        <w:tc>
          <w:tcPr>
            <w:tcW w:type="dxa" w:w="2412"/>
          </w:tcPr>
          <w:p>
            <w:r>
              <w:rPr>
                <w:sz w:val="19"/>
              </w:rPr>
              <w:t>+765</w:t>
            </w:r>
          </w:p>
        </w:tc>
      </w:tr>
      <w:tr>
        <w:tc>
          <w:tcPr>
            <w:tcW w:type="dxa" w:w="2412"/>
            <w:shd w:val="clear" w:fill="EEF1F7"/>
          </w:tcPr>
          <w:p>
            <w:r>
              <w:rPr>
                <w:sz w:val="19"/>
              </w:rPr>
              <w:t>SCHW</w:t>
            </w:r>
          </w:p>
        </w:tc>
        <w:tc>
          <w:tcPr>
            <w:tcW w:type="dxa" w:w="2412"/>
            <w:shd w:val="clear" w:fill="EEF1F7"/>
          </w:tcPr>
          <w:p>
            <w:r>
              <w:rPr>
                <w:sz w:val="19"/>
              </w:rPr>
              <w:t>Financials</w:t>
            </w:r>
          </w:p>
        </w:tc>
        <w:tc>
          <w:tcPr>
            <w:tcW w:type="dxa" w:w="2412"/>
            <w:shd w:val="clear" w:fill="EEF1F7"/>
          </w:tcPr>
          <w:p>
            <w:r>
              <w:rPr>
                <w:sz w:val="19"/>
              </w:rPr>
              <w:t>983 → 230</w:t>
            </w:r>
          </w:p>
        </w:tc>
        <w:tc>
          <w:tcPr>
            <w:tcW w:type="dxa" w:w="2412"/>
            <w:shd w:val="clear" w:fill="EEF1F7"/>
          </w:tcPr>
          <w:p>
            <w:r>
              <w:rPr>
                <w:sz w:val="19"/>
              </w:rPr>
              <w:t>+753</w:t>
            </w:r>
          </w:p>
        </w:tc>
      </w:tr>
      <w:tr>
        <w:tc>
          <w:tcPr>
            <w:tcW w:type="dxa" w:w="2412"/>
          </w:tcPr>
          <w:p>
            <w:r>
              <w:rPr>
                <w:sz w:val="19"/>
              </w:rPr>
              <w:t>ATRC</w:t>
            </w:r>
          </w:p>
        </w:tc>
        <w:tc>
          <w:tcPr>
            <w:tcW w:type="dxa" w:w="2412"/>
          </w:tcPr>
          <w:p>
            <w:r>
              <w:rPr>
                <w:sz w:val="19"/>
              </w:rPr>
              <w:t>Health Care</w:t>
            </w:r>
          </w:p>
        </w:tc>
        <w:tc>
          <w:tcPr>
            <w:tcW w:type="dxa" w:w="2412"/>
          </w:tcPr>
          <w:p>
            <w:r>
              <w:rPr>
                <w:sz w:val="19"/>
              </w:rPr>
              <w:t>930 → 183</w:t>
            </w:r>
          </w:p>
        </w:tc>
        <w:tc>
          <w:tcPr>
            <w:tcW w:type="dxa" w:w="2412"/>
          </w:tcPr>
          <w:p>
            <w:r>
              <w:rPr>
                <w:sz w:val="19"/>
              </w:rPr>
              <w:t>+747</w:t>
            </w:r>
          </w:p>
        </w:tc>
      </w:tr>
      <w:tr>
        <w:tc>
          <w:tcPr>
            <w:tcW w:type="dxa" w:w="2412"/>
            <w:shd w:val="clear" w:fill="EEF1F7"/>
          </w:tcPr>
          <w:p>
            <w:r>
              <w:rPr>
                <w:sz w:val="19"/>
              </w:rPr>
              <w:t>DINO</w:t>
            </w:r>
          </w:p>
        </w:tc>
        <w:tc>
          <w:tcPr>
            <w:tcW w:type="dxa" w:w="2412"/>
            <w:shd w:val="clear" w:fill="EEF1F7"/>
          </w:tcPr>
          <w:p>
            <w:r>
              <w:rPr>
                <w:sz w:val="19"/>
              </w:rPr>
              <w:t>Energy</w:t>
            </w:r>
          </w:p>
        </w:tc>
        <w:tc>
          <w:tcPr>
            <w:tcW w:type="dxa" w:w="2412"/>
            <w:shd w:val="clear" w:fill="EEF1F7"/>
          </w:tcPr>
          <w:p>
            <w:r>
              <w:rPr>
                <w:sz w:val="19"/>
              </w:rPr>
              <w:t>1094 → 356</w:t>
            </w:r>
          </w:p>
        </w:tc>
        <w:tc>
          <w:tcPr>
            <w:tcW w:type="dxa" w:w="2412"/>
            <w:shd w:val="clear" w:fill="EEF1F7"/>
          </w:tcPr>
          <w:p>
            <w:r>
              <w:rPr>
                <w:sz w:val="19"/>
              </w:rPr>
              <w:t>+738</w:t>
            </w:r>
          </w:p>
        </w:tc>
      </w:tr>
      <w:tr>
        <w:tc>
          <w:tcPr>
            <w:tcW w:type="dxa" w:w="2412"/>
          </w:tcPr>
          <w:p>
            <w:r>
              <w:rPr>
                <w:sz w:val="19"/>
              </w:rPr>
              <w:t>IMNM</w:t>
            </w:r>
          </w:p>
        </w:tc>
        <w:tc>
          <w:tcPr>
            <w:tcW w:type="dxa" w:w="2412"/>
          </w:tcPr>
          <w:p>
            <w:r>
              <w:rPr>
                <w:sz w:val="19"/>
              </w:rPr>
              <w:t>Health Care</w:t>
            </w:r>
          </w:p>
        </w:tc>
        <w:tc>
          <w:tcPr>
            <w:tcW w:type="dxa" w:w="2412"/>
          </w:tcPr>
          <w:p>
            <w:r>
              <w:rPr>
                <w:sz w:val="19"/>
              </w:rPr>
              <w:t>887 → 153</w:t>
            </w:r>
          </w:p>
        </w:tc>
        <w:tc>
          <w:tcPr>
            <w:tcW w:type="dxa" w:w="2412"/>
          </w:tcPr>
          <w:p>
            <w:r>
              <w:rPr>
                <w:sz w:val="19"/>
              </w:rPr>
              <w:t>+734</w:t>
            </w:r>
          </w:p>
        </w:tc>
      </w:tr>
      <w:tr>
        <w:tc>
          <w:tcPr>
            <w:tcW w:type="dxa" w:w="2412"/>
            <w:shd w:val="clear" w:fill="EEF1F7"/>
          </w:tcPr>
          <w:p>
            <w:r>
              <w:rPr>
                <w:sz w:val="19"/>
              </w:rPr>
              <w:t>MELI</w:t>
            </w:r>
          </w:p>
        </w:tc>
        <w:tc>
          <w:tcPr>
            <w:tcW w:type="dxa" w:w="2412"/>
            <w:shd w:val="clear" w:fill="EEF1F7"/>
          </w:tcPr>
          <w:p>
            <w:r>
              <w:rPr>
                <w:sz w:val="19"/>
              </w:rPr>
              <w:t>Consumer Discretionary</w:t>
            </w:r>
          </w:p>
        </w:tc>
        <w:tc>
          <w:tcPr>
            <w:tcW w:type="dxa" w:w="2412"/>
            <w:shd w:val="clear" w:fill="EEF1F7"/>
          </w:tcPr>
          <w:p>
            <w:r>
              <w:rPr>
                <w:sz w:val="19"/>
              </w:rPr>
              <w:t>1071 → 338</w:t>
            </w:r>
          </w:p>
        </w:tc>
        <w:tc>
          <w:tcPr>
            <w:tcW w:type="dxa" w:w="2412"/>
            <w:shd w:val="clear" w:fill="EEF1F7"/>
          </w:tcPr>
          <w:p>
            <w:r>
              <w:rPr>
                <w:sz w:val="19"/>
              </w:rPr>
              <w:t>+733</w:t>
            </w:r>
          </w:p>
        </w:tc>
      </w:tr>
      <w:tr>
        <w:tc>
          <w:tcPr>
            <w:tcW w:type="dxa" w:w="2412"/>
          </w:tcPr>
          <w:p>
            <w:r>
              <w:rPr>
                <w:sz w:val="19"/>
              </w:rPr>
              <w:t>NET</w:t>
            </w:r>
          </w:p>
        </w:tc>
        <w:tc>
          <w:tcPr>
            <w:tcW w:type="dxa" w:w="2412"/>
          </w:tcPr>
          <w:p>
            <w:r>
              <w:rPr>
                <w:sz w:val="19"/>
              </w:rPr>
              <w:t>Information Technology</w:t>
            </w:r>
          </w:p>
        </w:tc>
        <w:tc>
          <w:tcPr>
            <w:tcW w:type="dxa" w:w="2412"/>
          </w:tcPr>
          <w:p>
            <w:r>
              <w:rPr>
                <w:sz w:val="19"/>
              </w:rPr>
              <w:t>955 → 228</w:t>
            </w:r>
          </w:p>
        </w:tc>
        <w:tc>
          <w:tcPr>
            <w:tcW w:type="dxa" w:w="2412"/>
          </w:tcPr>
          <w:p>
            <w:r>
              <w:rPr>
                <w:sz w:val="19"/>
              </w:rPr>
              <w:t>+727</w:t>
            </w:r>
          </w:p>
        </w:tc>
      </w:tr>
      <w:tr>
        <w:tc>
          <w:tcPr>
            <w:tcW w:type="dxa" w:w="2412"/>
            <w:shd w:val="clear" w:fill="EEF1F7"/>
          </w:tcPr>
          <w:p>
            <w:r>
              <w:rPr>
                <w:sz w:val="19"/>
              </w:rPr>
              <w:t>ABVX</w:t>
            </w:r>
          </w:p>
        </w:tc>
        <w:tc>
          <w:tcPr>
            <w:tcW w:type="dxa" w:w="2412"/>
            <w:shd w:val="clear" w:fill="EEF1F7"/>
          </w:tcPr>
          <w:p>
            <w:r>
              <w:rPr>
                <w:sz w:val="19"/>
              </w:rPr>
              <w:t>Health Care</w:t>
            </w:r>
          </w:p>
        </w:tc>
        <w:tc>
          <w:tcPr>
            <w:tcW w:type="dxa" w:w="2412"/>
            <w:shd w:val="clear" w:fill="EEF1F7"/>
          </w:tcPr>
          <w:p>
            <w:r>
              <w:rPr>
                <w:sz w:val="19"/>
              </w:rPr>
              <w:t>952 → 242</w:t>
            </w:r>
          </w:p>
        </w:tc>
        <w:tc>
          <w:tcPr>
            <w:tcW w:type="dxa" w:w="2412"/>
            <w:shd w:val="clear" w:fill="EEF1F7"/>
          </w:tcPr>
          <w:p>
            <w:r>
              <w:rPr>
                <w:sz w:val="19"/>
              </w:rPr>
              <w:t>+710</w:t>
            </w:r>
          </w:p>
        </w:tc>
      </w:tr>
      <w:tr>
        <w:tc>
          <w:tcPr>
            <w:tcW w:type="dxa" w:w="2412"/>
          </w:tcPr>
          <w:p>
            <w:r>
              <w:rPr>
                <w:sz w:val="19"/>
              </w:rPr>
              <w:t>CLMT</w:t>
            </w:r>
          </w:p>
        </w:tc>
        <w:tc>
          <w:tcPr>
            <w:tcW w:type="dxa" w:w="2412"/>
          </w:tcPr>
          <w:p>
            <w:r>
              <w:rPr>
                <w:sz w:val="19"/>
              </w:rPr>
              <w:t>Materials</w:t>
            </w:r>
          </w:p>
        </w:tc>
        <w:tc>
          <w:tcPr>
            <w:tcW w:type="dxa" w:w="2412"/>
          </w:tcPr>
          <w:p>
            <w:r>
              <w:rPr>
                <w:sz w:val="19"/>
              </w:rPr>
              <w:t>875 → 165</w:t>
            </w:r>
          </w:p>
        </w:tc>
        <w:tc>
          <w:tcPr>
            <w:tcW w:type="dxa" w:w="2412"/>
          </w:tcPr>
          <w:p>
            <w:r>
              <w:rPr>
                <w:sz w:val="19"/>
              </w:rPr>
              <w:t>+710</w:t>
            </w:r>
          </w:p>
        </w:tc>
      </w:tr>
      <w:tr>
        <w:tc>
          <w:tcPr>
            <w:tcW w:type="dxa" w:w="2412"/>
            <w:shd w:val="clear" w:fill="EEF1F7"/>
          </w:tcPr>
          <w:p>
            <w:r>
              <w:rPr>
                <w:sz w:val="19"/>
              </w:rPr>
              <w:t>RJF</w:t>
            </w:r>
          </w:p>
        </w:tc>
        <w:tc>
          <w:tcPr>
            <w:tcW w:type="dxa" w:w="2412"/>
            <w:shd w:val="clear" w:fill="EEF1F7"/>
          </w:tcPr>
          <w:p>
            <w:r>
              <w:rPr>
                <w:sz w:val="19"/>
              </w:rPr>
              <w:t>Financials</w:t>
            </w:r>
          </w:p>
        </w:tc>
        <w:tc>
          <w:tcPr>
            <w:tcW w:type="dxa" w:w="2412"/>
            <w:shd w:val="clear" w:fill="EEF1F7"/>
          </w:tcPr>
          <w:p>
            <w:r>
              <w:rPr>
                <w:sz w:val="19"/>
              </w:rPr>
              <w:t>1079 → 369</w:t>
            </w:r>
          </w:p>
        </w:tc>
        <w:tc>
          <w:tcPr>
            <w:tcW w:type="dxa" w:w="2412"/>
            <w:shd w:val="clear" w:fill="EEF1F7"/>
          </w:tcPr>
          <w:p>
            <w:r>
              <w:rPr>
                <w:sz w:val="19"/>
              </w:rPr>
              <w:t>+710</w:t>
            </w:r>
          </w:p>
        </w:tc>
      </w:tr>
      <w:tr>
        <w:tc>
          <w:tcPr>
            <w:tcW w:type="dxa" w:w="2412"/>
          </w:tcPr>
          <w:p>
            <w:r>
              <w:rPr>
                <w:sz w:val="19"/>
              </w:rPr>
              <w:t>MPC</w:t>
            </w:r>
          </w:p>
        </w:tc>
        <w:tc>
          <w:tcPr>
            <w:tcW w:type="dxa" w:w="2412"/>
          </w:tcPr>
          <w:p>
            <w:r>
              <w:rPr>
                <w:sz w:val="19"/>
              </w:rPr>
              <w:t>Energy</w:t>
            </w:r>
          </w:p>
        </w:tc>
        <w:tc>
          <w:tcPr>
            <w:tcW w:type="dxa" w:w="2412"/>
          </w:tcPr>
          <w:p>
            <w:r>
              <w:rPr>
                <w:sz w:val="19"/>
              </w:rPr>
              <w:t>1077 → 371</w:t>
            </w:r>
          </w:p>
        </w:tc>
        <w:tc>
          <w:tcPr>
            <w:tcW w:type="dxa" w:w="2412"/>
          </w:tcPr>
          <w:p>
            <w:r>
              <w:rPr>
                <w:sz w:val="19"/>
              </w:rPr>
              <w:t>+706</w:t>
            </w:r>
          </w:p>
        </w:tc>
      </w:tr>
      <w:tr>
        <w:tc>
          <w:tcPr>
            <w:tcW w:type="dxa" w:w="2412"/>
            <w:shd w:val="clear" w:fill="EEF1F7"/>
          </w:tcPr>
          <w:p>
            <w:r>
              <w:rPr>
                <w:sz w:val="19"/>
              </w:rPr>
              <w:t>NTSK</w:t>
            </w:r>
          </w:p>
        </w:tc>
        <w:tc>
          <w:tcPr>
            <w:tcW w:type="dxa" w:w="2412"/>
            <w:shd w:val="clear" w:fill="EEF1F7"/>
          </w:tcPr>
          <w:p>
            <w:r>
              <w:rPr>
                <w:sz w:val="19"/>
              </w:rPr>
              <w:t>Information Technology</w:t>
            </w:r>
          </w:p>
        </w:tc>
        <w:tc>
          <w:tcPr>
            <w:tcW w:type="dxa" w:w="2412"/>
            <w:shd w:val="clear" w:fill="EEF1F7"/>
          </w:tcPr>
          <w:p>
            <w:r>
              <w:rPr>
                <w:sz w:val="19"/>
              </w:rPr>
              <w:t>916 → 215</w:t>
            </w:r>
          </w:p>
        </w:tc>
        <w:tc>
          <w:tcPr>
            <w:tcW w:type="dxa" w:w="2412"/>
            <w:shd w:val="clear" w:fill="EEF1F7"/>
          </w:tcPr>
          <w:p>
            <w:r>
              <w:rPr>
                <w:sz w:val="19"/>
              </w:rPr>
              <w:t>+701</w:t>
            </w:r>
          </w:p>
        </w:tc>
      </w:tr>
      <w:tr>
        <w:tc>
          <w:tcPr>
            <w:tcW w:type="dxa" w:w="2412"/>
          </w:tcPr>
          <w:p>
            <w:r>
              <w:rPr>
                <w:sz w:val="19"/>
              </w:rPr>
              <w:t>BAND</w:t>
            </w:r>
          </w:p>
        </w:tc>
        <w:tc>
          <w:tcPr>
            <w:tcW w:type="dxa" w:w="2412"/>
          </w:tcPr>
          <w:p>
            <w:r>
              <w:rPr>
                <w:sz w:val="19"/>
              </w:rPr>
              <w:t>Information Technology</w:t>
            </w:r>
          </w:p>
        </w:tc>
        <w:tc>
          <w:tcPr>
            <w:tcW w:type="dxa" w:w="2412"/>
          </w:tcPr>
          <w:p>
            <w:r>
              <w:rPr>
                <w:sz w:val="19"/>
              </w:rPr>
              <w:t>933 → 241</w:t>
            </w:r>
          </w:p>
        </w:tc>
        <w:tc>
          <w:tcPr>
            <w:tcW w:type="dxa" w:w="2412"/>
          </w:tcPr>
          <w:p>
            <w:r>
              <w:rPr>
                <w:sz w:val="19"/>
              </w:rPr>
              <w:t>+692</w:t>
            </w:r>
          </w:p>
        </w:tc>
      </w:tr>
      <w:tr>
        <w:tc>
          <w:tcPr>
            <w:tcW w:type="dxa" w:w="2412"/>
            <w:shd w:val="clear" w:fill="EEF1F7"/>
          </w:tcPr>
          <w:p>
            <w:r>
              <w:rPr>
                <w:sz w:val="19"/>
              </w:rPr>
              <w:t>SAH</w:t>
            </w:r>
          </w:p>
        </w:tc>
        <w:tc>
          <w:tcPr>
            <w:tcW w:type="dxa" w:w="2412"/>
            <w:shd w:val="clear" w:fill="EEF1F7"/>
          </w:tcPr>
          <w:p>
            <w:r>
              <w:rPr>
                <w:sz w:val="19"/>
              </w:rPr>
              <w:t>Consumer Discretionary</w:t>
            </w:r>
          </w:p>
        </w:tc>
        <w:tc>
          <w:tcPr>
            <w:tcW w:type="dxa" w:w="2412"/>
            <w:shd w:val="clear" w:fill="EEF1F7"/>
          </w:tcPr>
          <w:p>
            <w:r>
              <w:rPr>
                <w:sz w:val="19"/>
              </w:rPr>
              <w:t>877 → 190</w:t>
            </w:r>
          </w:p>
        </w:tc>
        <w:tc>
          <w:tcPr>
            <w:tcW w:type="dxa" w:w="2412"/>
            <w:shd w:val="clear" w:fill="EEF1F7"/>
          </w:tcPr>
          <w:p>
            <w:r>
              <w:rPr>
                <w:sz w:val="19"/>
              </w:rPr>
              <w:t>+687</w:t>
            </w:r>
          </w:p>
        </w:tc>
      </w:tr>
    </w:tbl>
    <w:p/>
    <w:p>
      <w:r>
        <w:t>Health care, financials, energy refiners, and a run of infrastructure software (FIVN, NET, BAND). Cloudflare's climb to #228 was backed this week by a Scotiabank upgrade to Sector Outperform, part of a broader security/software re-rate that also caught Okta, Check Point, and SentinelOne. When the rankings and the Street start agreeing on a group, the move tends to have more staying power than a lone broker note.</w:t>
      </w:r>
    </w:p>
    <w:p>
      <w:pPr>
        <w:spacing w:before="240" w:after="80"/>
      </w:pPr>
      <w:r>
        <w:rPr>
          <w:b/>
          <w:color w:val="1F3864"/>
          <w:sz w:val="30"/>
        </w:rPr>
        <w:t>7. A few names worth looking at</w:t>
      </w:r>
    </w:p>
    <w:p>
      <w:r>
        <w:t>These passed our four filters: a strong sector, an improving rank on the week, a genuine uptrend (price above a rising 20-, 50-, and 200-day line), and not stretched — within 10% of the 20-day, so you're not chasing a spike. It's a research starting point, not a buy list. Do your own work.</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Pr>
                <w:b/>
                <w:color w:val="FFFFFF"/>
                <w:sz w:val="19"/>
              </w:rPr>
              <w:t>Ticker</w:t>
            </w:r>
          </w:p>
        </w:tc>
        <w:tc>
          <w:tcPr>
            <w:tcW w:type="dxa" w:w="1608"/>
            <w:shd w:val="clear" w:fill="1F3864"/>
          </w:tcPr>
          <w:p>
            <w:r>
              <w:rPr>
                <w:b/>
                <w:color w:val="FFFFFF"/>
                <w:sz w:val="19"/>
              </w:rPr>
              <w:t>Company</w:t>
            </w:r>
          </w:p>
        </w:tc>
        <w:tc>
          <w:tcPr>
            <w:tcW w:type="dxa" w:w="1608"/>
            <w:shd w:val="clear" w:fill="1F3864"/>
          </w:tcPr>
          <w:p>
            <w:r>
              <w:rPr>
                <w:b/>
                <w:color w:val="FFFFFF"/>
                <w:sz w:val="19"/>
              </w:rPr>
              <w:t>Sector</w:t>
            </w:r>
          </w:p>
        </w:tc>
        <w:tc>
          <w:tcPr>
            <w:tcW w:type="dxa" w:w="1608"/>
            <w:shd w:val="clear" w:fill="1F3864"/>
          </w:tcPr>
          <w:p>
            <w:r>
              <w:rPr>
                <w:b/>
                <w:color w:val="FFFFFF"/>
                <w:sz w:val="19"/>
              </w:rPr>
              <w:t>Rank (Δwk)</w:t>
            </w:r>
          </w:p>
        </w:tc>
        <w:tc>
          <w:tcPr>
            <w:tcW w:type="dxa" w:w="1608"/>
            <w:shd w:val="clear" w:fill="1F3864"/>
          </w:tcPr>
          <w:p>
            <w:r>
              <w:rPr>
                <w:b/>
                <w:color w:val="FFFFFF"/>
                <w:sz w:val="19"/>
              </w:rPr>
              <w:t>Conviction</w:t>
            </w:r>
          </w:p>
        </w:tc>
        <w:tc>
          <w:tcPr>
            <w:tcW w:type="dxa" w:w="1608"/>
            <w:shd w:val="clear" w:fill="1F3864"/>
          </w:tcPr>
          <w:p>
            <w:r>
              <w:rPr>
                <w:b/>
                <w:color w:val="FFFFFF"/>
                <w:sz w:val="19"/>
              </w:rPr>
              <w:t>% above 20d</w:t>
            </w:r>
          </w:p>
        </w:tc>
      </w:tr>
      <w:tr>
        <w:tc>
          <w:tcPr>
            <w:tcW w:type="dxa" w:w="1608"/>
          </w:tcPr>
          <w:p>
            <w:r>
              <w:rPr>
                <w:sz w:val="19"/>
              </w:rPr>
              <w:t>PGNY</w:t>
            </w:r>
          </w:p>
        </w:tc>
        <w:tc>
          <w:tcPr>
            <w:tcW w:type="dxa" w:w="1608"/>
          </w:tcPr>
          <w:p>
            <w:r>
              <w:rPr>
                <w:sz w:val="19"/>
              </w:rPr>
              <w:t>Progyny</w:t>
            </w:r>
          </w:p>
        </w:tc>
        <w:tc>
          <w:tcPr>
            <w:tcW w:type="dxa" w:w="1608"/>
          </w:tcPr>
          <w:p>
            <w:r>
              <w:rPr>
                <w:sz w:val="19"/>
              </w:rPr>
              <w:t>Health Care</w:t>
            </w:r>
          </w:p>
        </w:tc>
        <w:tc>
          <w:tcPr>
            <w:tcW w:type="dxa" w:w="1608"/>
          </w:tcPr>
          <w:p>
            <w:r>
              <w:rPr>
                <w:sz w:val="19"/>
              </w:rPr>
              <w:t>11 (+54)</w:t>
            </w:r>
          </w:p>
        </w:tc>
        <w:tc>
          <w:tcPr>
            <w:tcW w:type="dxa" w:w="1608"/>
          </w:tcPr>
          <w:p>
            <w:r>
              <w:rPr>
                <w:sz w:val="19"/>
              </w:rPr>
              <w:t>C</w:t>
            </w:r>
          </w:p>
        </w:tc>
        <w:tc>
          <w:tcPr>
            <w:tcW w:type="dxa" w:w="1608"/>
          </w:tcPr>
          <w:p>
            <w:r>
              <w:rPr>
                <w:sz w:val="19"/>
              </w:rPr>
              <w:t>+7.0%</w:t>
            </w:r>
          </w:p>
        </w:tc>
      </w:tr>
      <w:tr>
        <w:tc>
          <w:tcPr>
            <w:tcW w:type="dxa" w:w="1608"/>
            <w:shd w:val="clear" w:fill="EEF1F7"/>
          </w:tcPr>
          <w:p>
            <w:r>
              <w:rPr>
                <w:sz w:val="19"/>
              </w:rPr>
              <w:t>CRL</w:t>
            </w:r>
          </w:p>
        </w:tc>
        <w:tc>
          <w:tcPr>
            <w:tcW w:type="dxa" w:w="1608"/>
            <w:shd w:val="clear" w:fill="EEF1F7"/>
          </w:tcPr>
          <w:p>
            <w:r>
              <w:rPr>
                <w:sz w:val="19"/>
              </w:rPr>
              <w:t>Charles River Laboratories</w:t>
            </w:r>
          </w:p>
        </w:tc>
        <w:tc>
          <w:tcPr>
            <w:tcW w:type="dxa" w:w="1608"/>
            <w:shd w:val="clear" w:fill="EEF1F7"/>
          </w:tcPr>
          <w:p>
            <w:r>
              <w:rPr>
                <w:sz w:val="19"/>
              </w:rPr>
              <w:t>Health Care</w:t>
            </w:r>
          </w:p>
        </w:tc>
        <w:tc>
          <w:tcPr>
            <w:tcW w:type="dxa" w:w="1608"/>
            <w:shd w:val="clear" w:fill="EEF1F7"/>
          </w:tcPr>
          <w:p>
            <w:r>
              <w:rPr>
                <w:sz w:val="19"/>
              </w:rPr>
              <w:t>18 (+21)</w:t>
            </w:r>
          </w:p>
        </w:tc>
        <w:tc>
          <w:tcPr>
            <w:tcW w:type="dxa" w:w="1608"/>
            <w:shd w:val="clear" w:fill="EEF1F7"/>
          </w:tcPr>
          <w:p>
            <w:r>
              <w:rPr>
                <w:sz w:val="19"/>
              </w:rPr>
              <w:t>C</w:t>
            </w:r>
          </w:p>
        </w:tc>
        <w:tc>
          <w:tcPr>
            <w:tcW w:type="dxa" w:w="1608"/>
            <w:shd w:val="clear" w:fill="EEF1F7"/>
          </w:tcPr>
          <w:p>
            <w:r>
              <w:rPr>
                <w:sz w:val="19"/>
              </w:rPr>
              <w:t>+9.5%</w:t>
            </w:r>
          </w:p>
        </w:tc>
      </w:tr>
      <w:tr>
        <w:tc>
          <w:tcPr>
            <w:tcW w:type="dxa" w:w="1608"/>
          </w:tcPr>
          <w:p>
            <w:r>
              <w:rPr>
                <w:sz w:val="19"/>
              </w:rPr>
              <w:t>TECH</w:t>
            </w:r>
          </w:p>
        </w:tc>
        <w:tc>
          <w:tcPr>
            <w:tcW w:type="dxa" w:w="1608"/>
          </w:tcPr>
          <w:p>
            <w:r>
              <w:rPr>
                <w:sz w:val="19"/>
              </w:rPr>
              <w:t>Bio-Techne</w:t>
            </w:r>
          </w:p>
        </w:tc>
        <w:tc>
          <w:tcPr>
            <w:tcW w:type="dxa" w:w="1608"/>
          </w:tcPr>
          <w:p>
            <w:r>
              <w:rPr>
                <w:sz w:val="19"/>
              </w:rPr>
              <w:t>Health Care</w:t>
            </w:r>
          </w:p>
        </w:tc>
        <w:tc>
          <w:tcPr>
            <w:tcW w:type="dxa" w:w="1608"/>
          </w:tcPr>
          <w:p>
            <w:r>
              <w:rPr>
                <w:sz w:val="19"/>
              </w:rPr>
              <w:t>19 (+30)</w:t>
            </w:r>
          </w:p>
        </w:tc>
        <w:tc>
          <w:tcPr>
            <w:tcW w:type="dxa" w:w="1608"/>
          </w:tcPr>
          <w:p>
            <w:r>
              <w:rPr>
                <w:sz w:val="19"/>
              </w:rPr>
              <w:t>C</w:t>
            </w:r>
          </w:p>
        </w:tc>
        <w:tc>
          <w:tcPr>
            <w:tcW w:type="dxa" w:w="1608"/>
          </w:tcPr>
          <w:p>
            <w:r>
              <w:rPr>
                <w:sz w:val="19"/>
              </w:rPr>
              <w:t>+9.1%</w:t>
            </w:r>
          </w:p>
        </w:tc>
      </w:tr>
      <w:tr>
        <w:tc>
          <w:tcPr>
            <w:tcW w:type="dxa" w:w="1608"/>
            <w:shd w:val="clear" w:fill="EEF1F7"/>
          </w:tcPr>
          <w:p>
            <w:r>
              <w:rPr>
                <w:sz w:val="19"/>
              </w:rPr>
              <w:t>CON</w:t>
            </w:r>
          </w:p>
        </w:tc>
        <w:tc>
          <w:tcPr>
            <w:tcW w:type="dxa" w:w="1608"/>
            <w:shd w:val="clear" w:fill="EEF1F7"/>
          </w:tcPr>
          <w:p>
            <w:r>
              <w:rPr>
                <w:sz w:val="19"/>
              </w:rPr>
              <w:t>Concentra Group Holdings</w:t>
            </w:r>
          </w:p>
        </w:tc>
        <w:tc>
          <w:tcPr>
            <w:tcW w:type="dxa" w:w="1608"/>
            <w:shd w:val="clear" w:fill="EEF1F7"/>
          </w:tcPr>
          <w:p>
            <w:r>
              <w:rPr>
                <w:sz w:val="19"/>
              </w:rPr>
              <w:t>Health Care</w:t>
            </w:r>
          </w:p>
        </w:tc>
        <w:tc>
          <w:tcPr>
            <w:tcW w:type="dxa" w:w="1608"/>
            <w:shd w:val="clear" w:fill="EEF1F7"/>
          </w:tcPr>
          <w:p>
            <w:r>
              <w:rPr>
                <w:sz w:val="19"/>
              </w:rPr>
              <w:t>25 (+6)</w:t>
            </w:r>
          </w:p>
        </w:tc>
        <w:tc>
          <w:tcPr>
            <w:tcW w:type="dxa" w:w="1608"/>
            <w:shd w:val="clear" w:fill="EEF1F7"/>
          </w:tcPr>
          <w:p>
            <w:r>
              <w:rPr>
                <w:sz w:val="19"/>
              </w:rPr>
              <w:t>B</w:t>
            </w:r>
          </w:p>
        </w:tc>
        <w:tc>
          <w:tcPr>
            <w:tcW w:type="dxa" w:w="1608"/>
            <w:shd w:val="clear" w:fill="EEF1F7"/>
          </w:tcPr>
          <w:p>
            <w:r>
              <w:rPr>
                <w:sz w:val="19"/>
              </w:rPr>
              <w:t>+5.9%</w:t>
            </w:r>
          </w:p>
        </w:tc>
      </w:tr>
      <w:tr>
        <w:tc>
          <w:tcPr>
            <w:tcW w:type="dxa" w:w="1608"/>
          </w:tcPr>
          <w:p>
            <w:r>
              <w:rPr>
                <w:sz w:val="19"/>
              </w:rPr>
              <w:t>DVA</w:t>
            </w:r>
          </w:p>
        </w:tc>
        <w:tc>
          <w:tcPr>
            <w:tcW w:type="dxa" w:w="1608"/>
          </w:tcPr>
          <w:p>
            <w:r>
              <w:rPr>
                <w:sz w:val="19"/>
              </w:rPr>
              <w:t>DaVita</w:t>
            </w:r>
          </w:p>
        </w:tc>
        <w:tc>
          <w:tcPr>
            <w:tcW w:type="dxa" w:w="1608"/>
          </w:tcPr>
          <w:p>
            <w:r>
              <w:rPr>
                <w:sz w:val="19"/>
              </w:rPr>
              <w:t>Health Care</w:t>
            </w:r>
          </w:p>
        </w:tc>
        <w:tc>
          <w:tcPr>
            <w:tcW w:type="dxa" w:w="1608"/>
          </w:tcPr>
          <w:p>
            <w:r>
              <w:rPr>
                <w:sz w:val="19"/>
              </w:rPr>
              <w:t>33 (+27)</w:t>
            </w:r>
          </w:p>
        </w:tc>
        <w:tc>
          <w:tcPr>
            <w:tcW w:type="dxa" w:w="1608"/>
          </w:tcPr>
          <w:p>
            <w:r>
              <w:rPr>
                <w:sz w:val="19"/>
              </w:rPr>
              <w:t>C</w:t>
            </w:r>
          </w:p>
        </w:tc>
        <w:tc>
          <w:tcPr>
            <w:tcW w:type="dxa" w:w="1608"/>
          </w:tcPr>
          <w:p>
            <w:r>
              <w:rPr>
                <w:sz w:val="19"/>
              </w:rPr>
              <w:t>+5.8%</w:t>
            </w:r>
          </w:p>
        </w:tc>
      </w:tr>
      <w:tr>
        <w:tc>
          <w:tcPr>
            <w:tcW w:type="dxa" w:w="1608"/>
            <w:shd w:val="clear" w:fill="EEF1F7"/>
          </w:tcPr>
          <w:p>
            <w:r>
              <w:rPr>
                <w:sz w:val="19"/>
              </w:rPr>
              <w:t>BTSG</w:t>
            </w:r>
          </w:p>
        </w:tc>
        <w:tc>
          <w:tcPr>
            <w:tcW w:type="dxa" w:w="1608"/>
            <w:shd w:val="clear" w:fill="EEF1F7"/>
          </w:tcPr>
          <w:p>
            <w:r>
              <w:rPr>
                <w:sz w:val="19"/>
              </w:rPr>
              <w:t>BrightSpring Health Services</w:t>
            </w:r>
          </w:p>
        </w:tc>
        <w:tc>
          <w:tcPr>
            <w:tcW w:type="dxa" w:w="1608"/>
            <w:shd w:val="clear" w:fill="EEF1F7"/>
          </w:tcPr>
          <w:p>
            <w:r>
              <w:rPr>
                <w:sz w:val="19"/>
              </w:rPr>
              <w:t>Health Care</w:t>
            </w:r>
          </w:p>
        </w:tc>
        <w:tc>
          <w:tcPr>
            <w:tcW w:type="dxa" w:w="1608"/>
            <w:shd w:val="clear" w:fill="EEF1F7"/>
          </w:tcPr>
          <w:p>
            <w:r>
              <w:rPr>
                <w:sz w:val="19"/>
              </w:rPr>
              <w:t>34 (+27)</w:t>
            </w:r>
          </w:p>
        </w:tc>
        <w:tc>
          <w:tcPr>
            <w:tcW w:type="dxa" w:w="1608"/>
            <w:shd w:val="clear" w:fill="EEF1F7"/>
          </w:tcPr>
          <w:p>
            <w:r>
              <w:rPr>
                <w:sz w:val="19"/>
              </w:rPr>
              <w:t>B</w:t>
            </w:r>
          </w:p>
        </w:tc>
        <w:tc>
          <w:tcPr>
            <w:tcW w:type="dxa" w:w="1608"/>
            <w:shd w:val="clear" w:fill="EEF1F7"/>
          </w:tcPr>
          <w:p>
            <w:r>
              <w:rPr>
                <w:sz w:val="19"/>
              </w:rPr>
              <w:t>+5.5%</w:t>
            </w:r>
          </w:p>
        </w:tc>
      </w:tr>
      <w:tr>
        <w:tc>
          <w:tcPr>
            <w:tcW w:type="dxa" w:w="1608"/>
          </w:tcPr>
          <w:p>
            <w:r>
              <w:rPr>
                <w:sz w:val="19"/>
              </w:rPr>
              <w:t>NTRA</w:t>
            </w:r>
          </w:p>
        </w:tc>
        <w:tc>
          <w:tcPr>
            <w:tcW w:type="dxa" w:w="1608"/>
          </w:tcPr>
          <w:p>
            <w:r>
              <w:rPr>
                <w:sz w:val="19"/>
              </w:rPr>
              <w:t>Natera</w:t>
            </w:r>
          </w:p>
        </w:tc>
        <w:tc>
          <w:tcPr>
            <w:tcW w:type="dxa" w:w="1608"/>
          </w:tcPr>
          <w:p>
            <w:r>
              <w:rPr>
                <w:sz w:val="19"/>
              </w:rPr>
              <w:t>Health Care</w:t>
            </w:r>
          </w:p>
        </w:tc>
        <w:tc>
          <w:tcPr>
            <w:tcW w:type="dxa" w:w="1608"/>
          </w:tcPr>
          <w:p>
            <w:r>
              <w:rPr>
                <w:sz w:val="19"/>
              </w:rPr>
              <w:t>42 (+8)</w:t>
            </w:r>
          </w:p>
        </w:tc>
        <w:tc>
          <w:tcPr>
            <w:tcW w:type="dxa" w:w="1608"/>
          </w:tcPr>
          <w:p>
            <w:r>
              <w:rPr>
                <w:sz w:val="19"/>
              </w:rPr>
              <w:t>C</w:t>
            </w:r>
          </w:p>
        </w:tc>
        <w:tc>
          <w:tcPr>
            <w:tcW w:type="dxa" w:w="1608"/>
          </w:tcPr>
          <w:p>
            <w:r>
              <w:rPr>
                <w:sz w:val="19"/>
              </w:rPr>
              <w:t>+4.7%</w:t>
            </w:r>
          </w:p>
        </w:tc>
      </w:tr>
      <w:tr>
        <w:tc>
          <w:tcPr>
            <w:tcW w:type="dxa" w:w="1608"/>
            <w:shd w:val="clear" w:fill="EEF1F7"/>
          </w:tcPr>
          <w:p>
            <w:r>
              <w:rPr>
                <w:sz w:val="19"/>
              </w:rPr>
              <w:t>PRVA</w:t>
            </w:r>
          </w:p>
        </w:tc>
        <w:tc>
          <w:tcPr>
            <w:tcW w:type="dxa" w:w="1608"/>
            <w:shd w:val="clear" w:fill="EEF1F7"/>
          </w:tcPr>
          <w:p>
            <w:r>
              <w:rPr>
                <w:sz w:val="19"/>
              </w:rPr>
              <w:t>Privia Health Group</w:t>
            </w:r>
          </w:p>
        </w:tc>
        <w:tc>
          <w:tcPr>
            <w:tcW w:type="dxa" w:w="1608"/>
            <w:shd w:val="clear" w:fill="EEF1F7"/>
          </w:tcPr>
          <w:p>
            <w:r>
              <w:rPr>
                <w:sz w:val="19"/>
              </w:rPr>
              <w:t>Health Care</w:t>
            </w:r>
          </w:p>
        </w:tc>
        <w:tc>
          <w:tcPr>
            <w:tcW w:type="dxa" w:w="1608"/>
            <w:shd w:val="clear" w:fill="EEF1F7"/>
          </w:tcPr>
          <w:p>
            <w:r>
              <w:rPr>
                <w:sz w:val="19"/>
              </w:rPr>
              <w:t>48 (+114)</w:t>
            </w:r>
          </w:p>
        </w:tc>
        <w:tc>
          <w:tcPr>
            <w:tcW w:type="dxa" w:w="1608"/>
            <w:shd w:val="clear" w:fill="EEF1F7"/>
          </w:tcPr>
          <w:p>
            <w:r>
              <w:rPr>
                <w:sz w:val="19"/>
              </w:rPr>
              <w:t>C</w:t>
            </w:r>
          </w:p>
        </w:tc>
        <w:tc>
          <w:tcPr>
            <w:tcW w:type="dxa" w:w="1608"/>
            <w:shd w:val="clear" w:fill="EEF1F7"/>
          </w:tcPr>
          <w:p>
            <w:r>
              <w:rPr>
                <w:sz w:val="19"/>
              </w:rPr>
              <w:t>+7.4%</w:t>
            </w:r>
          </w:p>
        </w:tc>
      </w:tr>
      <w:tr>
        <w:tc>
          <w:tcPr>
            <w:tcW w:type="dxa" w:w="1608"/>
          </w:tcPr>
          <w:p>
            <w:r>
              <w:rPr>
                <w:sz w:val="19"/>
              </w:rPr>
              <w:t>MD</w:t>
            </w:r>
          </w:p>
        </w:tc>
        <w:tc>
          <w:tcPr>
            <w:tcW w:type="dxa" w:w="1608"/>
          </w:tcPr>
          <w:p>
            <w:r>
              <w:rPr>
                <w:sz w:val="19"/>
              </w:rPr>
              <w:t>Pediatrix Medical Group</w:t>
            </w:r>
          </w:p>
        </w:tc>
        <w:tc>
          <w:tcPr>
            <w:tcW w:type="dxa" w:w="1608"/>
          </w:tcPr>
          <w:p>
            <w:r>
              <w:rPr>
                <w:sz w:val="19"/>
              </w:rPr>
              <w:t>Health Care</w:t>
            </w:r>
          </w:p>
        </w:tc>
        <w:tc>
          <w:tcPr>
            <w:tcW w:type="dxa" w:w="1608"/>
          </w:tcPr>
          <w:p>
            <w:r>
              <w:rPr>
                <w:sz w:val="19"/>
              </w:rPr>
              <w:t>78 (+115)</w:t>
            </w:r>
          </w:p>
        </w:tc>
        <w:tc>
          <w:tcPr>
            <w:tcW w:type="dxa" w:w="1608"/>
          </w:tcPr>
          <w:p>
            <w:r>
              <w:rPr>
                <w:sz w:val="19"/>
              </w:rPr>
              <w:t>D</w:t>
            </w:r>
          </w:p>
        </w:tc>
        <w:tc>
          <w:tcPr>
            <w:tcW w:type="dxa" w:w="1608"/>
          </w:tcPr>
          <w:p>
            <w:r>
              <w:rPr>
                <w:sz w:val="19"/>
              </w:rPr>
              <w:t>+3.9%</w:t>
            </w:r>
          </w:p>
        </w:tc>
      </w:tr>
      <w:tr>
        <w:tc>
          <w:tcPr>
            <w:tcW w:type="dxa" w:w="1608"/>
            <w:shd w:val="clear" w:fill="EEF1F7"/>
          </w:tcPr>
          <w:p>
            <w:r>
              <w:rPr>
                <w:sz w:val="19"/>
              </w:rPr>
              <w:t>ILMN</w:t>
            </w:r>
          </w:p>
        </w:tc>
        <w:tc>
          <w:tcPr>
            <w:tcW w:type="dxa" w:w="1608"/>
            <w:shd w:val="clear" w:fill="EEF1F7"/>
          </w:tcPr>
          <w:p>
            <w:r>
              <w:rPr>
                <w:sz w:val="19"/>
              </w:rPr>
              <w:t>Illumina</w:t>
            </w:r>
          </w:p>
        </w:tc>
        <w:tc>
          <w:tcPr>
            <w:tcW w:type="dxa" w:w="1608"/>
            <w:shd w:val="clear" w:fill="EEF1F7"/>
          </w:tcPr>
          <w:p>
            <w:r>
              <w:rPr>
                <w:sz w:val="19"/>
              </w:rPr>
              <w:t>Health Care</w:t>
            </w:r>
          </w:p>
        </w:tc>
        <w:tc>
          <w:tcPr>
            <w:tcW w:type="dxa" w:w="1608"/>
            <w:shd w:val="clear" w:fill="EEF1F7"/>
          </w:tcPr>
          <w:p>
            <w:r>
              <w:rPr>
                <w:sz w:val="19"/>
              </w:rPr>
              <w:t>80 (+98)</w:t>
            </w:r>
          </w:p>
        </w:tc>
        <w:tc>
          <w:tcPr>
            <w:tcW w:type="dxa" w:w="1608"/>
            <w:shd w:val="clear" w:fill="EEF1F7"/>
          </w:tcPr>
          <w:p>
            <w:r>
              <w:rPr>
                <w:sz w:val="19"/>
              </w:rPr>
              <w:t>D</w:t>
            </w:r>
          </w:p>
        </w:tc>
        <w:tc>
          <w:tcPr>
            <w:tcW w:type="dxa" w:w="1608"/>
            <w:shd w:val="clear" w:fill="EEF1F7"/>
          </w:tcPr>
          <w:p>
            <w:r>
              <w:rPr>
                <w:sz w:val="19"/>
              </w:rPr>
              <w:t>+6.6%</w:t>
            </w:r>
          </w:p>
        </w:tc>
      </w:tr>
      <w:tr>
        <w:tc>
          <w:tcPr>
            <w:tcW w:type="dxa" w:w="1608"/>
          </w:tcPr>
          <w:p>
            <w:r>
              <w:rPr>
                <w:sz w:val="19"/>
              </w:rPr>
              <w:t>MOH</w:t>
            </w:r>
          </w:p>
        </w:tc>
        <w:tc>
          <w:tcPr>
            <w:tcW w:type="dxa" w:w="1608"/>
          </w:tcPr>
          <w:p>
            <w:r>
              <w:rPr>
                <w:sz w:val="19"/>
              </w:rPr>
              <w:t>Molina Healthcare</w:t>
            </w:r>
          </w:p>
        </w:tc>
        <w:tc>
          <w:tcPr>
            <w:tcW w:type="dxa" w:w="1608"/>
          </w:tcPr>
          <w:p>
            <w:r>
              <w:rPr>
                <w:sz w:val="19"/>
              </w:rPr>
              <w:t>Health Care</w:t>
            </w:r>
          </w:p>
        </w:tc>
        <w:tc>
          <w:tcPr>
            <w:tcW w:type="dxa" w:w="1608"/>
          </w:tcPr>
          <w:p>
            <w:r>
              <w:rPr>
                <w:sz w:val="19"/>
              </w:rPr>
              <w:t>82 (+64)</w:t>
            </w:r>
          </w:p>
        </w:tc>
        <w:tc>
          <w:tcPr>
            <w:tcW w:type="dxa" w:w="1608"/>
          </w:tcPr>
          <w:p>
            <w:r>
              <w:rPr>
                <w:sz w:val="19"/>
              </w:rPr>
              <w:t>D</w:t>
            </w:r>
          </w:p>
        </w:tc>
        <w:tc>
          <w:tcPr>
            <w:tcW w:type="dxa" w:w="1608"/>
          </w:tcPr>
          <w:p>
            <w:r>
              <w:rPr>
                <w:sz w:val="19"/>
              </w:rPr>
              <w:t>+7.0%</w:t>
            </w:r>
          </w:p>
        </w:tc>
      </w:tr>
      <w:tr>
        <w:tc>
          <w:tcPr>
            <w:tcW w:type="dxa" w:w="1608"/>
            <w:shd w:val="clear" w:fill="EEF1F7"/>
          </w:tcPr>
          <w:p>
            <w:r>
              <w:rPr>
                <w:sz w:val="19"/>
              </w:rPr>
              <w:t>PFGC</w:t>
            </w:r>
          </w:p>
        </w:tc>
        <w:tc>
          <w:tcPr>
            <w:tcW w:type="dxa" w:w="1608"/>
            <w:shd w:val="clear" w:fill="EEF1F7"/>
          </w:tcPr>
          <w:p>
            <w:r>
              <w:rPr>
                <w:sz w:val="19"/>
              </w:rPr>
              <w:t>Performance Food Group</w:t>
            </w:r>
          </w:p>
        </w:tc>
        <w:tc>
          <w:tcPr>
            <w:tcW w:type="dxa" w:w="1608"/>
            <w:shd w:val="clear" w:fill="EEF1F7"/>
          </w:tcPr>
          <w:p>
            <w:r>
              <w:rPr>
                <w:sz w:val="19"/>
              </w:rPr>
              <w:t>Consumer Staples</w:t>
            </w:r>
          </w:p>
        </w:tc>
        <w:tc>
          <w:tcPr>
            <w:tcW w:type="dxa" w:w="1608"/>
            <w:shd w:val="clear" w:fill="EEF1F7"/>
          </w:tcPr>
          <w:p>
            <w:r>
              <w:rPr>
                <w:sz w:val="19"/>
              </w:rPr>
              <w:t>83 (+10)</w:t>
            </w:r>
          </w:p>
        </w:tc>
        <w:tc>
          <w:tcPr>
            <w:tcW w:type="dxa" w:w="1608"/>
            <w:shd w:val="clear" w:fill="EEF1F7"/>
          </w:tcPr>
          <w:p>
            <w:r>
              <w:rPr>
                <w:sz w:val="19"/>
              </w:rPr>
              <w:t>D</w:t>
            </w:r>
          </w:p>
        </w:tc>
        <w:tc>
          <w:tcPr>
            <w:tcW w:type="dxa" w:w="1608"/>
            <w:shd w:val="clear" w:fill="EEF1F7"/>
          </w:tcPr>
          <w:p>
            <w:r>
              <w:rPr>
                <w:sz w:val="19"/>
              </w:rPr>
              <w:t>+4.3%</w:t>
            </w:r>
          </w:p>
        </w:tc>
      </w:tr>
      <w:tr>
        <w:tc>
          <w:tcPr>
            <w:tcW w:type="dxa" w:w="1608"/>
          </w:tcPr>
          <w:p>
            <w:r>
              <w:rPr>
                <w:sz w:val="19"/>
              </w:rPr>
              <w:t>SHC</w:t>
            </w:r>
          </w:p>
        </w:tc>
        <w:tc>
          <w:tcPr>
            <w:tcW w:type="dxa" w:w="1608"/>
          </w:tcPr>
          <w:p>
            <w:r>
              <w:rPr>
                <w:sz w:val="19"/>
              </w:rPr>
              <w:t>Sotera Health</w:t>
            </w:r>
          </w:p>
        </w:tc>
        <w:tc>
          <w:tcPr>
            <w:tcW w:type="dxa" w:w="1608"/>
          </w:tcPr>
          <w:p>
            <w:r>
              <w:rPr>
                <w:sz w:val="19"/>
              </w:rPr>
              <w:t>Health Care</w:t>
            </w:r>
          </w:p>
        </w:tc>
        <w:tc>
          <w:tcPr>
            <w:tcW w:type="dxa" w:w="1608"/>
          </w:tcPr>
          <w:p>
            <w:r>
              <w:rPr>
                <w:sz w:val="19"/>
              </w:rPr>
              <w:t>109 (+116)</w:t>
            </w:r>
          </w:p>
        </w:tc>
        <w:tc>
          <w:tcPr>
            <w:tcW w:type="dxa" w:w="1608"/>
          </w:tcPr>
          <w:p>
            <w:r>
              <w:rPr>
                <w:sz w:val="19"/>
              </w:rPr>
              <w:t>C</w:t>
            </w:r>
          </w:p>
        </w:tc>
        <w:tc>
          <w:tcPr>
            <w:tcW w:type="dxa" w:w="1608"/>
          </w:tcPr>
          <w:p>
            <w:r>
              <w:rPr>
                <w:sz w:val="19"/>
              </w:rPr>
              <w:t>+7.0%</w:t>
            </w:r>
          </w:p>
        </w:tc>
      </w:tr>
      <w:tr>
        <w:tc>
          <w:tcPr>
            <w:tcW w:type="dxa" w:w="1608"/>
            <w:shd w:val="clear" w:fill="EEF1F7"/>
          </w:tcPr>
          <w:p>
            <w:r>
              <w:rPr>
                <w:sz w:val="19"/>
              </w:rPr>
              <w:t>HMN</w:t>
            </w:r>
          </w:p>
        </w:tc>
        <w:tc>
          <w:tcPr>
            <w:tcW w:type="dxa" w:w="1608"/>
            <w:shd w:val="clear" w:fill="EEF1F7"/>
          </w:tcPr>
          <w:p>
            <w:r>
              <w:rPr>
                <w:sz w:val="19"/>
              </w:rPr>
              <w:t>Horace Mann Educators</w:t>
            </w:r>
          </w:p>
        </w:tc>
        <w:tc>
          <w:tcPr>
            <w:tcW w:type="dxa" w:w="1608"/>
            <w:shd w:val="clear" w:fill="EEF1F7"/>
          </w:tcPr>
          <w:p>
            <w:r>
              <w:rPr>
                <w:sz w:val="19"/>
              </w:rPr>
              <w:t>Financials</w:t>
            </w:r>
          </w:p>
        </w:tc>
        <w:tc>
          <w:tcPr>
            <w:tcW w:type="dxa" w:w="1608"/>
            <w:shd w:val="clear" w:fill="EEF1F7"/>
          </w:tcPr>
          <w:p>
            <w:r>
              <w:rPr>
                <w:sz w:val="19"/>
              </w:rPr>
              <w:t>134 (+41)</w:t>
            </w:r>
          </w:p>
        </w:tc>
        <w:tc>
          <w:tcPr>
            <w:tcW w:type="dxa" w:w="1608"/>
            <w:shd w:val="clear" w:fill="EEF1F7"/>
          </w:tcPr>
          <w:p>
            <w:r>
              <w:rPr>
                <w:sz w:val="19"/>
              </w:rPr>
              <w:t>D</w:t>
            </w:r>
          </w:p>
        </w:tc>
        <w:tc>
          <w:tcPr>
            <w:tcW w:type="dxa" w:w="1608"/>
            <w:shd w:val="clear" w:fill="EEF1F7"/>
          </w:tcPr>
          <w:p>
            <w:r>
              <w:rPr>
                <w:sz w:val="19"/>
              </w:rPr>
              <w:t>+2.6%</w:t>
            </w:r>
          </w:p>
        </w:tc>
      </w:tr>
      <w:tr>
        <w:tc>
          <w:tcPr>
            <w:tcW w:type="dxa" w:w="1608"/>
          </w:tcPr>
          <w:p>
            <w:r>
              <w:rPr>
                <w:sz w:val="19"/>
              </w:rPr>
              <w:t>TRV</w:t>
            </w:r>
          </w:p>
        </w:tc>
        <w:tc>
          <w:tcPr>
            <w:tcW w:type="dxa" w:w="1608"/>
          </w:tcPr>
          <w:p>
            <w:r>
              <w:rPr>
                <w:sz w:val="19"/>
              </w:rPr>
              <w:t>Travelers Companies</w:t>
            </w:r>
          </w:p>
        </w:tc>
        <w:tc>
          <w:tcPr>
            <w:tcW w:type="dxa" w:w="1608"/>
          </w:tcPr>
          <w:p>
            <w:r>
              <w:rPr>
                <w:sz w:val="19"/>
              </w:rPr>
              <w:t>Financials</w:t>
            </w:r>
          </w:p>
        </w:tc>
        <w:tc>
          <w:tcPr>
            <w:tcW w:type="dxa" w:w="1608"/>
          </w:tcPr>
          <w:p>
            <w:r>
              <w:rPr>
                <w:sz w:val="19"/>
              </w:rPr>
              <w:t>172 (+63)</w:t>
            </w:r>
          </w:p>
        </w:tc>
        <w:tc>
          <w:tcPr>
            <w:tcW w:type="dxa" w:w="1608"/>
          </w:tcPr>
          <w:p>
            <w:r>
              <w:rPr>
                <w:sz w:val="19"/>
              </w:rPr>
              <w:t>C</w:t>
            </w:r>
          </w:p>
        </w:tc>
        <w:tc>
          <w:tcPr>
            <w:tcW w:type="dxa" w:w="1608"/>
          </w:tcPr>
          <w:p>
            <w:r>
              <w:rPr>
                <w:sz w:val="19"/>
              </w:rPr>
              <w:t>+4.0%</w:t>
            </w:r>
          </w:p>
        </w:tc>
      </w:tr>
    </w:tbl>
    <w:p/>
    <w:p>
      <w:r>
        <w:t>The list is almost entirely health care, the rotation showing up as individual charts. How to read the columns: the higher up the rank and the closer to the 20-day line, the earlier you are in the move. Conviction letters (B and C here, some Ds) tell you how many independent signals fired. A D that jumped 100+ spots, like Pediatrix or Sotera, is a fast mover with less confirmation, which cuts both ways.</w:t>
      </w:r>
    </w:p>
    <w:p>
      <w:r>
        <w:t>Worth flagging the disagreement on Travelers. Our board has it climbing 63 spots to #172, but this week two brokers, Evercore and KBW, both cut it, and consensus sits at hold with only about 5% target upside. When our rankings like a name the Street is fading, resolve that gap before you act, don't ignore it.</w:t>
      </w: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Pr>
                <w:b/>
                <w:color w:val="FFFFFF"/>
                <w:sz w:val="19"/>
              </w:rPr>
              <w:t>Check</w:t>
            </w:r>
          </w:p>
        </w:tc>
        <w:tc>
          <w:tcPr>
            <w:tcW w:type="dxa" w:w="3216"/>
            <w:shd w:val="clear" w:fill="1F3864"/>
          </w:tcPr>
          <w:p>
            <w:r>
              <w:rPr>
                <w:b/>
                <w:color w:val="FFFFFF"/>
                <w:sz w:val="19"/>
              </w:rPr>
              <w:t>Reading</w:t>
            </w:r>
          </w:p>
        </w:tc>
        <w:tc>
          <w:tcPr>
            <w:tcW w:type="dxa" w:w="3216"/>
            <w:shd w:val="clear" w:fill="1F3864"/>
          </w:tcPr>
          <w:p>
            <w:r>
              <w:rPr>
                <w:b/>
                <w:color w:val="FFFFFF"/>
                <w:sz w:val="19"/>
              </w:rPr>
              <w:t>Note</w:t>
            </w:r>
          </w:p>
        </w:tc>
      </w:tr>
      <w:tr>
        <w:tc>
          <w:tcPr>
            <w:tcW w:type="dxa" w:w="3216"/>
          </w:tcPr>
          <w:p>
            <w:r>
              <w:rPr>
                <w:sz w:val="19"/>
              </w:rPr>
              <w:t>S&amp;P 500 vs 200-day</w:t>
            </w:r>
          </w:p>
        </w:tc>
        <w:tc>
          <w:tcPr>
            <w:tcW w:type="dxa" w:w="3216"/>
          </w:tcPr>
          <w:p>
            <w:r>
              <w:rPr>
                <w:sz w:val="19"/>
              </w:rPr>
              <w:t>ABOVE</w:t>
            </w:r>
          </w:p>
        </w:tc>
        <w:tc>
          <w:tcPr>
            <w:tcW w:type="dxa" w:w="3216"/>
          </w:tcPr>
          <w:p>
            <w:r>
              <w:rPr>
                <w:sz w:val="19"/>
              </w:rPr>
              <w:t>7575.39 vs 6964.49</w:t>
            </w:r>
          </w:p>
        </w:tc>
      </w:tr>
      <w:tr>
        <w:tc>
          <w:tcPr>
            <w:tcW w:type="dxa" w:w="3216"/>
            <w:shd w:val="clear" w:fill="EEF1F7"/>
          </w:tcPr>
          <w:p>
            <w:r>
              <w:rPr>
                <w:sz w:val="19"/>
              </w:rPr>
              <w:t>Stocks above 200-day</w:t>
            </w:r>
          </w:p>
        </w:tc>
        <w:tc>
          <w:tcPr>
            <w:tcW w:type="dxa" w:w="3216"/>
            <w:shd w:val="clear" w:fill="EEF1F7"/>
          </w:tcPr>
          <w:p>
            <w:r>
              <w:rPr>
                <w:sz w:val="19"/>
              </w:rPr>
              <w:t>66.79%</w:t>
            </w:r>
          </w:p>
        </w:tc>
        <w:tc>
          <w:tcPr>
            <w:tcW w:type="dxa" w:w="3216"/>
            <w:shd w:val="clear" w:fill="EEF1F7"/>
          </w:tcPr>
          <w:p>
            <w:r>
              <w:rPr>
                <w:sz w:val="19"/>
              </w:rPr>
              <w:t>broad participation</w:t>
            </w:r>
          </w:p>
        </w:tc>
      </w:tr>
      <w:tr>
        <w:tc>
          <w:tcPr>
            <w:tcW w:type="dxa" w:w="3216"/>
          </w:tcPr>
          <w:p>
            <w:r>
              <w:rPr>
                <w:sz w:val="19"/>
              </w:rPr>
              <w:t>Stocks above 50-day</w:t>
            </w:r>
          </w:p>
        </w:tc>
        <w:tc>
          <w:tcPr>
            <w:tcW w:type="dxa" w:w="3216"/>
          </w:tcPr>
          <w:p>
            <w:r>
              <w:rPr>
                <w:sz w:val="19"/>
              </w:rPr>
              <w:t>64.76%</w:t>
            </w:r>
          </w:p>
        </w:tc>
        <w:tc>
          <w:tcPr>
            <w:tcW w:type="dxa" w:w="3216"/>
          </w:tcPr>
          <w:p/>
        </w:tc>
      </w:tr>
      <w:tr>
        <w:tc>
          <w:tcPr>
            <w:tcW w:type="dxa" w:w="3216"/>
            <w:shd w:val="clear" w:fill="EEF1F7"/>
          </w:tcPr>
          <w:p>
            <w:r>
              <w:rPr>
                <w:sz w:val="19"/>
              </w:rPr>
              <w:t>New 52w highs vs lows</w:t>
            </w:r>
          </w:p>
        </w:tc>
        <w:tc>
          <w:tcPr>
            <w:tcW w:type="dxa" w:w="3216"/>
            <w:shd w:val="clear" w:fill="EEF1F7"/>
          </w:tcPr>
          <w:p>
            <w:r>
              <w:rPr>
                <w:sz w:val="19"/>
              </w:rPr>
              <w:t>1 vs 1</w:t>
            </w:r>
          </w:p>
        </w:tc>
        <w:tc>
          <w:tcPr>
            <w:tcW w:type="dxa" w:w="3216"/>
            <w:shd w:val="clear" w:fill="EEF1F7"/>
          </w:tcPr>
          <w:p>
            <w:r>
              <w:rPr>
                <w:sz w:val="19"/>
              </w:rPr>
              <w:t>was 16 vs 0 a week ago</w:t>
            </w:r>
          </w:p>
        </w:tc>
      </w:tr>
      <w:tr>
        <w:tc>
          <w:tcPr>
            <w:tcW w:type="dxa" w:w="3216"/>
          </w:tcPr>
          <w:p>
            <w:r>
              <w:rPr>
                <w:sz w:val="19"/>
              </w:rPr>
              <w:t>Advancers vs decliners</w:t>
            </w:r>
          </w:p>
        </w:tc>
        <w:tc>
          <w:tcPr>
            <w:tcW w:type="dxa" w:w="3216"/>
          </w:tcPr>
          <w:p>
            <w:r>
              <w:rPr>
                <w:sz w:val="19"/>
              </w:rPr>
              <w:t>1052 vs 892</w:t>
            </w:r>
          </w:p>
        </w:tc>
        <w:tc>
          <w:tcPr>
            <w:tcW w:type="dxa" w:w="3216"/>
          </w:tcPr>
          <w:p>
            <w:r>
              <w:rPr>
                <w:sz w:val="19"/>
              </w:rPr>
              <w:t>more up than down</w:t>
            </w:r>
          </w:p>
        </w:tc>
      </w:tr>
      <w:tr>
        <w:tc>
          <w:tcPr>
            <w:tcW w:type="dxa" w:w="3216"/>
            <w:shd w:val="clear" w:fill="EEF1F7"/>
          </w:tcPr>
          <w:p>
            <w:r>
              <w:rPr>
                <w:sz w:val="19"/>
              </w:rPr>
              <w:t>VIX</w:t>
            </w:r>
          </w:p>
        </w:tc>
        <w:tc>
          <w:tcPr>
            <w:tcW w:type="dxa" w:w="3216"/>
            <w:shd w:val="clear" w:fill="EEF1F7"/>
          </w:tcPr>
          <w:p>
            <w:r>
              <w:rPr>
                <w:sz w:val="19"/>
              </w:rPr>
              <w:t>15.04</w:t>
            </w:r>
          </w:p>
        </w:tc>
        <w:tc>
          <w:tcPr>
            <w:tcW w:type="dxa" w:w="3216"/>
            <w:shd w:val="clear" w:fill="EEF1F7"/>
          </w:tcPr>
          <w:p>
            <w:r>
              <w:rPr>
                <w:sz w:val="19"/>
              </w:rPr>
              <w:t>calm, below 20</w:t>
            </w:r>
          </w:p>
        </w:tc>
      </w:tr>
      <w:tr>
        <w:tc>
          <w:tcPr>
            <w:tcW w:type="dxa" w:w="3216"/>
          </w:tcPr>
          <w:p>
            <w:r>
              <w:rPr>
                <w:sz w:val="19"/>
              </w:rPr>
              <w:t>Credit spreads</w:t>
            </w:r>
          </w:p>
        </w:tc>
        <w:tc>
          <w:tcPr>
            <w:tcW w:type="dxa" w:w="3216"/>
          </w:tcPr>
          <w:p>
            <w:r>
              <w:rPr>
                <w:sz w:val="19"/>
              </w:rPr>
              <w:t>n/a</w:t>
            </w:r>
          </w:p>
        </w:tc>
        <w:tc>
          <w:tcPr>
            <w:tcW w:type="dxa" w:w="3216"/>
          </w:tcPr>
          <w:p>
            <w:r>
              <w:rPr>
                <w:sz w:val="19"/>
              </w:rPr>
              <w:t>FRED data pending</w:t>
            </w:r>
          </w:p>
        </w:tc>
      </w:tr>
    </w:tbl>
    <w:p/>
    <w:p>
      <w:r>
        <w:t>The regime is healthy on the surface: index above a rising 200-day, two-thirds of stocks above their own long-term trend, fear gauge asleep at 15. The one crack is that new-highs number falling to a single name. That doesn't kill a rally, but it says the leadership is thin and the market is picky right now. I'd feel better with credit spreads to confirm calm; they're missing this week, so I'm leaning on the VIX and not pretending I have more.</w:t>
      </w:r>
    </w:p>
    <w:p>
      <w:r>
        <w:t>Scenarios for the weeks ahead:</w:t>
      </w:r>
    </w:p>
    <w:p>
      <w:pPr>
        <w:pStyle w:val="ListBullet"/>
      </w:pPr>
      <w:r>
        <w:rPr>
          <w:b/>
        </w:rPr>
        <w:t>Base case, 55%:</w:t>
      </w:r>
      <w:r>
        <w:t xml:space="preserve"> the grind higher continues, but narrow. Money keeps rotating through health care, refiners, and financials while cyclicals lag. The index drifts up; most stocks go sideways. Buy strength on pauses, not on spikes.</w:t>
      </w:r>
    </w:p>
    <w:p>
      <w:pPr>
        <w:pStyle w:val="ListBullet"/>
      </w:pPr>
      <w:r>
        <w:rPr>
          <w:b/>
        </w:rPr>
        <w:t>Bull case, 20%:</w:t>
      </w:r>
      <w:r>
        <w:t xml:space="preserve"> oil calms as the Strait reopens and OPEC+ supply lands, the Fed's "no cuts" reads as confidence rather than fear, and breadth broadens back out. New highs expand again and the laggard groups catch up.</w:t>
      </w:r>
    </w:p>
    <w:p>
      <w:pPr>
        <w:pStyle w:val="ListBullet"/>
      </w:pPr>
      <w:r>
        <w:rPr>
          <w:b/>
        </w:rPr>
        <w:t>Bear case, 25%:</w:t>
      </w:r>
      <w:r>
        <w:t xml:space="preserve"> the oil shock sticks, the 10-year pushes higher, and a Fed leaning toward a hike into 4.2% inflation squeezes the expensive end of the market. The thin new-highs reading is the early tell that turns into a real pullback.</w:t>
      </w:r>
    </w:p>
    <w:p>
      <w:r>
        <w:t>Stance: constructive but selective. Respect the trend that's in front of you in health care, refiners, and financials, and don't force the groups the board is throwing out.</w:t>
      </w:r>
    </w:p>
    <w:p>
      <w:pPr>
        <w:spacing w:before="240" w:after="80"/>
      </w:pPr>
      <w:r>
        <w:rPr>
          <w:b/>
          <w:color w:val="1F3864"/>
          <w:sz w:val="30"/>
        </w:rPr>
        <w:t>9. The Algo</w:t>
      </w:r>
    </w:p>
    <w:p>
      <w:r>
        <w:t>The paper strategy sits at $51,060, up 2.1% since it started on May 27, versus the S&amp;P's +0.7% and QQQ's -0.5% over the same stretch. It gave back 1.1% on the week and is 3.8% off its peak, running 20 open positions against 29 closed. The full record is honest and unflattering: 29 closed trades, 8 winners, a 28% win rate, and an average of -0.7% per trade. Small winners let run, lots of small stops — that's what a trend system looks like early, before a few big winners carry the whole thing.</w:t>
      </w:r>
    </w:p>
    <w:p>
      <w:r>
        <w:t>It closed four this week, all stops, all losers: CINF (-4.2%), ECPG (-6.1%), UAL (-8.3%), and ALGT (-10.2%). The two airlines getting stopped fits the tape: Delta reported and fell 6% on the week, and airlines have taken analyst downgrades. The open book leans hard into the rotation this letter keeps describing. It's stuffed with financials (BAC, C, MET, USB, AXP, JPM and more) and health care (DVA up 9.6%, CVS, BTSG, PGNY, ADUS), with DaVita and BNY Mellon the biggest unrealized winners. New entries this week — PGNY, BTSG, ADUS, FTNT — were all bought right into the health-care and security strength the board is flagging. A clean illustration of buying strength early, executed by rules and stopped out mechanically when wrong.</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spacing w:before="240" w:after="80"/>
      </w:pPr>
      <w:r>
        <w:rPr>
          <w:b/>
          <w:color w:val="1F3864"/>
          <w:sz w:val="30"/>
        </w:rPr>
        <w:t>10. Key events next week</w:t>
      </w:r>
    </w:p>
    <w:p>
      <w:r>
        <w:t>Bank earnings dominate, and they're the real read on the financials rotation:</w:t>
      </w:r>
    </w:p>
    <w:p>
      <w:pPr>
        <w:pStyle w:val="ListBullet"/>
      </w:pPr>
      <w:r>
        <w:rPr>
          <w:b/>
        </w:rPr>
        <w:t>Citigroup and Bank of America (Tue), BNY Mellon and BlackRock (Wed), Citizens and Commerce (Thu).</w:t>
      </w:r>
      <w:r>
        <w:t xml:space="preserve"> The tell isn't the headline EPS, it's net interest income and loan-loss provisions. With the Fed on hold and the curve steepening to +38bp, banks should be earning more on the spread; if provisions creep up, it means they're bracing for a slowdown. Watch whether the asset managers (BLK, BNY) confirm the group that just jumped to #39 on our board.</w:t>
      </w:r>
    </w:p>
    <w:p>
      <w:pPr>
        <w:pStyle w:val="ListBullet"/>
      </w:pPr>
      <w:r>
        <w:rPr>
          <w:b/>
        </w:rPr>
        <w:t>ASML (Wed).</w:t>
      </w:r>
      <w:r>
        <w:t xml:space="preserve"> The purest chip-equipment tell there is. After Taiwan and Korea sold off this week, ASML's order book is the forward look on whether the AI-capex wave is still funding new fabs or catching its breath.</w:t>
      </w:r>
    </w:p>
    <w:p>
      <w:pPr>
        <w:pStyle w:val="ListBullet"/>
      </w:pPr>
      <w:r>
        <w:rPr>
          <w:b/>
        </w:rPr>
        <w:t>Abbott and Elevance Health (Wed).</w:t>
      </w:r>
      <w:r>
        <w:t xml:space="preserve"> Direct confirmation for the health-care rotation. Elevance in particular reads on insurer medical costs, the number that's whipsawed the whole managed-care group.</w:t>
      </w:r>
    </w:p>
    <w:p>
      <w:pPr>
        <w:pStyle w:val="ListBullet"/>
      </w:pPr>
      <w:r>
        <w:rPr>
          <w:b/>
        </w:rPr>
        <w:t>Alcoa (Thu).</w:t>
      </w:r>
      <w:r>
        <w:t xml:space="preserve"> A materials check right as our board buries construction materials and Hong Kong rallies. The tension between those two gets a data point here.</w:t>
      </w:r>
    </w:p>
    <w:p>
      <w:pPr>
        <w:pStyle w:val="ListBullet"/>
      </w:pPr>
      <w:r>
        <w:rPr>
          <w:b/>
        </w:rPr>
        <w:t>Initial jobless claims (Thu).</w:t>
      </w:r>
      <w:r>
        <w:t xml:space="preserve"> With the Fed refusing to cut into 4.2% inflation, a rising claims number is the first thing that would force that stance to soften. An early read on whether the labor market is finally cracking.</w:t>
      </w:r>
    </w:p>
    <w:p>
      <w:pPr>
        <w:spacing w:before="240" w:after="80"/>
      </w:pPr>
      <w:r>
        <w:rPr>
          <w:b/>
          <w:color w:val="1F3864"/>
          <w:sz w:val="30"/>
        </w:rPr>
        <w:t>11. Glossary</w:t>
      </w:r>
    </w:p>
    <w:p>
      <w:pPr>
        <w:pStyle w:val="ListBullet"/>
      </w:pPr>
      <w:r>
        <w:rPr>
          <w:b/>
        </w:rPr>
        <w:t>Our rank / the board:</w:t>
      </w:r>
      <w:r>
        <w:t xml:space="preserve"> we rank every US stock we track by relative strength, #1 strongest. "#8 in our system" means 8th-strongest of about 1,900.</w:t>
      </w:r>
    </w:p>
    <w:p>
      <w:pPr>
        <w:pStyle w:val="ListBullet"/>
      </w:pPr>
      <w:r>
        <w:rPr>
          <w:b/>
        </w:rPr>
        <w:t>Relative strength (RS):</w:t>
      </w:r>
      <w:r>
        <w:t xml:space="preserve"> how a stock performs against the rest of the market, not on its own. Rising RS = outperforming.</w:t>
      </w:r>
    </w:p>
    <w:p>
      <w:pPr>
        <w:pStyle w:val="ListBullet"/>
      </w:pPr>
      <w:r>
        <w:rPr>
          <w:b/>
        </w:rPr>
        <w:t>Moving averages (20/50/200-day):</w:t>
      </w:r>
      <w:r>
        <w:t xml:space="preserve"> the average price over that many days — the trend lines. A healthy uptrend has price above a rising 20-day, itself above the 200-day. "Extended" means far above the 20-day and prone to a pullback.</w:t>
      </w:r>
    </w:p>
    <w:p>
      <w:pPr>
        <w:pStyle w:val="ListBullet"/>
      </w:pPr>
      <w:r>
        <w:rPr>
          <w:b/>
        </w:rPr>
        <w:t>VIX:</w:t>
      </w:r>
      <w:r>
        <w:t xml:space="preserve"> the market's fear gauge. Below 20 is calm, above 20 is stress.</w:t>
      </w:r>
    </w:p>
    <w:p>
      <w:pPr>
        <w:pStyle w:val="ListBullet"/>
      </w:pPr>
      <w:r>
        <w:rPr>
          <w:b/>
        </w:rPr>
        <w:t>Credit spreads:</w:t>
      </w:r>
      <w:r>
        <w:t xml:space="preserve"> the extra yield investors demand to hold risky corporate bonds over safe government bonds. Widening is an early warning; tight is calm.</w:t>
      </w:r>
    </w:p>
    <w:p>
      <w:pPr>
        <w:pStyle w:val="ListBullet"/>
      </w:pPr>
      <w:r>
        <w:rPr>
          <w:b/>
        </w:rPr>
        <w:t>Treasury yields / 2s10s:</w:t>
      </w:r>
      <w:r>
        <w:t xml:space="preserve"> the interest rate the US government pays to borrow for 10 years versus 2 years. The 2s10s spread is the 10-year minus the 2-year; a rising 10-year pressures expensive, long-duration stocks like chips and growth.</w:t>
      </w:r>
    </w:p>
    <w:p>
      <w:pPr>
        <w:pStyle w:val="ListBullet"/>
      </w:pPr>
      <w:r>
        <w:rPr>
          <w:b/>
        </w:rPr>
        <w:t>Breadth:</w:t>
      </w:r>
      <w:r>
        <w:t xml:space="preserve"> how many stocks take part. Strong breadth (most stocks above their 200-day, new highs beating new lows) means a broad, healthy rally.</w:t>
      </w:r>
    </w:p>
    <w:p>
      <w:r>
        <w:t>The week's lesson: an oil scare and a Fed that won't cut didn't sink the market, they redirected it — into refiners, hospitals, and money managers, and out of farm gear and cement. The regime is still healthy but the leadership is narrow, so stay picky and let the board show you where the money actually is. This is educational commentary, not financial advice — every name here is a starting point for your own research. Stay invested, stay selective, and we'll see you next Sunday.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