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Courier New" w:cs="Courier New" w:eastAsia="Courier New" w:hAnsi="Courier New"/>
          <w:b/>
          <w:bCs/>
          <w:color w:val="C1440E"/>
          <w:sz w:val="16"/>
          <w:szCs w:val="16"/>
        </w:rPr>
        <w:t xml:space="preserve">CONFIDENTIAL — AUTHORIZED USE ONLY</w:t>
      </w:r>
    </w:p>
    <w:p>
      <w:pPr>
        <w:pBdr>
          <w:top w:val="single" w:color="D9A404" w:sz="24"/>
          <w:bottom w:val="single" w:color="D9A404" w:sz="24"/>
        </w:pBdr>
        <w:shd w:fill="1F4E4E" w:color="auto" w:val="clear"/>
        <w:spacing w:after="0" w:before="600"/>
        <w:jc w:val="center"/>
      </w:pPr>
      <w:r>
        <w:rPr>
          <w:rFonts w:ascii="Courier New" w:cs="Courier New" w:eastAsia="Courier New" w:hAnsi="Courier New"/>
          <w:b/>
          <w:bCs/>
          <w:color w:val="FFFFFF"/>
          <w:sz w:val="34"/>
          <w:szCs w:val="34"/>
        </w:rPr>
        <w:t xml:space="preserve">RECONNAISSANCE &amp; NETWORK MAPPING REPORT</w:t>
      </w:r>
    </w:p>
    <w:p>
      <w:pPr>
        <w:shd w:fill="D9A404" w:color="auto" w:val="clear"/>
        <w:spacing w:after="60" w:before="120"/>
        <w:jc w:val="center"/>
      </w:pPr>
      <w:r>
        <w:rPr>
          <w:rFonts w:ascii="Courier New" w:cs="Courier New" w:eastAsia="Courier New" w:hAnsi="Courier New"/>
          <w:b/>
          <w:bCs/>
          <w:color w:val="153636"/>
          <w:sz w:val="20"/>
          <w:szCs w:val="20"/>
        </w:rPr>
        <w:t xml:space="preserve">OSINT RECONNAISSANCE (MALTEGO)  ///  NETWORK MAPPING (ZENMAP)</w:t>
      </w:r>
    </w:p>
    <w:p>
      <w:pPr>
        <w:spacing w:after="500" w:before="200"/>
        <w:jc w:val="center"/>
      </w:pPr>
      <w:r>
        <w:rPr>
          <w:rFonts w:ascii="Georgia" w:cs="Georgia" w:eastAsia="Georgia" w:hAnsi="Georgia"/>
          <w:i/>
          <w:iCs/>
          <w:color w:val="6B5B3A"/>
          <w:sz w:val="22"/>
          <w:szCs w:val="22"/>
        </w:rPr>
        <w:t xml:space="preserve">A vintage dossier for a modern attack surface.</w:t>
      </w:r>
    </w:p>
    <w:tbl>
      <w:tblPr>
        <w:tblW w:type="dxa" w:w="9350"/>
        <w:tblBorders>
          <w:top w:val="single" w:color="8A6D3B" w:sz="4"/>
          <w:left w:val="single" w:color="8A6D3B" w:sz="4"/>
          <w:bottom w:val="single" w:color="8A6D3B" w:sz="4"/>
          <w:right w:val="single" w:color="8A6D3B" w:sz="4"/>
          <w:insideH w:val="single" w:color="8A6D3B" w:sz="4"/>
          <w:insideV w:val="single" w:color="8A6D3B" w:sz="4"/>
        </w:tblBorders>
      </w:tblPr>
      <w:tblGrid>
        <w:gridCol w:w="100"/>
        <w:gridCol w:w="100"/>
      </w:tblGrid>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ANALYST / OPERATOR</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 Your Full Name ]</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ROLE / TITLE</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 Your Role or Certification, e.g. Cybersecurity Analyst ]</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ENGAGEMENT NAME</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 Engagement / Program Name ]</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CLIENT / TARGET SCOPE</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networkwalks.com  —  [ + any additional in-scope assets ]</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AUTHORIZATION ON FILE?</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Yes — written approval secured from networkwalks.com</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AUTHORIZATION REFERENCE</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 Reference # / date / signee of approval, if applicable ]</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REPORT DATE</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 DD Month YYYY ]</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TOOLS / MODULES</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Maltego (OSINT Reconnaissance)  +  Zenmap / Nmap (Network Mapping)</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PHASES COVERED</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Phase 1 – OSINT Reconnaissance  |  Phase 2 – Network Discovery &amp; Mapping  |  [ additional phases ]</w:t>
            </w:r>
          </w:p>
        </w:tc>
      </w:tr>
      <w:tr>
        <w:tc>
          <w:tcPr>
            <w:tcW w:type="dxa" w:w="30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CLASSIFICATION</w:t>
            </w:r>
          </w:p>
        </w:tc>
        <w:tc>
          <w:tcPr>
            <w:tcW w:type="dxa" w:w="63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6B5B3A"/>
                <w:sz w:val="20"/>
                <w:szCs w:val="20"/>
              </w:rPr>
              <w:t xml:space="preserve">Confidential — Internal / Client Use Only</w:t>
            </w:r>
          </w:p>
        </w:tc>
      </w:tr>
    </w:tbl>
    <w:p>
      <w:pPr>
        <w:spacing w:before="500"/>
        <w:jc w:val="center"/>
      </w:pPr>
      <w:r>
        <w:rPr>
          <w:rFonts w:ascii="Courier New" w:cs="Courier New" w:eastAsia="Courier New" w:hAnsi="Courier New"/>
          <w:i/>
          <w:iCs/>
          <w:color w:val="C1440E"/>
          <w:sz w:val="16"/>
          <w:szCs w:val="16"/>
        </w:rPr>
        <w:t xml:space="preserve">TEMPLATE — findings, evidence and narrative content removed. Replace all bracketed [ placeholders ] before distribution.</w:t>
      </w:r>
    </w:p>
    <w:p>
      <w:r>
        <w:br w:type="page"/>
      </w:r>
    </w:p>
    <w:p>
      <w:pPr>
        <w:pBdr>
          <w:left w:val="single" w:color="C1440E" w:sz="36"/>
        </w:pBdr>
        <w:shd w:fill="F4E9D8" w:color="auto" w:val="clear"/>
        <w:spacing w:after="200"/>
      </w:pPr>
      <w:r>
        <w:rPr>
          <w:rFonts w:ascii="Courier New" w:cs="Courier New" w:eastAsia="Courier New" w:hAnsi="Courier New"/>
          <w:b/>
          <w:bCs/>
          <w:color w:val="153636"/>
          <w:sz w:val="24"/>
          <w:szCs w:val="24"/>
        </w:rPr>
        <w:t xml:space="preserve">  REPORT INDEX</w:t>
      </w:r>
    </w:p>
    <w:p>
      <w:pPr>
        <w:tabs>
          <w:tab w:val="right" w:pos="9026"/>
        </w:tabs>
        <w:spacing w:after="70"/>
      </w:pPr>
      <w:r>
        <w:rPr>
          <w:rFonts w:ascii="Courier New" w:cs="Courier New" w:eastAsia="Courier New" w:hAnsi="Courier New"/>
          <w:color w:val="153636"/>
          <w:sz w:val="21"/>
          <w:szCs w:val="21"/>
        </w:rPr>
        <w:t xml:space="preserve">1. Authorization &amp; Liability Disclaimer</w:t>
      </w:r>
    </w:p>
    <w:p>
      <w:pPr>
        <w:tabs>
          <w:tab w:val="right" w:pos="9026"/>
        </w:tabs>
        <w:spacing w:after="70"/>
      </w:pPr>
      <w:r>
        <w:rPr>
          <w:rFonts w:ascii="Courier New" w:cs="Courier New" w:eastAsia="Courier New" w:hAnsi="Courier New"/>
          <w:color w:val="153636"/>
          <w:sz w:val="21"/>
          <w:szCs w:val="21"/>
        </w:rPr>
        <w:t xml:space="preserve">2. Executive Summary</w:t>
      </w:r>
    </w:p>
    <w:p>
      <w:pPr>
        <w:tabs>
          <w:tab w:val="right" w:pos="9026"/>
        </w:tabs>
        <w:spacing w:after="70"/>
      </w:pPr>
      <w:r>
        <w:rPr>
          <w:rFonts w:ascii="Courier New" w:cs="Courier New" w:eastAsia="Courier New" w:hAnsi="Courier New"/>
          <w:color w:val="153636"/>
          <w:sz w:val="21"/>
          <w:szCs w:val="21"/>
        </w:rPr>
        <w:t xml:space="preserve">3. Scope &amp; Objectives</w:t>
      </w:r>
    </w:p>
    <w:p>
      <w:pPr>
        <w:tabs>
          <w:tab w:val="right" w:pos="9026"/>
        </w:tabs>
        <w:spacing w:after="70"/>
      </w:pPr>
      <w:r>
        <w:rPr>
          <w:rFonts w:ascii="Courier New" w:cs="Courier New" w:eastAsia="Courier New" w:hAnsi="Courier New"/>
          <w:color w:val="153636"/>
          <w:sz w:val="21"/>
          <w:szCs w:val="21"/>
        </w:rPr>
        <w:t xml:space="preserve">4. Methodology &amp; Tools Used</w:t>
      </w:r>
    </w:p>
    <w:p>
      <w:pPr>
        <w:tabs>
          <w:tab w:val="right" w:pos="9026"/>
        </w:tabs>
        <w:spacing w:after="70"/>
      </w:pPr>
      <w:r>
        <w:rPr>
          <w:rFonts w:ascii="Courier New" w:cs="Courier New" w:eastAsia="Courier New" w:hAnsi="Courier New"/>
          <w:color w:val="153636"/>
          <w:sz w:val="21"/>
          <w:szCs w:val="21"/>
        </w:rPr>
        <w:t xml:space="preserve">5. Activities Performed</w:t>
      </w:r>
    </w:p>
    <w:p>
      <w:pPr>
        <w:tabs>
          <w:tab w:val="right" w:pos="9026"/>
        </w:tabs>
        <w:spacing w:after="70"/>
      </w:pPr>
      <w:r>
        <w:rPr>
          <w:rFonts w:ascii="Courier New" w:cs="Courier New" w:eastAsia="Courier New" w:hAnsi="Courier New"/>
          <w:color w:val="153636"/>
          <w:sz w:val="21"/>
          <w:szCs w:val="21"/>
        </w:rPr>
        <w:t xml:space="preserve">   5.1 OSINT Reconnaissance (Maltego)</w:t>
      </w:r>
    </w:p>
    <w:p>
      <w:pPr>
        <w:tabs>
          <w:tab w:val="right" w:pos="9026"/>
        </w:tabs>
        <w:spacing w:after="70"/>
      </w:pPr>
      <w:r>
        <w:rPr>
          <w:rFonts w:ascii="Courier New" w:cs="Courier New" w:eastAsia="Courier New" w:hAnsi="Courier New"/>
          <w:color w:val="153636"/>
          <w:sz w:val="21"/>
          <w:szCs w:val="21"/>
        </w:rPr>
        <w:t xml:space="preserve">   5.2 Network Mapping (Zenmap)</w:t>
      </w:r>
    </w:p>
    <w:p>
      <w:pPr>
        <w:tabs>
          <w:tab w:val="right" w:pos="9026"/>
        </w:tabs>
        <w:spacing w:after="70"/>
      </w:pPr>
      <w:r>
        <w:rPr>
          <w:rFonts w:ascii="Courier New" w:cs="Courier New" w:eastAsia="Courier New" w:hAnsi="Courier New"/>
          <w:color w:val="153636"/>
          <w:sz w:val="21"/>
          <w:szCs w:val="21"/>
        </w:rPr>
        <w:t xml:space="preserve">6. Findings &amp; Risk Analysis</w:t>
      </w:r>
    </w:p>
    <w:p>
      <w:pPr>
        <w:tabs>
          <w:tab w:val="right" w:pos="9026"/>
        </w:tabs>
        <w:spacing w:after="70"/>
      </w:pPr>
      <w:r>
        <w:rPr>
          <w:rFonts w:ascii="Courier New" w:cs="Courier New" w:eastAsia="Courier New" w:hAnsi="Courier New"/>
          <w:color w:val="153636"/>
          <w:sz w:val="21"/>
          <w:szCs w:val="21"/>
        </w:rPr>
        <w:t xml:space="preserve">7. Recommendations</w:t>
      </w:r>
    </w:p>
    <w:p>
      <w:pPr>
        <w:tabs>
          <w:tab w:val="right" w:pos="9026"/>
        </w:tabs>
        <w:spacing w:after="70"/>
      </w:pPr>
      <w:r>
        <w:rPr>
          <w:rFonts w:ascii="Courier New" w:cs="Courier New" w:eastAsia="Courier New" w:hAnsi="Courier New"/>
          <w:color w:val="153636"/>
          <w:sz w:val="21"/>
          <w:szCs w:val="21"/>
        </w:rPr>
        <w:t xml:space="preserve">8. Conclusion</w:t>
      </w:r>
    </w:p>
    <w:p>
      <w:pPr>
        <w:tabs>
          <w:tab w:val="right" w:pos="9026"/>
        </w:tabs>
        <w:spacing w:after="70"/>
      </w:pPr>
      <w:r>
        <w:rPr>
          <w:rFonts w:ascii="Courier New" w:cs="Courier New" w:eastAsia="Courier New" w:hAnsi="Courier New"/>
          <w:color w:val="153636"/>
          <w:sz w:val="21"/>
          <w:szCs w:val="21"/>
        </w:rPr>
        <w:t xml:space="preserve">9. Evidence &amp; Appendix</w:t>
      </w:r>
    </w:p>
    <w:p>
      <w:pPr>
        <w:tabs>
          <w:tab w:val="right" w:pos="9026"/>
        </w:tabs>
        <w:spacing w:after="70"/>
      </w:pPr>
      <w:r>
        <w:rPr>
          <w:rFonts w:ascii="Courier New" w:cs="Courier New" w:eastAsia="Courier New" w:hAnsi="Courier New"/>
          <w:color w:val="153636"/>
          <w:sz w:val="21"/>
          <w:szCs w:val="21"/>
        </w:rPr>
        <w:t xml:space="preserve">10. Author &amp; Project Information</w:t>
      </w:r>
    </w:p>
    <w:p>
      <w:r>
        <w:br w:type="page"/>
      </w:r>
    </w:p>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01 ]  </w:t>
      </w:r>
      <w:r>
        <w:rPr>
          <w:rFonts w:ascii="Courier New" w:cs="Courier New" w:eastAsia="Courier New" w:hAnsi="Courier New"/>
          <w:b/>
          <w:bCs/>
          <w:color w:val="FFFFFF"/>
          <w:sz w:val="20"/>
          <w:szCs w:val="20"/>
        </w:rPr>
        <w:t xml:space="preserve">AUTHORIZATION &amp; LIABILITY DISCLAIMER</w:t>
      </w:r>
    </w:p>
    <w:p>
      <w:pPr>
        <w:spacing w:after="160" w:line="300"/>
      </w:pPr>
      <w:r>
        <w:rPr>
          <w:rFonts w:ascii="Georgia" w:cs="Georgia" w:eastAsia="Georgia" w:hAnsi="Georgia"/>
          <w:i w:val="false"/>
          <w:iCs w:val="false"/>
          <w:color w:val="2B211A"/>
          <w:sz w:val="22"/>
          <w:szCs w:val="22"/>
        </w:rPr>
        <w:t xml:space="preserve">This assessment was performed only against systems and assets for which written authorization was obtained — specifically networkwalks.com — and/or systems and devices that I own myself.</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List any additional in-scope systems, IP ranges or domains covered by this engagement here ]</w:t>
      </w:r>
    </w:p>
    <w:p>
      <w:pPr>
        <w:spacing w:after="160" w:line="300"/>
      </w:pPr>
      <w:r>
        <w:rPr>
          <w:rFonts w:ascii="Georgia" w:cs="Georgia" w:eastAsia="Georgia" w:hAnsi="Georgia"/>
          <w:i w:val="false"/>
          <w:iCs w:val="false"/>
          <w:color w:val="2B211A"/>
          <w:sz w:val="22"/>
          <w:szCs w:val="22"/>
        </w:rPr>
        <w:t xml:space="preserve">All activities described in this report are conducted for authorized security assessment, education and research purposes only. Nothing in this document should be used to access, scan or test any system without explicit written permission from its owner. Every action taken is the responsibility of the person performing it. Misuse of these techniques may result in criminal charges, civil liability, loss of employment and a permanent record. In most jurisdictions, unauthorized access to a computer system is a crime even when no damage occurs.</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Add any client-specific confidentiality, NDA or handling instructions here ]</w:t>
      </w:r>
    </w:p>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02 ]  </w:t>
      </w:r>
      <w:r>
        <w:rPr>
          <w:rFonts w:ascii="Courier New" w:cs="Courier New" w:eastAsia="Courier New" w:hAnsi="Courier New"/>
          <w:b/>
          <w:bCs/>
          <w:color w:val="FFFFFF"/>
          <w:sz w:val="20"/>
          <w:szCs w:val="20"/>
        </w:rPr>
        <w:t xml:space="preserve">EXECUTIVE SUMMARY</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Provide a 3–4 sentence, non-technical summary: what was assessed, the two methods used (OSINT via Maltego, network mapping via Zenmap), and the overall risk posture identified ]</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State the number and severity breakdown of findings, e.g. '2 Medium, 3 Low' ]</w:t>
      </w:r>
    </w:p>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03 ]  </w:t>
      </w:r>
      <w:r>
        <w:rPr>
          <w:rFonts w:ascii="Courier New" w:cs="Courier New" w:eastAsia="Courier New" w:hAnsi="Courier New"/>
          <w:b/>
          <w:bCs/>
          <w:color w:val="FFFFFF"/>
          <w:sz w:val="20"/>
          <w:szCs w:val="20"/>
        </w:rPr>
        <w:t xml:space="preserve">SCOPE &amp; OBJECTIVES</w:t>
      </w:r>
    </w:p>
    <w:p>
      <w:pPr>
        <w:pStyle w:val="Heading2"/>
        <w:spacing w:after="120" w:before="280"/>
      </w:pPr>
      <w:r>
        <w:rPr>
          <w:rFonts w:ascii="Courier New" w:cs="Courier New" w:eastAsia="Courier New" w:hAnsi="Courier New"/>
          <w:b/>
          <w:bCs/>
          <w:color w:val="C1440E"/>
          <w:sz w:val="22"/>
          <w:szCs w:val="22"/>
        </w:rPr>
        <w:t xml:space="preserve">» </w:t>
      </w:r>
      <w:r>
        <w:rPr>
          <w:rFonts w:ascii="Courier New" w:cs="Courier New" w:eastAsia="Courier New" w:hAnsi="Courier New"/>
          <w:b/>
          <w:bCs/>
          <w:color w:val="153636"/>
          <w:sz w:val="22"/>
          <w:szCs w:val="22"/>
        </w:rPr>
        <w:t xml:space="preserve">Objectives</w:t>
      </w:r>
    </w:p>
    <w:p>
      <w:pPr>
        <w:pStyle w:val="ListParagraph"/>
        <w:numPr>
          <w:ilvl w:val="0"/>
          <w:numId w:val="2"/>
        </w:numPr>
        <w:spacing w:after="90"/>
      </w:pPr>
      <w:r>
        <w:rPr>
          <w:rFonts w:ascii="Georgia" w:cs="Georgia" w:eastAsia="Georgia" w:hAnsi="Georgia"/>
          <w:color w:val="2B211A"/>
          <w:sz w:val="22"/>
          <w:szCs w:val="22"/>
        </w:rPr>
        <w:t xml:space="preserve">Map the external OSINT footprint of the target using Maltego (domains, infrastructure, personas, related entities)</w:t>
      </w:r>
    </w:p>
    <w:p>
      <w:pPr>
        <w:pStyle w:val="ListParagraph"/>
        <w:numPr>
          <w:ilvl w:val="0"/>
          <w:numId w:val="2"/>
        </w:numPr>
        <w:spacing w:after="90"/>
      </w:pPr>
      <w:r>
        <w:rPr>
          <w:rFonts w:ascii="Georgia" w:cs="Georgia" w:eastAsia="Georgia" w:hAnsi="Georgia"/>
          <w:color w:val="2B211A"/>
          <w:sz w:val="22"/>
          <w:szCs w:val="22"/>
        </w:rPr>
        <w:t xml:space="preserve">Discover and map live hosts, services and topology on the in-scope network using Zenmap</w:t>
      </w:r>
    </w:p>
    <w:p>
      <w:pPr>
        <w:pStyle w:val="ListParagraph"/>
        <w:numPr>
          <w:ilvl w:val="0"/>
          <w:numId w:val="2"/>
        </w:numPr>
        <w:spacing w:after="90"/>
      </w:pPr>
      <w:r>
        <w:rPr>
          <w:rFonts w:ascii="Georgia" w:cs="Georgia" w:eastAsia="Georgia" w:hAnsi="Georgia"/>
          <w:color w:val="2B211A"/>
          <w:sz w:val="22"/>
          <w:szCs w:val="22"/>
        </w:rPr>
        <w:t xml:space="preserve">[ Add any additional engagement objective ]</w:t>
      </w:r>
    </w:p>
    <w:p>
      <w:pPr>
        <w:pStyle w:val="Heading2"/>
        <w:spacing w:after="120" w:before="280"/>
      </w:pPr>
      <w:r>
        <w:rPr>
          <w:rFonts w:ascii="Courier New" w:cs="Courier New" w:eastAsia="Courier New" w:hAnsi="Courier New"/>
          <w:b/>
          <w:bCs/>
          <w:color w:val="C1440E"/>
          <w:sz w:val="22"/>
          <w:szCs w:val="22"/>
        </w:rPr>
        <w:t xml:space="preserve">» </w:t>
      </w:r>
      <w:r>
        <w:rPr>
          <w:rFonts w:ascii="Courier New" w:cs="Courier New" w:eastAsia="Courier New" w:hAnsi="Courier New"/>
          <w:b/>
          <w:bCs/>
          <w:color w:val="153636"/>
          <w:sz w:val="22"/>
          <w:szCs w:val="22"/>
        </w:rPr>
        <w:t xml:space="preserve">In Scope</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List domains, IP ranges, subnets or entities explicitly authorized for this engagement ]</w:t>
      </w:r>
    </w:p>
    <w:p>
      <w:pPr>
        <w:pStyle w:val="Heading2"/>
        <w:spacing w:after="120" w:before="280"/>
      </w:pPr>
      <w:r>
        <w:rPr>
          <w:rFonts w:ascii="Courier New" w:cs="Courier New" w:eastAsia="Courier New" w:hAnsi="Courier New"/>
          <w:b/>
          <w:bCs/>
          <w:color w:val="C1440E"/>
          <w:sz w:val="22"/>
          <w:szCs w:val="22"/>
        </w:rPr>
        <w:t xml:space="preserve">» </w:t>
      </w:r>
      <w:r>
        <w:rPr>
          <w:rFonts w:ascii="Courier New" w:cs="Courier New" w:eastAsia="Courier New" w:hAnsi="Courier New"/>
          <w:b/>
          <w:bCs/>
          <w:color w:val="153636"/>
          <w:sz w:val="22"/>
          <w:szCs w:val="22"/>
        </w:rPr>
        <w:t xml:space="preserve">Out of Scope</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List anything explicitly excluded from this engagement ]</w:t>
      </w:r>
    </w:p>
    <w:p>
      <w:pPr>
        <w:pStyle w:val="Heading2"/>
        <w:spacing w:after="120" w:before="280"/>
      </w:pPr>
      <w:r>
        <w:rPr>
          <w:rFonts w:ascii="Courier New" w:cs="Courier New" w:eastAsia="Courier New" w:hAnsi="Courier New"/>
          <w:b/>
          <w:bCs/>
          <w:color w:val="C1440E"/>
          <w:sz w:val="22"/>
          <w:szCs w:val="22"/>
        </w:rPr>
        <w:t xml:space="preserve">» </w:t>
      </w:r>
      <w:r>
        <w:rPr>
          <w:rFonts w:ascii="Courier New" w:cs="Courier New" w:eastAsia="Courier New" w:hAnsi="Courier New"/>
          <w:b/>
          <w:bCs/>
          <w:color w:val="153636"/>
          <w:sz w:val="22"/>
          <w:szCs w:val="22"/>
        </w:rPr>
        <w:t xml:space="preserve">Constraints / Rules of Engagement</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Testing windows, rate limits, exploitation boundaries, notification requirements, etc. ]</w:t>
      </w:r>
    </w:p>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04 ]  </w:t>
      </w:r>
      <w:r>
        <w:rPr>
          <w:rFonts w:ascii="Courier New" w:cs="Courier New" w:eastAsia="Courier New" w:hAnsi="Courier New"/>
          <w:b/>
          <w:bCs/>
          <w:color w:val="FFFFFF"/>
          <w:sz w:val="20"/>
          <w:szCs w:val="20"/>
        </w:rPr>
        <w:t xml:space="preserve">METHODOLOGY &amp; TOOLS USED</w:t>
      </w:r>
    </w:p>
    <w:p>
      <w:pPr>
        <w:spacing w:after="160" w:line="300"/>
      </w:pPr>
      <w:r>
        <w:rPr>
          <w:rFonts w:ascii="Georgia" w:cs="Georgia" w:eastAsia="Georgia" w:hAnsi="Georgia"/>
          <w:i w:val="false"/>
          <w:iCs w:val="false"/>
          <w:color w:val="2B211A"/>
          <w:sz w:val="22"/>
          <w:szCs w:val="22"/>
        </w:rPr>
        <w:t xml:space="preserve">The table below lists each tool used during this engagement and its purpose.</w:t>
      </w:r>
    </w:p>
    <w:tbl>
      <w:tblPr>
        <w:tblW w:type="dxa" w:w="9350"/>
        <w:tblBorders>
          <w:top w:val="single" w:color="8A6D3B" w:sz="4"/>
          <w:left w:val="single" w:color="8A6D3B" w:sz="4"/>
          <w:bottom w:val="single" w:color="8A6D3B" w:sz="4"/>
          <w:right w:val="single" w:color="8A6D3B" w:sz="4"/>
          <w:insideH w:val="single" w:color="8A6D3B" w:sz="4"/>
          <w:insideV w:val="single" w:color="8A6D3B" w:sz="4"/>
        </w:tblBorders>
      </w:tblPr>
      <w:tblGrid>
        <w:gridCol w:w="100"/>
        <w:gridCol w:w="100"/>
      </w:tblGrid>
      <w:tr>
        <w:trPr>
          <w:tblHeader/>
        </w:trPr>
        <w:tc>
          <w:tcPr>
            <w:tcW w:type="dxa" w:w="26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TOOL</w:t>
            </w:r>
          </w:p>
        </w:tc>
        <w:tc>
          <w:tcPr>
            <w:tcW w:type="dxa" w:w="675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8"/>
                <w:szCs w:val="18"/>
              </w:rPr>
              <w:t xml:space="preserve">PURPOSE</w:t>
            </w:r>
          </w:p>
        </w:tc>
      </w:tr>
      <w:tr>
        <w:tc>
          <w:tcPr>
            <w:tcW w:type="dxa" w:w="2600"/>
            <w:shd w:fill="FAF4E8" w:color="auto" w:val="clear"/>
            <w:tcMar>
              <w:top w:type="dxa" w:w="100"/>
              <w:left w:type="dxa" w:w="140"/>
              <w:bottom w:type="dxa" w:w="100"/>
              <w:right w:type="dxa" w:w="140"/>
            </w:tcMar>
            <w:vAlign w:val="center"/>
          </w:tcPr>
          <w:p>
            <w:pPr>
              <w:jc w:val="left"/>
            </w:pPr>
            <w:r>
              <w:rPr>
                <w:rFonts w:ascii="Georgia" w:cs="Georgia" w:eastAsia="Georgia" w:hAnsi="Georgia"/>
                <w:b/>
                <w:bCs/>
                <w:i w:val="false"/>
                <w:iCs w:val="false"/>
                <w:color w:val="153636"/>
                <w:sz w:val="20"/>
                <w:szCs w:val="20"/>
              </w:rPr>
              <w:t xml:space="preserve">Maltego</w:t>
            </w:r>
          </w:p>
        </w:tc>
        <w:tc>
          <w:tcPr>
            <w:tcW w:type="dxa" w:w="67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val="false"/>
                <w:iCs w:val="false"/>
                <w:color w:val="2B211A"/>
                <w:sz w:val="20"/>
                <w:szCs w:val="20"/>
              </w:rPr>
              <w:t xml:space="preserve">Graph-based OSINT reconnaissance — mapping domains, subdomains, infrastructure, email addresses, personas and related entities tied to the target.</w:t>
            </w:r>
          </w:p>
        </w:tc>
      </w:tr>
      <w:tr>
        <w:tc>
          <w:tcPr>
            <w:tcW w:type="dxa" w:w="2600"/>
            <w:shd w:fill="FFFFFF" w:color="auto" w:val="clear"/>
            <w:tcMar>
              <w:top w:type="dxa" w:w="100"/>
              <w:left w:type="dxa" w:w="140"/>
              <w:bottom w:type="dxa" w:w="100"/>
              <w:right w:type="dxa" w:w="140"/>
            </w:tcMar>
            <w:vAlign w:val="center"/>
          </w:tcPr>
          <w:p>
            <w:pPr>
              <w:jc w:val="left"/>
            </w:pPr>
            <w:r>
              <w:rPr>
                <w:rFonts w:ascii="Georgia" w:cs="Georgia" w:eastAsia="Georgia" w:hAnsi="Georgia"/>
                <w:b/>
                <w:bCs/>
                <w:i w:val="false"/>
                <w:iCs w:val="false"/>
                <w:color w:val="153636"/>
                <w:sz w:val="20"/>
                <w:szCs w:val="20"/>
              </w:rPr>
              <w:t xml:space="preserve">Zenmap (Nmap GUI)</w:t>
            </w:r>
          </w:p>
        </w:tc>
        <w:tc>
          <w:tcPr>
            <w:tcW w:type="dxa" w:w="6750"/>
            <w:shd w:fill="FFFFFF" w:color="auto" w:val="clear"/>
            <w:tcMar>
              <w:top w:type="dxa" w:w="100"/>
              <w:left w:type="dxa" w:w="140"/>
              <w:bottom w:type="dxa" w:w="100"/>
              <w:right w:type="dxa" w:w="140"/>
            </w:tcMar>
            <w:vAlign w:val="center"/>
          </w:tcPr>
          <w:p>
            <w:pPr>
              <w:jc w:val="left"/>
            </w:pPr>
            <w:r>
              <w:rPr>
                <w:rFonts w:ascii="Georgia" w:cs="Georgia" w:eastAsia="Georgia" w:hAnsi="Georgia"/>
                <w:b w:val="false"/>
                <w:bCs w:val="false"/>
                <w:i w:val="false"/>
                <w:iCs w:val="false"/>
                <w:color w:val="2B211A"/>
                <w:sz w:val="20"/>
                <w:szCs w:val="20"/>
              </w:rPr>
              <w:t xml:space="preserve">Active network discovery and mapping — identifying live hosts, IP/MAC addresses, open ports, services and network topology.</w:t>
            </w:r>
          </w:p>
        </w:tc>
      </w:tr>
      <w:tr>
        <w:tc>
          <w:tcPr>
            <w:tcW w:type="dxa" w:w="2600"/>
            <w:shd w:fill="FAF4E8" w:color="auto" w:val="clear"/>
            <w:tcMar>
              <w:top w:type="dxa" w:w="100"/>
              <w:left w:type="dxa" w:w="140"/>
              <w:bottom w:type="dxa" w:w="100"/>
              <w:right w:type="dxa" w:w="140"/>
            </w:tcMar>
            <w:vAlign w:val="center"/>
          </w:tcPr>
          <w:p>
            <w:pPr>
              <w:jc w:val="left"/>
            </w:pPr>
            <w:r>
              <w:rPr>
                <w:rFonts w:ascii="Georgia" w:cs="Georgia" w:eastAsia="Georgia" w:hAnsi="Georgia"/>
                <w:b/>
                <w:bCs/>
                <w:i w:val="false"/>
                <w:iCs w:val="false"/>
                <w:color w:val="153636"/>
                <w:sz w:val="20"/>
                <w:szCs w:val="20"/>
              </w:rPr>
              <w:t xml:space="preserve">[ Supporting OS ]</w:t>
            </w:r>
          </w:p>
        </w:tc>
        <w:tc>
          <w:tcPr>
            <w:tcW w:type="dxa" w:w="675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val="false"/>
                <w:iCs w:val="false"/>
                <w:color w:val="2B211A"/>
                <w:sz w:val="20"/>
                <w:szCs w:val="20"/>
              </w:rPr>
              <w:t xml:space="preserve">[ e.g. Kali Linux / Windows — operating environment used to run the above tools ]</w:t>
            </w:r>
          </w:p>
        </w:tc>
      </w:tr>
      <w:tr>
        <w:tc>
          <w:tcPr>
            <w:tcW w:type="dxa" w:w="2600"/>
            <w:shd w:fill="FFFFFF" w:color="auto" w:val="clear"/>
            <w:tcMar>
              <w:top w:type="dxa" w:w="100"/>
              <w:left w:type="dxa" w:w="140"/>
              <w:bottom w:type="dxa" w:w="100"/>
              <w:right w:type="dxa" w:w="140"/>
            </w:tcMar>
            <w:vAlign w:val="center"/>
          </w:tcPr>
          <w:p>
            <w:pPr>
              <w:jc w:val="left"/>
            </w:pPr>
            <w:r>
              <w:rPr>
                <w:rFonts w:ascii="Georgia" w:cs="Georgia" w:eastAsia="Georgia" w:hAnsi="Georgia"/>
                <w:b/>
                <w:bCs/>
                <w:i w:val="false"/>
                <w:iCs w:val="false"/>
                <w:color w:val="153636"/>
                <w:sz w:val="20"/>
                <w:szCs w:val="20"/>
              </w:rPr>
              <w:t xml:space="preserve">[ Additional tool ]</w:t>
            </w:r>
          </w:p>
        </w:tc>
        <w:tc>
          <w:tcPr>
            <w:tcW w:type="dxa" w:w="6750"/>
            <w:shd w:fill="FFFFFF" w:color="auto" w:val="clear"/>
            <w:tcMar>
              <w:top w:type="dxa" w:w="100"/>
              <w:left w:type="dxa" w:w="140"/>
              <w:bottom w:type="dxa" w:w="100"/>
              <w:right w:type="dxa" w:w="140"/>
            </w:tcMar>
            <w:vAlign w:val="center"/>
          </w:tcPr>
          <w:p>
            <w:pPr>
              <w:jc w:val="left"/>
            </w:pPr>
            <w:r>
              <w:rPr>
                <w:rFonts w:ascii="Georgia" w:cs="Georgia" w:eastAsia="Georgia" w:hAnsi="Georgia"/>
                <w:b w:val="false"/>
                <w:bCs w:val="false"/>
                <w:i w:val="false"/>
                <w:iCs w:val="false"/>
                <w:color w:val="2B211A"/>
                <w:sz w:val="20"/>
                <w:szCs w:val="20"/>
              </w:rPr>
              <w:t xml:space="preserve">[ Purpose of any additional tool used in this engagement ]</w:t>
            </w:r>
          </w:p>
        </w:tc>
      </w:tr>
    </w:tbl>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05 ]  </w:t>
      </w:r>
      <w:r>
        <w:rPr>
          <w:rFonts w:ascii="Courier New" w:cs="Courier New" w:eastAsia="Courier New" w:hAnsi="Courier New"/>
          <w:b/>
          <w:bCs/>
          <w:color w:val="FFFFFF"/>
          <w:sz w:val="20"/>
          <w:szCs w:val="20"/>
        </w:rPr>
        <w:t xml:space="preserve">ACTIVITIES PERFORMED</w:t>
      </w:r>
    </w:p>
    <w:p>
      <w:pPr>
        <w:pStyle w:val="Heading2"/>
        <w:spacing w:after="120" w:before="280"/>
      </w:pPr>
      <w:r>
        <w:rPr>
          <w:rFonts w:ascii="Courier New" w:cs="Courier New" w:eastAsia="Courier New" w:hAnsi="Courier New"/>
          <w:b/>
          <w:bCs/>
          <w:color w:val="C1440E"/>
          <w:sz w:val="22"/>
          <w:szCs w:val="22"/>
        </w:rPr>
        <w:t xml:space="preserve">» </w:t>
      </w:r>
      <w:r>
        <w:rPr>
          <w:rFonts w:ascii="Courier New" w:cs="Courier New" w:eastAsia="Courier New" w:hAnsi="Courier New"/>
          <w:b/>
          <w:bCs/>
          <w:color w:val="153636"/>
          <w:sz w:val="22"/>
          <w:szCs w:val="22"/>
        </w:rPr>
        <w:t xml:space="preserve">5.1  OSINT Reconnaissance (Maltego)</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Describe the Maltego machines/transforms run, the seed entity used, and the general approach taken ]</w:t>
      </w:r>
    </w:p>
    <w:p>
      <w:pPr>
        <w:pStyle w:val="ListParagraph"/>
        <w:numPr>
          <w:ilvl w:val="0"/>
          <w:numId w:val="2"/>
        </w:numPr>
        <w:spacing w:after="90"/>
      </w:pPr>
      <w:r>
        <w:rPr>
          <w:rFonts w:ascii="Georgia" w:cs="Georgia" w:eastAsia="Georgia" w:hAnsi="Georgia"/>
          <w:color w:val="2B211A"/>
          <w:sz w:val="22"/>
          <w:szCs w:val="22"/>
        </w:rPr>
        <w:t xml:space="preserve">Domains / subdomains identified: [ list ]</w:t>
      </w:r>
    </w:p>
    <w:p>
      <w:pPr>
        <w:pStyle w:val="ListParagraph"/>
        <w:numPr>
          <w:ilvl w:val="0"/>
          <w:numId w:val="2"/>
        </w:numPr>
        <w:spacing w:after="90"/>
      </w:pPr>
      <w:r>
        <w:rPr>
          <w:rFonts w:ascii="Georgia" w:cs="Georgia" w:eastAsia="Georgia" w:hAnsi="Georgia"/>
          <w:color w:val="2B211A"/>
          <w:sz w:val="22"/>
          <w:szCs w:val="22"/>
        </w:rPr>
        <w:t xml:space="preserve">Infrastructure (IPs, ASN, hosting) mapped: [ list ]</w:t>
      </w:r>
    </w:p>
    <w:p>
      <w:pPr>
        <w:pStyle w:val="ListParagraph"/>
        <w:numPr>
          <w:ilvl w:val="0"/>
          <w:numId w:val="2"/>
        </w:numPr>
        <w:spacing w:after="90"/>
      </w:pPr>
      <w:r>
        <w:rPr>
          <w:rFonts w:ascii="Georgia" w:cs="Georgia" w:eastAsia="Georgia" w:hAnsi="Georgia"/>
          <w:color w:val="2B211A"/>
          <w:sz w:val="22"/>
          <w:szCs w:val="22"/>
        </w:rPr>
        <w:t xml:space="preserve">Email addresses / personas / related entities discovered: [ list ]</w:t>
      </w:r>
    </w:p>
    <w:p>
      <w:pPr>
        <w:pStyle w:val="ListParagraph"/>
        <w:numPr>
          <w:ilvl w:val="0"/>
          <w:numId w:val="2"/>
        </w:numPr>
        <w:spacing w:after="90"/>
      </w:pPr>
      <w:r>
        <w:rPr>
          <w:rFonts w:ascii="Georgia" w:cs="Georgia" w:eastAsia="Georgia" w:hAnsi="Georgia"/>
          <w:color w:val="2B211A"/>
          <w:sz w:val="22"/>
          <w:szCs w:val="22"/>
        </w:rPr>
        <w:t xml:space="preserve">Notable relationships or pivot points surfaced by the graph: [ list ]</w:t>
      </w:r>
    </w:p>
    <w:p>
      <w:pPr>
        <w:pStyle w:val="Heading2"/>
        <w:spacing w:after="120" w:before="280"/>
      </w:pPr>
      <w:r>
        <w:rPr>
          <w:rFonts w:ascii="Courier New" w:cs="Courier New" w:eastAsia="Courier New" w:hAnsi="Courier New"/>
          <w:b/>
          <w:bCs/>
          <w:color w:val="C1440E"/>
          <w:sz w:val="22"/>
          <w:szCs w:val="22"/>
        </w:rPr>
        <w:t xml:space="preserve">» </w:t>
      </w:r>
      <w:r>
        <w:rPr>
          <w:rFonts w:ascii="Courier New" w:cs="Courier New" w:eastAsia="Courier New" w:hAnsi="Courier New"/>
          <w:b/>
          <w:bCs/>
          <w:color w:val="153636"/>
          <w:sz w:val="22"/>
          <w:szCs w:val="22"/>
        </w:rPr>
        <w:t xml:space="preserve">5.2  Network Mapping (Zenmap)</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Describe the scan type(s) run (e.g. ping scan, intense scan), the subnet targeted, and the process followed ]</w:t>
      </w:r>
    </w:p>
    <w:p>
      <w:pPr>
        <w:pStyle w:val="ListParagraph"/>
        <w:numPr>
          <w:ilvl w:val="0"/>
          <w:numId w:val="2"/>
        </w:numPr>
        <w:spacing w:after="90"/>
      </w:pPr>
      <w:r>
        <w:rPr>
          <w:rFonts w:ascii="Georgia" w:cs="Georgia" w:eastAsia="Georgia" w:hAnsi="Georgia"/>
          <w:color w:val="2B211A"/>
          <w:sz w:val="22"/>
          <w:szCs w:val="22"/>
        </w:rPr>
        <w:t xml:space="preserve">Subnet / range scanned: [ e.g. 10.0.0.0/24 ]</w:t>
      </w:r>
    </w:p>
    <w:p>
      <w:pPr>
        <w:pStyle w:val="ListParagraph"/>
        <w:numPr>
          <w:ilvl w:val="0"/>
          <w:numId w:val="2"/>
        </w:numPr>
        <w:spacing w:after="90"/>
      </w:pPr>
      <w:r>
        <w:rPr>
          <w:rFonts w:ascii="Georgia" w:cs="Georgia" w:eastAsia="Georgia" w:hAnsi="Georgia"/>
          <w:color w:val="2B211A"/>
          <w:sz w:val="22"/>
          <w:szCs w:val="22"/>
        </w:rPr>
        <w:t xml:space="preserve">Live hosts identified: [ list of IPs ]</w:t>
      </w:r>
    </w:p>
    <w:p>
      <w:pPr>
        <w:pStyle w:val="ListParagraph"/>
        <w:numPr>
          <w:ilvl w:val="0"/>
          <w:numId w:val="2"/>
        </w:numPr>
        <w:spacing w:after="90"/>
      </w:pPr>
      <w:r>
        <w:rPr>
          <w:rFonts w:ascii="Georgia" w:cs="Georgia" w:eastAsia="Georgia" w:hAnsi="Georgia"/>
          <w:color w:val="2B211A"/>
          <w:sz w:val="22"/>
          <w:szCs w:val="22"/>
        </w:rPr>
        <w:t xml:space="preserve">Notable open ports / services: [ list ]</w:t>
      </w:r>
    </w:p>
    <w:p>
      <w:pPr>
        <w:pStyle w:val="ListParagraph"/>
        <w:numPr>
          <w:ilvl w:val="0"/>
          <w:numId w:val="2"/>
        </w:numPr>
        <w:spacing w:after="90"/>
      </w:pPr>
      <w:r>
        <w:rPr>
          <w:rFonts w:ascii="Georgia" w:cs="Georgia" w:eastAsia="Georgia" w:hAnsi="Georgia"/>
          <w:color w:val="2B211A"/>
          <w:sz w:val="22"/>
          <w:szCs w:val="22"/>
        </w:rPr>
        <w:t xml:space="preserve">Topology exported (Yes/No, format): [ answer ]</w:t>
      </w:r>
    </w:p>
    <w:p>
      <w:pPr>
        <w:spacing w:after="160" w:line="300"/>
      </w:pPr>
      <w:r>
        <w:rPr>
          <w:rFonts w:ascii="Georgia" w:cs="Georgia" w:eastAsia="Georgia" w:hAnsi="Georgia"/>
          <w:i/>
          <w:iCs/>
          <w:color w:val="C1440E"/>
          <w:sz w:val="22"/>
          <w:szCs w:val="22"/>
        </w:rPr>
        <w:t xml:space="preserve">Note: replace all bracketed values above with the actual subnet, hosts, ports and entities discovered during this engagement before this report is finalized.</w:t>
      </w:r>
    </w:p>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06 ]  </w:t>
      </w:r>
      <w:r>
        <w:rPr>
          <w:rFonts w:ascii="Courier New" w:cs="Courier New" w:eastAsia="Courier New" w:hAnsi="Courier New"/>
          <w:b/>
          <w:bCs/>
          <w:color w:val="FFFFFF"/>
          <w:sz w:val="20"/>
          <w:szCs w:val="20"/>
        </w:rPr>
        <w:t xml:space="preserve">FINDINGS &amp; RISK ANALYSIS</w:t>
      </w:r>
    </w:p>
    <w:p>
      <w:pPr>
        <w:spacing w:after="160" w:line="300"/>
      </w:pPr>
      <w:r>
        <w:rPr>
          <w:rFonts w:ascii="Georgia" w:cs="Georgia" w:eastAsia="Georgia" w:hAnsi="Georgia"/>
          <w:i w:val="false"/>
          <w:iCs w:val="false"/>
          <w:color w:val="2B211A"/>
          <w:sz w:val="22"/>
          <w:szCs w:val="22"/>
        </w:rPr>
        <w:t xml:space="preserve">Based on the OSINT reconnaissance and network mapping activities, the following potential risks were identified.</w:t>
      </w:r>
    </w:p>
    <w:tbl>
      <w:tblPr>
        <w:tblW w:type="dxa" w:w="9350"/>
        <w:tblBorders>
          <w:top w:val="single" w:color="8A6D3B" w:sz="4"/>
          <w:left w:val="single" w:color="8A6D3B" w:sz="4"/>
          <w:bottom w:val="single" w:color="8A6D3B" w:sz="4"/>
          <w:right w:val="single" w:color="8A6D3B" w:sz="4"/>
          <w:insideH w:val="single" w:color="8A6D3B" w:sz="4"/>
          <w:insideV w:val="single" w:color="8A6D3B" w:sz="4"/>
        </w:tblBorders>
      </w:tblPr>
      <w:tblGrid>
        <w:gridCol w:w="100"/>
        <w:gridCol w:w="100"/>
        <w:gridCol w:w="100"/>
        <w:gridCol w:w="100"/>
        <w:gridCol w:w="100"/>
      </w:tblGrid>
      <w:tr>
        <w:trPr>
          <w:tblHeader/>
        </w:trPr>
        <w:tc>
          <w:tcPr>
            <w:tcW w:type="dxa" w:w="450"/>
            <w:shd w:fill="1F4E4E" w:color="auto" w:val="clear"/>
            <w:tcMar>
              <w:top w:type="dxa" w:w="100"/>
              <w:left w:type="dxa" w:w="140"/>
              <w:bottom w:type="dxa" w:w="100"/>
              <w:right w:type="dxa" w:w="140"/>
            </w:tcMar>
            <w:vAlign w:val="center"/>
          </w:tcPr>
          <w:p>
            <w:pPr>
              <w:jc w:val="center"/>
            </w:pPr>
            <w:r>
              <w:rPr>
                <w:rFonts w:ascii="Courier New" w:cs="Courier New" w:eastAsia="Courier New" w:hAnsi="Courier New"/>
                <w:b/>
                <w:bCs/>
                <w:i w:val="false"/>
                <w:iCs w:val="false"/>
                <w:color w:val="FFFFFF"/>
                <w:sz w:val="16"/>
                <w:szCs w:val="16"/>
              </w:rPr>
              <w:t xml:space="preserve">#</w:t>
            </w:r>
          </w:p>
        </w:tc>
        <w:tc>
          <w:tcPr>
            <w:tcW w:type="dxa" w:w="21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6"/>
                <w:szCs w:val="16"/>
              </w:rPr>
              <w:t xml:space="preserve">FINDING</w:t>
            </w:r>
          </w:p>
        </w:tc>
        <w:tc>
          <w:tcPr>
            <w:tcW w:type="dxa" w:w="26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6"/>
                <w:szCs w:val="16"/>
              </w:rPr>
              <w:t xml:space="preserve">EVIDENCE / OBSERVATION</w:t>
            </w:r>
          </w:p>
        </w:tc>
        <w:tc>
          <w:tcPr>
            <w:tcW w:type="dxa" w:w="2600"/>
            <w:shd w:fill="1F4E4E" w:color="auto" w:val="clear"/>
            <w:tcMar>
              <w:top w:type="dxa" w:w="100"/>
              <w:left w:type="dxa" w:w="140"/>
              <w:bottom w:type="dxa" w:w="100"/>
              <w:right w:type="dxa" w:w="140"/>
            </w:tcMar>
            <w:vAlign w:val="center"/>
          </w:tcPr>
          <w:p>
            <w:pPr>
              <w:jc w:val="left"/>
            </w:pPr>
            <w:r>
              <w:rPr>
                <w:rFonts w:ascii="Courier New" w:cs="Courier New" w:eastAsia="Courier New" w:hAnsi="Courier New"/>
                <w:b/>
                <w:bCs/>
                <w:i w:val="false"/>
                <w:iCs w:val="false"/>
                <w:color w:val="FFFFFF"/>
                <w:sz w:val="16"/>
                <w:szCs w:val="16"/>
              </w:rPr>
              <w:t xml:space="preserve">POTENTIAL IMPACT</w:t>
            </w:r>
          </w:p>
        </w:tc>
        <w:tc>
          <w:tcPr>
            <w:tcW w:type="dxa" w:w="1600"/>
            <w:shd w:fill="1F4E4E" w:color="auto" w:val="clear"/>
            <w:tcMar>
              <w:top w:type="dxa" w:w="100"/>
              <w:left w:type="dxa" w:w="140"/>
              <w:bottom w:type="dxa" w:w="100"/>
              <w:right w:type="dxa" w:w="140"/>
            </w:tcMar>
            <w:vAlign w:val="center"/>
          </w:tcPr>
          <w:p>
            <w:pPr>
              <w:jc w:val="center"/>
            </w:pPr>
            <w:r>
              <w:rPr>
                <w:rFonts w:ascii="Courier New" w:cs="Courier New" w:eastAsia="Courier New" w:hAnsi="Courier New"/>
                <w:b/>
                <w:bCs/>
                <w:i w:val="false"/>
                <w:iCs w:val="false"/>
                <w:color w:val="FFFFFF"/>
                <w:sz w:val="16"/>
                <w:szCs w:val="16"/>
              </w:rPr>
              <w:t xml:space="preserve">RISK</w:t>
            </w:r>
          </w:p>
        </w:tc>
      </w:tr>
      <w:tr>
        <w:trPr>
          <w:cantSplit/>
        </w:trPr>
        <w:tc>
          <w:tcPr>
            <w:tcW w:type="dxa" w:w="450"/>
            <w:shd w:fill="FAF4E8" w:color="auto" w:val="clear"/>
            <w:tcMar>
              <w:top w:type="dxa" w:w="100"/>
              <w:left w:type="dxa" w:w="140"/>
              <w:bottom w:type="dxa" w:w="100"/>
              <w:right w:type="dxa" w:w="140"/>
            </w:tcMar>
            <w:vAlign w:val="center"/>
          </w:tcPr>
          <w:p>
            <w:pPr>
              <w:jc w:val="center"/>
            </w:pPr>
            <w:r>
              <w:rPr>
                <w:rFonts w:ascii="Georgia" w:cs="Georgia" w:eastAsia="Georgia" w:hAnsi="Georgia"/>
                <w:b/>
                <w:bCs/>
                <w:i w:val="false"/>
                <w:iCs w:val="false"/>
                <w:color w:val="153636"/>
                <w:sz w:val="20"/>
                <w:szCs w:val="20"/>
              </w:rPr>
              <w:t xml:space="preserve">1</w:t>
            </w:r>
          </w:p>
        </w:tc>
        <w:tc>
          <w:tcPr>
            <w:tcW w:type="dxa" w:w="210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Finding title ]</w:t>
            </w:r>
          </w:p>
        </w:tc>
        <w:tc>
          <w:tcPr>
            <w:tcW w:type="dxa" w:w="260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What was observed ]</w:t>
            </w:r>
          </w:p>
        </w:tc>
        <w:tc>
          <w:tcPr>
            <w:tcW w:type="dxa" w:w="260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Why it matters ]</w:t>
            </w:r>
          </w:p>
        </w:tc>
        <w:tc>
          <w:tcPr>
            <w:tcW w:type="dxa" w:w="1600"/>
            <w:shd w:fill="FAF4E8" w:color="auto" w:val="clear"/>
            <w:tcMar>
              <w:top w:type="dxa" w:w="100"/>
              <w:left w:type="dxa" w:w="140"/>
              <w:bottom w:type="dxa" w:w="100"/>
              <w:right w:type="dxa" w:w="140"/>
            </w:tcMar>
            <w:vAlign w:val="center"/>
          </w:tcPr>
          <w:p>
            <w:pPr>
              <w:jc w:val="center"/>
            </w:pPr>
            <w:r>
              <w:rPr>
                <w:rFonts w:ascii="Georgia" w:cs="Georgia" w:eastAsia="Georgia" w:hAnsi="Georgia"/>
                <w:b w:val="false"/>
                <w:bCs w:val="false"/>
                <w:i/>
                <w:iCs/>
                <w:color w:val="2B211A"/>
                <w:sz w:val="20"/>
                <w:szCs w:val="20"/>
              </w:rPr>
              <w:t xml:space="preserve">[ Crit/High/Med/Low ]</w:t>
            </w:r>
          </w:p>
        </w:tc>
      </w:tr>
      <w:tr>
        <w:trPr>
          <w:cantSplit/>
        </w:trPr>
        <w:tc>
          <w:tcPr>
            <w:tcW w:type="dxa" w:w="450"/>
            <w:shd w:fill="FFFFFF" w:color="auto" w:val="clear"/>
            <w:tcMar>
              <w:top w:type="dxa" w:w="100"/>
              <w:left w:type="dxa" w:w="140"/>
              <w:bottom w:type="dxa" w:w="100"/>
              <w:right w:type="dxa" w:w="140"/>
            </w:tcMar>
            <w:vAlign w:val="center"/>
          </w:tcPr>
          <w:p>
            <w:pPr>
              <w:jc w:val="center"/>
            </w:pPr>
            <w:r>
              <w:rPr>
                <w:rFonts w:ascii="Georgia" w:cs="Georgia" w:eastAsia="Georgia" w:hAnsi="Georgia"/>
                <w:b/>
                <w:bCs/>
                <w:i w:val="false"/>
                <w:iCs w:val="false"/>
                <w:color w:val="153636"/>
                <w:sz w:val="20"/>
                <w:szCs w:val="20"/>
              </w:rPr>
              <w:t xml:space="preserve">2</w:t>
            </w:r>
          </w:p>
        </w:tc>
        <w:tc>
          <w:tcPr>
            <w:tcW w:type="dxa" w:w="2100"/>
            <w:shd w:fill="FFFFFF"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Finding title ]</w:t>
            </w:r>
          </w:p>
        </w:tc>
        <w:tc>
          <w:tcPr>
            <w:tcW w:type="dxa" w:w="2600"/>
            <w:shd w:fill="FFFFFF"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What was observed ]</w:t>
            </w:r>
          </w:p>
        </w:tc>
        <w:tc>
          <w:tcPr>
            <w:tcW w:type="dxa" w:w="2600"/>
            <w:shd w:fill="FFFFFF"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Why it matters ]</w:t>
            </w:r>
          </w:p>
        </w:tc>
        <w:tc>
          <w:tcPr>
            <w:tcW w:type="dxa" w:w="1600"/>
            <w:shd w:fill="FFFFFF" w:color="auto" w:val="clear"/>
            <w:tcMar>
              <w:top w:type="dxa" w:w="100"/>
              <w:left w:type="dxa" w:w="140"/>
              <w:bottom w:type="dxa" w:w="100"/>
              <w:right w:type="dxa" w:w="140"/>
            </w:tcMar>
            <w:vAlign w:val="center"/>
          </w:tcPr>
          <w:p>
            <w:pPr>
              <w:jc w:val="center"/>
            </w:pPr>
            <w:r>
              <w:rPr>
                <w:rFonts w:ascii="Georgia" w:cs="Georgia" w:eastAsia="Georgia" w:hAnsi="Georgia"/>
                <w:b w:val="false"/>
                <w:bCs w:val="false"/>
                <w:i/>
                <w:iCs/>
                <w:color w:val="2B211A"/>
                <w:sz w:val="20"/>
                <w:szCs w:val="20"/>
              </w:rPr>
              <w:t xml:space="preserve">[ Crit/High/Med/Low ]</w:t>
            </w:r>
          </w:p>
        </w:tc>
      </w:tr>
      <w:tr>
        <w:trPr>
          <w:cantSplit/>
        </w:trPr>
        <w:tc>
          <w:tcPr>
            <w:tcW w:type="dxa" w:w="450"/>
            <w:shd w:fill="FAF4E8" w:color="auto" w:val="clear"/>
            <w:tcMar>
              <w:top w:type="dxa" w:w="100"/>
              <w:left w:type="dxa" w:w="140"/>
              <w:bottom w:type="dxa" w:w="100"/>
              <w:right w:type="dxa" w:w="140"/>
            </w:tcMar>
            <w:vAlign w:val="center"/>
          </w:tcPr>
          <w:p>
            <w:pPr>
              <w:jc w:val="center"/>
            </w:pPr>
            <w:r>
              <w:rPr>
                <w:rFonts w:ascii="Georgia" w:cs="Georgia" w:eastAsia="Georgia" w:hAnsi="Georgia"/>
                <w:b/>
                <w:bCs/>
                <w:i w:val="false"/>
                <w:iCs w:val="false"/>
                <w:color w:val="153636"/>
                <w:sz w:val="20"/>
                <w:szCs w:val="20"/>
              </w:rPr>
              <w:t xml:space="preserve">3</w:t>
            </w:r>
          </w:p>
        </w:tc>
        <w:tc>
          <w:tcPr>
            <w:tcW w:type="dxa" w:w="210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Finding title ]</w:t>
            </w:r>
          </w:p>
        </w:tc>
        <w:tc>
          <w:tcPr>
            <w:tcW w:type="dxa" w:w="260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What was observed ]</w:t>
            </w:r>
          </w:p>
        </w:tc>
        <w:tc>
          <w:tcPr>
            <w:tcW w:type="dxa" w:w="2600"/>
            <w:shd w:fill="FAF4E8"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Why it matters ]</w:t>
            </w:r>
          </w:p>
        </w:tc>
        <w:tc>
          <w:tcPr>
            <w:tcW w:type="dxa" w:w="1600"/>
            <w:shd w:fill="FAF4E8" w:color="auto" w:val="clear"/>
            <w:tcMar>
              <w:top w:type="dxa" w:w="100"/>
              <w:left w:type="dxa" w:w="140"/>
              <w:bottom w:type="dxa" w:w="100"/>
              <w:right w:type="dxa" w:w="140"/>
            </w:tcMar>
            <w:vAlign w:val="center"/>
          </w:tcPr>
          <w:p>
            <w:pPr>
              <w:jc w:val="center"/>
            </w:pPr>
            <w:r>
              <w:rPr>
                <w:rFonts w:ascii="Georgia" w:cs="Georgia" w:eastAsia="Georgia" w:hAnsi="Georgia"/>
                <w:b w:val="false"/>
                <w:bCs w:val="false"/>
                <w:i/>
                <w:iCs/>
                <w:color w:val="2B211A"/>
                <w:sz w:val="20"/>
                <w:szCs w:val="20"/>
              </w:rPr>
              <w:t xml:space="preserve">[ Crit/High/Med/Low ]</w:t>
            </w:r>
          </w:p>
        </w:tc>
      </w:tr>
      <w:tr>
        <w:trPr>
          <w:cantSplit/>
        </w:trPr>
        <w:tc>
          <w:tcPr>
            <w:tcW w:type="dxa" w:w="450"/>
            <w:shd w:fill="FFFFFF" w:color="auto" w:val="clear"/>
            <w:tcMar>
              <w:top w:type="dxa" w:w="100"/>
              <w:left w:type="dxa" w:w="140"/>
              <w:bottom w:type="dxa" w:w="100"/>
              <w:right w:type="dxa" w:w="140"/>
            </w:tcMar>
            <w:vAlign w:val="center"/>
          </w:tcPr>
          <w:p>
            <w:pPr>
              <w:jc w:val="center"/>
            </w:pPr>
            <w:r>
              <w:rPr>
                <w:rFonts w:ascii="Georgia" w:cs="Georgia" w:eastAsia="Georgia" w:hAnsi="Georgia"/>
                <w:b/>
                <w:bCs/>
                <w:i w:val="false"/>
                <w:iCs w:val="false"/>
                <w:color w:val="153636"/>
                <w:sz w:val="20"/>
                <w:szCs w:val="20"/>
              </w:rPr>
              <w:t xml:space="preserve">4</w:t>
            </w:r>
          </w:p>
        </w:tc>
        <w:tc>
          <w:tcPr>
            <w:tcW w:type="dxa" w:w="2100"/>
            <w:shd w:fill="FFFFFF"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Finding title ]</w:t>
            </w:r>
          </w:p>
        </w:tc>
        <w:tc>
          <w:tcPr>
            <w:tcW w:type="dxa" w:w="2600"/>
            <w:shd w:fill="FFFFFF"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What was observed ]</w:t>
            </w:r>
          </w:p>
        </w:tc>
        <w:tc>
          <w:tcPr>
            <w:tcW w:type="dxa" w:w="2600"/>
            <w:shd w:fill="FFFFFF" w:color="auto" w:val="clear"/>
            <w:tcMar>
              <w:top w:type="dxa" w:w="100"/>
              <w:left w:type="dxa" w:w="140"/>
              <w:bottom w:type="dxa" w:w="100"/>
              <w:right w:type="dxa" w:w="140"/>
            </w:tcMar>
            <w:vAlign w:val="center"/>
          </w:tcPr>
          <w:p>
            <w:pPr>
              <w:jc w:val="left"/>
            </w:pPr>
            <w:r>
              <w:rPr>
                <w:rFonts w:ascii="Georgia" w:cs="Georgia" w:eastAsia="Georgia" w:hAnsi="Georgia"/>
                <w:b w:val="false"/>
                <w:bCs w:val="false"/>
                <w:i/>
                <w:iCs/>
                <w:color w:val="2B211A"/>
                <w:sz w:val="20"/>
                <w:szCs w:val="20"/>
              </w:rPr>
              <w:t xml:space="preserve">[ Why it matters ]</w:t>
            </w:r>
          </w:p>
        </w:tc>
        <w:tc>
          <w:tcPr>
            <w:tcW w:type="dxa" w:w="1600"/>
            <w:shd w:fill="FFFFFF" w:color="auto" w:val="clear"/>
            <w:tcMar>
              <w:top w:type="dxa" w:w="100"/>
              <w:left w:type="dxa" w:w="140"/>
              <w:bottom w:type="dxa" w:w="100"/>
              <w:right w:type="dxa" w:w="140"/>
            </w:tcMar>
            <w:vAlign w:val="center"/>
          </w:tcPr>
          <w:p>
            <w:pPr>
              <w:jc w:val="center"/>
            </w:pPr>
            <w:r>
              <w:rPr>
                <w:rFonts w:ascii="Georgia" w:cs="Georgia" w:eastAsia="Georgia" w:hAnsi="Georgia"/>
                <w:b w:val="false"/>
                <w:bCs w:val="false"/>
                <w:i/>
                <w:iCs/>
                <w:color w:val="2B211A"/>
                <w:sz w:val="20"/>
                <w:szCs w:val="20"/>
              </w:rPr>
              <w:t xml:space="preserve">[ Crit/High/Med/Low ]</w:t>
            </w:r>
          </w:p>
        </w:tc>
      </w:tr>
    </w:tbl>
    <w:p>
      <w:pPr>
        <w:spacing w:after="160" w:line="300"/>
      </w:pPr>
      <w:r>
        <w:rPr>
          <w:rFonts w:ascii="Georgia" w:cs="Georgia" w:eastAsia="Georgia" w:hAnsi="Georgia"/>
          <w:i/>
          <w:iCs/>
          <w:color w:val="2B211A"/>
          <w:sz w:val="22"/>
          <w:szCs w:val="22"/>
        </w:rPr>
        <w:t xml:space="preserve">Risk level key: ● Critical   ● High   ● Medium   ● Low</w:t>
      </w:r>
    </w:p>
    <w:p>
      <w:pPr>
        <w:spacing w:after="160" w:line="300"/>
      </w:pPr>
      <w:r>
        <w:rPr>
          <w:rFonts w:ascii="Georgia" w:cs="Georgia" w:eastAsia="Georgia" w:hAnsi="Georgia"/>
          <w:i/>
          <w:iCs/>
          <w:color w:val="2B211A"/>
          <w:sz w:val="22"/>
          <w:szCs w:val="22"/>
        </w:rPr>
        <w:t xml:space="preserve">These findings are observations from reconnaissance and mapping activities, not confirmed exploitable vulnerabilities. No exploitation or vulnerability validation was performed as part of this engagement unless explicitly stated above. Further authorized testing would be required to confirm actual exploitability.</w:t>
      </w:r>
    </w:p>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07 ]  </w:t>
      </w:r>
      <w:r>
        <w:rPr>
          <w:rFonts w:ascii="Courier New" w:cs="Courier New" w:eastAsia="Courier New" w:hAnsi="Courier New"/>
          <w:b/>
          <w:bCs/>
          <w:color w:val="FFFFFF"/>
          <w:sz w:val="20"/>
          <w:szCs w:val="20"/>
        </w:rPr>
        <w:t xml:space="preserve">RECOMMENDATIONS</w:t>
      </w:r>
    </w:p>
    <w:p>
      <w:pPr>
        <w:pStyle w:val="ListParagraph"/>
        <w:numPr>
          <w:ilvl w:val="0"/>
          <w:numId w:val="3"/>
        </w:numPr>
        <w:spacing w:after="160" w:line="300"/>
      </w:pPr>
      <w:r>
        <w:rPr>
          <w:rFonts w:ascii="Georgia" w:cs="Georgia" w:eastAsia="Georgia" w:hAnsi="Georgia"/>
          <w:b/>
          <w:bCs/>
          <w:color w:val="153636"/>
          <w:sz w:val="22"/>
          <w:szCs w:val="22"/>
        </w:rPr>
        <w:t xml:space="preserve">Review the public OSINT footprint — </w:t>
      </w:r>
      <w:r>
        <w:rPr>
          <w:rFonts w:ascii="Georgia" w:cs="Georgia" w:eastAsia="Georgia" w:hAnsi="Georgia"/>
          <w:i/>
          <w:iCs/>
          <w:color w:val="2B211A"/>
          <w:sz w:val="22"/>
          <w:szCs w:val="22"/>
        </w:rPr>
        <w:t xml:space="preserve">[ Recommendation detail — e.g. periodically audit what Maltego / public sources reveal about the organization ]</w:t>
      </w:r>
    </w:p>
    <w:p>
      <w:pPr>
        <w:pStyle w:val="ListParagraph"/>
        <w:numPr>
          <w:ilvl w:val="0"/>
          <w:numId w:val="3"/>
        </w:numPr>
        <w:spacing w:after="160" w:line="300"/>
      </w:pPr>
      <w:r>
        <w:rPr>
          <w:rFonts w:ascii="Georgia" w:cs="Georgia" w:eastAsia="Georgia" w:hAnsi="Georgia"/>
          <w:b/>
          <w:bCs/>
          <w:color w:val="153636"/>
          <w:sz w:val="22"/>
          <w:szCs w:val="22"/>
        </w:rPr>
        <w:t xml:space="preserve">Reduce infrastructure exposure — </w:t>
      </w:r>
      <w:r>
        <w:rPr>
          <w:rFonts w:ascii="Georgia" w:cs="Georgia" w:eastAsia="Georgia" w:hAnsi="Georgia"/>
          <w:i/>
          <w:iCs/>
          <w:color w:val="2B211A"/>
          <w:sz w:val="22"/>
          <w:szCs w:val="22"/>
        </w:rPr>
        <w:t xml:space="preserve">[ Recommendation detail ]</w:t>
      </w:r>
    </w:p>
    <w:p>
      <w:pPr>
        <w:pStyle w:val="ListParagraph"/>
        <w:numPr>
          <w:ilvl w:val="0"/>
          <w:numId w:val="3"/>
        </w:numPr>
        <w:spacing w:after="160" w:line="300"/>
      </w:pPr>
      <w:r>
        <w:rPr>
          <w:rFonts w:ascii="Georgia" w:cs="Georgia" w:eastAsia="Georgia" w:hAnsi="Georgia"/>
          <w:b/>
          <w:bCs/>
          <w:color w:val="153636"/>
          <w:sz w:val="22"/>
          <w:szCs w:val="22"/>
        </w:rPr>
        <w:t xml:space="preserve">Harden discovered services — </w:t>
      </w:r>
      <w:r>
        <w:rPr>
          <w:rFonts w:ascii="Georgia" w:cs="Georgia" w:eastAsia="Georgia" w:hAnsi="Georgia"/>
          <w:i/>
          <w:iCs/>
          <w:color w:val="2B211A"/>
          <w:sz w:val="22"/>
          <w:szCs w:val="22"/>
        </w:rPr>
        <w:t xml:space="preserve">[ Recommendation detail — based on ports/services found via Zenmap ]</w:t>
      </w:r>
    </w:p>
    <w:p>
      <w:pPr>
        <w:pStyle w:val="ListParagraph"/>
        <w:numPr>
          <w:ilvl w:val="0"/>
          <w:numId w:val="3"/>
        </w:numPr>
        <w:spacing w:after="160" w:line="300"/>
      </w:pPr>
      <w:r>
        <w:rPr>
          <w:rFonts w:ascii="Georgia" w:cs="Georgia" w:eastAsia="Georgia" w:hAnsi="Georgia"/>
          <w:b/>
          <w:bCs/>
          <w:color w:val="153636"/>
          <w:sz w:val="22"/>
          <w:szCs w:val="22"/>
        </w:rPr>
        <w:t xml:space="preserve">Monitor for unauthorized hosts — </w:t>
      </w:r>
      <w:r>
        <w:rPr>
          <w:rFonts w:ascii="Georgia" w:cs="Georgia" w:eastAsia="Georgia" w:hAnsi="Georgia"/>
          <w:i/>
          <w:iCs/>
          <w:color w:val="2B211A"/>
          <w:sz w:val="22"/>
          <w:szCs w:val="22"/>
        </w:rPr>
        <w:t xml:space="preserve">[ Recommendation detail ]</w:t>
      </w:r>
    </w:p>
    <w:p>
      <w:pPr>
        <w:pStyle w:val="ListParagraph"/>
        <w:numPr>
          <w:ilvl w:val="0"/>
          <w:numId w:val="3"/>
        </w:numPr>
        <w:spacing w:after="160" w:line="300"/>
      </w:pPr>
      <w:r>
        <w:rPr>
          <w:rFonts w:ascii="Georgia" w:cs="Georgia" w:eastAsia="Georgia" w:hAnsi="Georgia"/>
          <w:b/>
          <w:bCs/>
          <w:color w:val="153636"/>
          <w:sz w:val="22"/>
          <w:szCs w:val="22"/>
        </w:rPr>
        <w:t xml:space="preserve">Maintain network documentation — </w:t>
      </w:r>
      <w:r>
        <w:rPr>
          <w:rFonts w:ascii="Georgia" w:cs="Georgia" w:eastAsia="Georgia" w:hAnsi="Georgia"/>
          <w:i/>
          <w:iCs/>
          <w:color w:val="2B211A"/>
          <w:sz w:val="22"/>
          <w:szCs w:val="22"/>
        </w:rPr>
        <w:t xml:space="preserve">[ Recommendation detail ]</w:t>
      </w:r>
    </w:p>
    <w:p>
      <w:pPr>
        <w:pStyle w:val="ListParagraph"/>
        <w:numPr>
          <w:ilvl w:val="0"/>
          <w:numId w:val="3"/>
        </w:numPr>
        <w:spacing w:after="160" w:line="300"/>
      </w:pPr>
      <w:r>
        <w:rPr>
          <w:rFonts w:ascii="Georgia" w:cs="Georgia" w:eastAsia="Georgia" w:hAnsi="Georgia"/>
          <w:b/>
          <w:bCs/>
          <w:color w:val="153636"/>
          <w:sz w:val="22"/>
          <w:szCs w:val="22"/>
        </w:rPr>
        <w:t xml:space="preserve">Perform recurring authorized testing — </w:t>
      </w:r>
      <w:r>
        <w:rPr>
          <w:rFonts w:ascii="Georgia" w:cs="Georgia" w:eastAsia="Georgia" w:hAnsi="Georgia"/>
          <w:i/>
          <w:iCs/>
          <w:color w:val="2B211A"/>
          <w:sz w:val="22"/>
          <w:szCs w:val="22"/>
        </w:rPr>
        <w:t xml:space="preserve">[ Recommendation detail ]</w:t>
      </w:r>
    </w:p>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08 ]  </w:t>
      </w:r>
      <w:r>
        <w:rPr>
          <w:rFonts w:ascii="Courier New" w:cs="Courier New" w:eastAsia="Courier New" w:hAnsi="Courier New"/>
          <w:b/>
          <w:bCs/>
          <w:color w:val="FFFFFF"/>
          <w:sz w:val="20"/>
          <w:szCs w:val="20"/>
        </w:rPr>
        <w:t xml:space="preserve">CONCLUSION</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Summarize what was performed, the overall security posture observed, and the key takeaway from combining OSINT reconnaissance with active network mapping ]</w:t>
      </w:r>
    </w:p>
    <w:p>
      <w:pPr>
        <w:pBdr>
          <w:top w:val="dashed" w:color="8A6D3B" w:sz="4"/>
          <w:bottom w:val="dashed" w:color="8A6D3B" w:sz="4"/>
          <w:left w:val="dashed" w:color="8A6D3B" w:sz="4"/>
          <w:right w:val="dashed" w:color="8A6D3B" w:sz="4"/>
        </w:pBdr>
        <w:shd w:fill="FAF4E8" w:color="auto" w:val="clear"/>
        <w:spacing w:after="160" w:line="300"/>
        <w:ind w:left="100" w:right="100"/>
      </w:pPr>
      <w:r>
        <w:rPr>
          <w:rFonts w:ascii="Georgia" w:cs="Georgia" w:eastAsia="Georgia" w:hAnsi="Georgia"/>
          <w:i/>
          <w:iCs/>
          <w:color w:val="6B5B3A"/>
          <w:sz w:val="21"/>
          <w:szCs w:val="21"/>
        </w:rPr>
        <w:t xml:space="preserve">[ Reaffirm that all activity was performed within the authorized scope granted by networkwalks.com ]</w:t>
      </w:r>
    </w:p>
    <w:p>
      <w:pPr>
        <w:pStyle w:val="Heading1"/>
        <w:pBdr>
          <w:left w:val="single" w:color="D9A404" w:sz="36"/>
        </w:pBdr>
        <w:shd w:fill="1F4E4E" w:color="auto" w:val="clear"/>
        <w:spacing w:after="40" w:before="480"/>
      </w:pPr>
      <w:r>
        <w:rPr>
          <w:rFonts w:ascii="Courier New" w:cs="Courier New" w:eastAsia="Courier New" w:hAnsi="Courier New"/>
          <w:b/>
          <w:bCs/>
          <w:color w:val="D9A404"/>
          <w:sz w:val="20"/>
          <w:szCs w:val="20"/>
        </w:rPr>
        <w:t xml:space="preserve">  [ SECTION 09 ]  </w:t>
      </w:r>
      <w:r>
        <w:rPr>
          <w:rFonts w:ascii="Courier New" w:cs="Courier New" w:eastAsia="Courier New" w:hAnsi="Courier New"/>
          <w:b/>
          <w:bCs/>
          <w:color w:val="FFFFFF"/>
          <w:sz w:val="20"/>
          <w:szCs w:val="20"/>
        </w:rPr>
        <w:t xml:space="preserve">EVIDENCE &amp; APPENDIX</w:t>
      </w:r>
    </w:p>
    <w:tbl>
      <w:tblPr>
        <w:tblW w:type="dxa" w:w="9350"/>
        <w:tblBorders>
          <w:top w:val="dashed" w:color="1F4E4E" w:sz="8"/>
          <w:left w:val="dashed" w:color="1F4E4E" w:sz="8"/>
          <w:bottom w:val="dashed" w:color="1F4E4E" w:sz="8"/>
          <w:right w:val="dashed" w:color="1F4E4E" w:sz="8"/>
          <w:insideH w:val="dashed" w:color="1F4E4E" w:sz="8"/>
          <w:insideV w:val="dashed" w:color="1F4E4E" w:sz="8"/>
        </w:tblBorders>
      </w:tblPr>
      <w:tblGrid>
        <w:gridCol w:w="100"/>
      </w:tblGrid>
      <w:tr>
        <w:tc>
          <w:tcPr>
            <w:tcW w:type="dxa" w:w="9350"/>
            <w:shd w:fill="FFFFFF" w:color="auto" w:val="clear"/>
            <w:tcMar>
              <w:top w:type="dxa" w:w="220"/>
              <w:left w:type="dxa" w:w="200"/>
              <w:bottom w:type="dxa" w:w="220"/>
              <w:right w:type="dxa" w:w="200"/>
            </w:tcMar>
          </w:tcPr>
          <w:p>
            <w:pPr>
              <w:jc w:val="center"/>
            </w:pPr>
            <w:r>
              <w:rPr>
                <w:rFonts w:ascii="Courier New" w:cs="Courier New" w:eastAsia="Courier New" w:hAnsi="Courier New"/>
                <w:b/>
                <w:bCs/>
                <w:color w:val="153636"/>
                <w:sz w:val="20"/>
                <w:szCs w:val="20"/>
              </w:rPr>
              <w:t xml:space="preserve">📷   [ Insert screenshot — Maltego — domain/infrastructure graph ]</w:t>
            </w:r>
          </w:p>
        </w:tc>
      </w:tr>
      <w:tr>
        <w:tc>
          <w:tcPr>
            <w:tcW w:type="dxa" w:w="9350"/>
            <w:shd w:fill="FAF4E8" w:color="auto" w:val="clear"/>
            <w:tcMar>
              <w:top w:type="dxa" w:w="220"/>
              <w:left w:type="dxa" w:w="200"/>
              <w:bottom w:type="dxa" w:w="220"/>
              <w:right w:type="dxa" w:w="200"/>
            </w:tcMar>
          </w:tcPr>
          <w:p>
            <w:pPr>
              <w:jc w:val="center"/>
            </w:pPr>
            <w:r>
              <w:rPr>
                <w:rFonts w:ascii="Courier New" w:cs="Courier New" w:eastAsia="Courier New" w:hAnsi="Courier New"/>
                <w:b/>
                <w:bCs/>
                <w:color w:val="153636"/>
                <w:sz w:val="20"/>
                <w:szCs w:val="20"/>
              </w:rPr>
              <w:t xml:space="preserve">📷   [ Insert screenshot — Maltego — entity/persona graph ]</w:t>
            </w:r>
          </w:p>
        </w:tc>
      </w:tr>
      <w:tr>
        <w:tc>
          <w:tcPr>
            <w:tcW w:type="dxa" w:w="9350"/>
            <w:shd w:fill="FFFFFF" w:color="auto" w:val="clear"/>
            <w:tcMar>
              <w:top w:type="dxa" w:w="220"/>
              <w:left w:type="dxa" w:w="200"/>
              <w:bottom w:type="dxa" w:w="220"/>
              <w:right w:type="dxa" w:w="200"/>
            </w:tcMar>
          </w:tcPr>
          <w:p>
            <w:pPr>
              <w:jc w:val="center"/>
            </w:pPr>
            <w:r>
              <w:rPr>
                <w:rFonts w:ascii="Courier New" w:cs="Courier New" w:eastAsia="Courier New" w:hAnsi="Courier New"/>
                <w:b/>
                <w:bCs/>
                <w:color w:val="153636"/>
                <w:sz w:val="20"/>
                <w:szCs w:val="20"/>
              </w:rPr>
              <w:t xml:space="preserve">📷   [ Insert screenshot — Zenmap — host discovery scan ]</w:t>
            </w:r>
          </w:p>
        </w:tc>
      </w:tr>
      <w:tr>
        <w:tc>
          <w:tcPr>
            <w:tcW w:type="dxa" w:w="9350"/>
            <w:shd w:fill="FAF4E8" w:color="auto" w:val="clear"/>
            <w:tcMar>
              <w:top w:type="dxa" w:w="220"/>
              <w:left w:type="dxa" w:w="200"/>
              <w:bottom w:type="dxa" w:w="220"/>
              <w:right w:type="dxa" w:w="200"/>
            </w:tcMar>
          </w:tcPr>
          <w:p>
            <w:pPr>
              <w:jc w:val="center"/>
            </w:pPr>
            <w:r>
              <w:rPr>
                <w:rFonts w:ascii="Courier New" w:cs="Courier New" w:eastAsia="Courier New" w:hAnsi="Courier New"/>
                <w:b/>
                <w:bCs/>
                <w:color w:val="153636"/>
                <w:sz w:val="20"/>
                <w:szCs w:val="20"/>
              </w:rPr>
              <w:t xml:space="preserve">📷   [ Insert screenshot — Zenmap — network topology export ]</w:t>
            </w:r>
          </w:p>
        </w:tc>
      </w:tr>
      <w:tr>
        <w:tc>
          <w:tcPr>
            <w:tcW w:type="dxa" w:w="9350"/>
            <w:shd w:fill="FFFFFF" w:color="auto" w:val="clear"/>
            <w:tcMar>
              <w:top w:type="dxa" w:w="220"/>
              <w:left w:type="dxa" w:w="200"/>
              <w:bottom w:type="dxa" w:w="220"/>
              <w:right w:type="dxa" w:w="200"/>
            </w:tcMar>
          </w:tcPr>
          <w:p>
            <w:pPr>
              <w:jc w:val="center"/>
            </w:pPr>
            <w:r>
              <w:rPr>
                <w:rFonts w:ascii="Courier New" w:cs="Courier New" w:eastAsia="Courier New" w:hAnsi="Courier New"/>
                <w:b/>
                <w:bCs/>
                <w:color w:val="153636"/>
                <w:sz w:val="20"/>
                <w:szCs w:val="20"/>
              </w:rPr>
              <w:t xml:space="preserve">📷   [ Insert screenshot — Additional evidence ]</w:t>
            </w:r>
          </w:p>
        </w:tc>
      </w:tr>
    </w:tbl>
    <w:p>
      <w:pPr>
        <w:pBdr>
          <w:bottom w:val="single" w:color="C1440E" w:sz="16"/>
        </w:pBdr>
        <w:spacing w:after="240" w:before="60"/>
      </w:pPr>
    </w:p>
    <w:p>
      <w:pPr>
        <w:spacing w:after="60"/>
      </w:pPr>
      <w:r>
        <w:rPr>
          <w:rFonts w:ascii="Courier New" w:cs="Courier New" w:eastAsia="Courier New" w:hAnsi="Courier New"/>
          <w:b/>
          <w:bCs/>
          <w:color w:val="153636"/>
          <w:sz w:val="22"/>
          <w:szCs w:val="22"/>
        </w:rPr>
        <w:t xml:space="preserve">👤  AUTHOR</w:t>
      </w:r>
    </w:p>
    <w:p>
      <w:pPr>
        <w:spacing w:after="160" w:line="300"/>
      </w:pPr>
      <w:r>
        <w:rPr>
          <w:rFonts w:ascii="Georgia" w:cs="Georgia" w:eastAsia="Georgia" w:hAnsi="Georgia"/>
          <w:i w:val="false"/>
          <w:iCs w:val="false"/>
          <w:color w:val="2B211A"/>
          <w:sz w:val="22"/>
          <w:szCs w:val="22"/>
        </w:rPr>
        <w:t xml:space="preserve">[ Your Full Name ]  —  [ Your Title / Certification ]</w:t>
      </w:r>
    </w:p>
    <w:p>
      <w:pPr>
        <w:spacing w:after="160" w:line="300"/>
      </w:pPr>
      <w:r>
        <w:rPr>
          <w:rFonts w:ascii="Georgia" w:cs="Georgia" w:eastAsia="Georgia" w:hAnsi="Georgia"/>
          <w:i w:val="false"/>
          <w:iCs w:val="false"/>
          <w:color w:val="2B211A"/>
          <w:sz w:val="22"/>
          <w:szCs w:val="22"/>
        </w:rPr>
        <w:t xml:space="preserve">LinkedIn: [ your LinkedIn URL ]</w:t>
      </w:r>
    </w:p>
    <w:p>
      <w:pPr>
        <w:spacing w:after="60" w:before="200"/>
      </w:pPr>
      <w:r>
        <w:rPr>
          <w:rFonts w:ascii="Courier New" w:cs="Courier New" w:eastAsia="Courier New" w:hAnsi="Courier New"/>
          <w:b/>
          <w:bCs/>
          <w:color w:val="153636"/>
          <w:sz w:val="22"/>
          <w:szCs w:val="22"/>
        </w:rPr>
        <w:t xml:space="preserve">📌  PROJECT INFORMATION</w:t>
      </w:r>
    </w:p>
    <w:p>
      <w:pPr>
        <w:spacing w:after="160" w:line="300"/>
      </w:pPr>
      <w:r>
        <w:rPr>
          <w:rFonts w:ascii="Georgia" w:cs="Georgia" w:eastAsia="Georgia" w:hAnsi="Georgia"/>
          <w:i w:val="false"/>
          <w:iCs w:val="false"/>
          <w:color w:val="2B211A"/>
          <w:sz w:val="22"/>
          <w:szCs w:val="22"/>
        </w:rPr>
        <w:t xml:space="preserve">Program: [ Program / Engagement Name ]  |  Week / Phase: [ # ]  |  Repository: [ link, if applicable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A404" w:sz="8"/>
      </w:pBdr>
      <w:jc w:val="center"/>
    </w:pPr>
    <w:r>
      <w:rPr>
        <w:rFonts w:ascii="Courier New" w:cs="Courier New" w:eastAsia="Courier New" w:hAnsi="Courier New"/>
        <w:color w:val="153636"/>
        <w:sz w:val="14"/>
        <w:szCs w:val="14"/>
      </w:rPr>
      <w:t xml:space="preserve">— PAGE </w:t>
    </w:r>
    <w:r>
      <w:rPr>
        <w:rFonts w:ascii="Courier New" w:cs="Courier New" w:eastAsia="Courier New" w:hAnsi="Courier New"/>
        <w:color w:val="153636"/>
        <w:sz w:val="14"/>
        <w:szCs w:val="14"/>
      </w:rPr>
      <w:fldChar w:fldCharType="begin"/>
      <w:instrText xml:space="preserve">PAGE</w:instrText>
      <w:fldChar w:fldCharType="separate"/>
      <w:fldChar w:fldCharType="end"/>
    </w:r>
    <w:r>
      <w:rPr>
        <w:rFonts w:ascii="Courier New" w:cs="Courier New" w:eastAsia="Courier New" w:hAnsi="Courier New"/>
        <w:color w:val="153636"/>
        <w:sz w:val="14"/>
        <w:szCs w:val="14"/>
      </w:rPr>
      <w:t xml:space="preserve"> OF </w:t>
    </w:r>
    <w:r>
      <w:rPr>
        <w:rFonts w:ascii="Courier New" w:cs="Courier New" w:eastAsia="Courier New" w:hAnsi="Courier New"/>
        <w:color w:val="153636"/>
        <w:sz w:val="14"/>
        <w:szCs w:val="14"/>
      </w:rPr>
      <w:fldChar w:fldCharType="begin"/>
      <w:instrText xml:space="preserve">NUMPAGES</w:instrText>
      <w:fldChar w:fldCharType="separate"/>
      <w:fldChar w:fldCharType="end"/>
    </w:r>
    <w:r>
      <w:rPr>
        <w:rFonts w:ascii="Courier New" w:cs="Courier New" w:eastAsia="Courier New" w:hAnsi="Courier New"/>
        <w:color w:val="153636"/>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A404" w:sz="8"/>
      </w:pBdr>
      <w:tabs>
        <w:tab w:val="right" w:pos="9026"/>
      </w:tabs>
    </w:pPr>
    <w:r>
      <w:rPr>
        <w:rFonts w:ascii="Courier New" w:cs="Courier New" w:eastAsia="Courier New" w:hAnsi="Courier New"/>
        <w:color w:val="153636"/>
        <w:sz w:val="14"/>
        <w:szCs w:val="14"/>
      </w:rPr>
      <w:t xml:space="preserve">RECON &amp; MAPPING REPORT — TEMPLATE</w:t>
    </w:r>
    <w:r>
      <w:rPr>
        <w:rFonts w:ascii="Courier New" w:cs="Courier New" w:eastAsia="Courier New" w:hAnsi="Courier New"/>
        <w:color w:val="C1440E"/>
        <w:sz w:val="14"/>
        <w:szCs w:val="14"/>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Courier New" w:cs="Courier New" w:eastAsia="Courier New" w:hAnsi="Courier New"/>
        <w:color w:val="C1440E"/>
      </w:rPr>
    </w:lvl>
  </w:abstractNum>
  <w:abstractNum w:abstractNumId="3" w15:restartNumberingAfterBreak="0">
    <w:multiLevelType w:val="hybridMultilevel"/>
    <w:lvl w:ilvl="0" w15:tentative="1">
      <w:start w:val="1"/>
      <w:numFmt w:val="decimal"/>
      <w:lvlText w:val="%1."/>
      <w:lvlJc w:val="left"/>
      <w:pPr>
        <w:ind w:left="560" w:hanging="320"/>
      </w:pPr>
      <w:rPr>
        <w:rFonts w:ascii="Courier New" w:cs="Courier New" w:eastAsia="Courier New" w:hAnsi="Courier New"/>
        <w:b/>
        <w:bCs/>
        <w:color w:val="15363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1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2026-09-16T12:01:56.654Z</dcterms:created>
  <dcterms:modified xsi:type="dcterms:W3CDTF">2026-09-16T12:01:56.654Z</dcterms:modified>
</cp:coreProperties>
</file>

<file path=docProps/custom.xml><?xml version="1.0" encoding="utf-8"?>
<Properties xmlns="http://schemas.openxmlformats.org/officeDocument/2006/custom-properties" xmlns:vt="http://schemas.openxmlformats.org/officeDocument/2006/docPropsVTypes"/>
</file>