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AEF01" w14:textId="1457D780" w:rsidR="001E6044" w:rsidRPr="001E6044" w:rsidRDefault="001E6044" w:rsidP="001E6044">
      <w:pPr>
        <w:spacing w:before="100" w:beforeAutospacing="1" w:after="100" w:afterAutospacing="1" w:line="240" w:lineRule="auto"/>
        <w:outlineLvl w:val="2"/>
        <w:rPr>
          <w:rStyle w:val="Strong"/>
          <w:rFonts w:ascii="Times New Roman" w:eastAsia="Times New Roman" w:hAnsi="Times New Roman" w:cs="Times New Roman"/>
          <w:kern w:val="0"/>
          <w:sz w:val="27"/>
          <w:szCs w:val="27"/>
          <w14:ligatures w14:val="none"/>
        </w:rPr>
      </w:pPr>
      <w:r w:rsidRPr="001E6044">
        <w:rPr>
          <w:rFonts w:ascii="Times New Roman" w:eastAsia="Times New Roman" w:hAnsi="Times New Roman" w:cs="Times New Roman"/>
          <w:b/>
          <w:bCs/>
          <w:kern w:val="0"/>
          <w:sz w:val="27"/>
          <w:szCs w:val="27"/>
          <w14:ligatures w14:val="none"/>
        </w:rPr>
        <w:t>Quantifying the Procedural Impact and Learning Curve of Affera Pulsed-Field Ablation in AF Ablation</w:t>
      </w:r>
    </w:p>
    <w:p w14:paraId="6750E1A4" w14:textId="3F7B7171" w:rsidR="001E6044" w:rsidRDefault="001E6044" w:rsidP="001E6044">
      <w:pPr>
        <w:pStyle w:val="NormalWeb"/>
      </w:pPr>
      <w:r>
        <w:rPr>
          <w:rStyle w:val="Strong"/>
          <w:rFonts w:eastAsiaTheme="majorEastAsia"/>
        </w:rPr>
        <w:t>Background:</w:t>
      </w:r>
      <w:r>
        <w:t xml:space="preserve"> The Affera pulsed-field ablation (PFA) system has </w:t>
      </w:r>
      <w:r w:rsidR="009E2FC1">
        <w:t xml:space="preserve">recently been introduced </w:t>
      </w:r>
      <w:r>
        <w:t>for atrial fibrillation (AF) ablation, but its impact on procedur</w:t>
      </w:r>
      <w:r w:rsidR="009E2FC1">
        <w:t xml:space="preserve">al efficiency </w:t>
      </w:r>
      <w:r>
        <w:t>and operator learning</w:t>
      </w:r>
      <w:r w:rsidR="009E2FC1">
        <w:t xml:space="preserve"> curve have not been reported</w:t>
      </w:r>
      <w:r>
        <w:t>.</w:t>
      </w:r>
    </w:p>
    <w:p w14:paraId="24ED5042" w14:textId="3F7EEE31" w:rsidR="001E6044" w:rsidRDefault="001E6044" w:rsidP="001E6044">
      <w:pPr>
        <w:pStyle w:val="NormalWeb"/>
      </w:pPr>
      <w:r>
        <w:rPr>
          <w:rStyle w:val="Strong"/>
          <w:rFonts w:eastAsiaTheme="majorEastAsia"/>
        </w:rPr>
        <w:t>Objective:</w:t>
      </w:r>
      <w:r>
        <w:t xml:space="preserve"> To quantify the independent effect of Affera </w:t>
      </w:r>
      <w:r w:rsidR="001620FB">
        <w:t xml:space="preserve">use </w:t>
      </w:r>
      <w:r>
        <w:t xml:space="preserve">on AF ablation </w:t>
      </w:r>
      <w:r w:rsidR="001620FB">
        <w:t>procedure duration</w:t>
      </w:r>
      <w:r>
        <w:t>, and to measure operator-specific learning after Affera adoption.</w:t>
      </w:r>
    </w:p>
    <w:p w14:paraId="3F2CBB3C" w14:textId="64D3FA10" w:rsidR="001E6044" w:rsidRDefault="001E6044" w:rsidP="001E6044">
      <w:pPr>
        <w:pStyle w:val="NormalWeb"/>
      </w:pPr>
      <w:r>
        <w:rPr>
          <w:rStyle w:val="Strong"/>
          <w:rFonts w:eastAsiaTheme="majorEastAsia"/>
        </w:rPr>
        <w:t>Methods:</w:t>
      </w:r>
      <w:r>
        <w:t xml:space="preserve"> We conducted a retrospective observational analysis of AF ablations performed by 11 operators at a single center. Eligible operators had ≥15 pre-Affera and ≥15 Affera cases. </w:t>
      </w:r>
      <w:r w:rsidR="00CC2004">
        <w:t>Procedure durations of all Affera AF ablations were compared to all non-PFA AF ablations during a 180-day pre-Affera baseline period and after Affera adoption (to capture secular efficiency trends).</w:t>
      </w:r>
      <w:r>
        <w:t xml:space="preserve"> A linear mixed-effects model of procedure duration included fixed effects for Affera use, procedural complexity (PVI </w:t>
      </w:r>
      <w:r w:rsidR="003A4397">
        <w:t>+/- additional ablation (“</w:t>
      </w:r>
      <w:r>
        <w:t>PVI</w:t>
      </w:r>
      <w:r w:rsidR="003A4397">
        <w:t>+”)</w:t>
      </w:r>
      <w:r>
        <w:t>), calendar time, an Affera-by-complexity interaction, and a centered Affera case index to capture learning, with operator-level random intercepts.</w:t>
      </w:r>
    </w:p>
    <w:p w14:paraId="3217BCAC" w14:textId="4CAF369B" w:rsidR="001E6044" w:rsidRDefault="001E6044" w:rsidP="001E6044">
      <w:pPr>
        <w:pStyle w:val="NormalWeb"/>
      </w:pPr>
      <w:r>
        <w:rPr>
          <w:rStyle w:val="Strong"/>
          <w:rFonts w:eastAsiaTheme="majorEastAsia"/>
        </w:rPr>
        <w:t>Results:</w:t>
      </w:r>
      <w:r>
        <w:t xml:space="preserve"> A total of 1,752 AF ablations met criteria (513 baseline non-PFA, 1,014 Affera, 225 post-Affera non-PFA). Of these, 617 were PVI-only and 1,135 were PVI+. After adjustment, Affera use was associated with an 11.5% reduction in PVI procedure duration compared with non-PFA PVI-only (95% CI 5.5–17.2%; p=0.00027). Affera produced an additional 6.2% reduction in PVI+ cases (95% CI 0.1–12.0%; p=0.0475), corresponding to an overall 17.7% reduction for complex procedures. </w:t>
      </w:r>
      <w:r w:rsidR="00104BEC">
        <w:t>Additional ablation (PVI+)</w:t>
      </w:r>
      <w:r>
        <w:t xml:space="preserve"> increased duration by 32.4% (p&lt;0.001). The Affera learning curve was statistically significant but modest, with a 0.11% reduction in duration per Affera case (p=0.002), totaling ~2% across an operator’s first 20 cases. After accounting for Affera adoption and learning, the secular time trend was near zero. The combined effect of Affera across all AF ablations, weighted by case mix, was a 15.0% reduction (95% CI 8.2–21.3%).</w:t>
      </w:r>
    </w:p>
    <w:p w14:paraId="53ADDE16" w14:textId="643B2B2A" w:rsidR="001E6044" w:rsidRDefault="001E6044" w:rsidP="001E6044">
      <w:pPr>
        <w:pStyle w:val="NormalWeb"/>
      </w:pPr>
      <w:r>
        <w:rPr>
          <w:rStyle w:val="Strong"/>
          <w:rFonts w:eastAsiaTheme="majorEastAsia"/>
        </w:rPr>
        <w:t>Conclusion:</w:t>
      </w:r>
      <w:r>
        <w:t xml:space="preserve"> Affera PFA is associated with substantial reductions in AF ablation duration</w:t>
      </w:r>
      <w:r w:rsidR="000C7AEC">
        <w:t xml:space="preserve"> </w:t>
      </w:r>
      <w:r>
        <w:t xml:space="preserve">with only a small additional learning effect after adoption. These results support meaningful procedural efficiency gains with Affera across </w:t>
      </w:r>
      <w:r w:rsidR="001F18B0">
        <w:t xml:space="preserve">a wide range of operators and </w:t>
      </w:r>
      <w:r>
        <w:t>the full range of AF ablation complexity.</w:t>
      </w:r>
    </w:p>
    <w:p w14:paraId="198CBA44" w14:textId="77777777" w:rsidR="00735D63" w:rsidRDefault="00735D63"/>
    <w:p w14:paraId="07124759" w14:textId="77777777" w:rsidR="00957508" w:rsidRDefault="00957508">
      <w:pPr>
        <w:rPr>
          <w:rFonts w:ascii="Times New Roman" w:eastAsia="Times New Roman" w:hAnsi="Times New Roman" w:cs="Times New Roman"/>
          <w:kern w:val="0"/>
          <w14:ligatures w14:val="none"/>
        </w:rPr>
      </w:pPr>
      <w:r>
        <w:br w:type="page"/>
      </w:r>
    </w:p>
    <w:p w14:paraId="02F7519D" w14:textId="77777777" w:rsidR="00957508" w:rsidRDefault="00957508" w:rsidP="004C2A9A">
      <w:pPr>
        <w:pStyle w:val="NormalWeb"/>
      </w:pPr>
      <w:r>
        <w:lastRenderedPageBreak/>
        <w:t>NOTES</w:t>
      </w:r>
    </w:p>
    <w:p w14:paraId="6EBE30CD" w14:textId="14FE8314" w:rsidR="004C2A9A" w:rsidRDefault="004C2A9A" w:rsidP="004C2A9A">
      <w:pPr>
        <w:pStyle w:val="NormalWeb"/>
      </w:pPr>
      <w:r>
        <w:t>Post-Affera non-PFA cases shifted substantially toward operators with increasing shares (Gaeta, Jae Lee, Sandesara, Kumar, Hollis), while operators with decreasing shares (especially Rashid and Fein) made up a much smaller proportion. This redistribution strongly supports operator-selection as the reason post-Affera RF cases are faster, rather than a true secular time trend.</w:t>
      </w:r>
    </w:p>
    <w:p w14:paraId="25FD6EFF" w14:textId="77777777" w:rsidR="00ED7CEC" w:rsidRPr="00ED7CEC" w:rsidRDefault="00ED7CEC" w:rsidP="00ED7CEC">
      <w:pPr>
        <w:shd w:val="clear" w:color="auto" w:fill="FFFFFF"/>
        <w:spacing w:after="0" w:line="240" w:lineRule="auto"/>
        <w:textAlignment w:val="baseline"/>
        <w:rPr>
          <w:rFonts w:ascii="Aptos" w:eastAsia="Times New Roman" w:hAnsi="Aptos" w:cs="Times New Roman"/>
          <w:color w:val="000000"/>
          <w:kern w:val="0"/>
          <w:sz w:val="23"/>
          <w:szCs w:val="23"/>
          <w14:ligatures w14:val="none"/>
        </w:rPr>
      </w:pPr>
      <w:r w:rsidRPr="00ED7CEC">
        <w:rPr>
          <w:rFonts w:ascii="Aptos" w:eastAsia="Times New Roman" w:hAnsi="Aptos" w:cs="Times New Roman"/>
          <w:color w:val="000000"/>
          <w:kern w:val="0"/>
          <w:bdr w:val="none" w:sz="0" w:space="0" w:color="auto" w:frame="1"/>
          <w14:ligatures w14:val="none"/>
        </w:rPr>
        <w:t xml:space="preserve">Great question that I think </w:t>
      </w:r>
      <w:proofErr w:type="spellStart"/>
      <w:r w:rsidRPr="00ED7CEC">
        <w:rPr>
          <w:rFonts w:ascii="Aptos" w:eastAsia="Times New Roman" w:hAnsi="Aptos" w:cs="Times New Roman"/>
          <w:color w:val="000000"/>
          <w:kern w:val="0"/>
          <w:bdr w:val="none" w:sz="0" w:space="0" w:color="auto" w:frame="1"/>
          <w14:ligatures w14:val="none"/>
        </w:rPr>
        <w:t>i</w:t>
      </w:r>
      <w:proofErr w:type="spellEnd"/>
      <w:r w:rsidRPr="00ED7CEC">
        <w:rPr>
          <w:rFonts w:ascii="Aptos" w:eastAsia="Times New Roman" w:hAnsi="Aptos" w:cs="Times New Roman"/>
          <w:color w:val="000000"/>
          <w:kern w:val="0"/>
          <w:bdr w:val="none" w:sz="0" w:space="0" w:color="auto" w:frame="1"/>
          <w14:ligatures w14:val="none"/>
        </w:rPr>
        <w:t xml:space="preserve"> got to the bottom of. The punchline is that the case </w:t>
      </w:r>
      <w:proofErr w:type="gramStart"/>
      <w:r w:rsidRPr="00ED7CEC">
        <w:rPr>
          <w:rFonts w:ascii="Aptos" w:eastAsia="Times New Roman" w:hAnsi="Aptos" w:cs="Times New Roman"/>
          <w:color w:val="000000"/>
          <w:kern w:val="0"/>
          <w:bdr w:val="none" w:sz="0" w:space="0" w:color="auto" w:frame="1"/>
          <w14:ligatures w14:val="none"/>
        </w:rPr>
        <w:t>mix</w:t>
      </w:r>
      <w:proofErr w:type="gramEnd"/>
      <w:r w:rsidRPr="00ED7CEC">
        <w:rPr>
          <w:rFonts w:ascii="Aptos" w:eastAsia="Times New Roman" w:hAnsi="Aptos" w:cs="Times New Roman"/>
          <w:color w:val="000000"/>
          <w:kern w:val="0"/>
          <w:bdr w:val="none" w:sz="0" w:space="0" w:color="auto" w:frame="1"/>
          <w14:ligatures w14:val="none"/>
        </w:rPr>
        <w:t xml:space="preserve"> for non-PFA ablations </w:t>
      </w:r>
      <w:proofErr w:type="spellStart"/>
      <w:r w:rsidRPr="00ED7CEC">
        <w:rPr>
          <w:rFonts w:ascii="Aptos" w:eastAsia="Times New Roman" w:hAnsi="Aptos" w:cs="Times New Roman"/>
          <w:color w:val="000000"/>
          <w:kern w:val="0"/>
          <w:bdr w:val="none" w:sz="0" w:space="0" w:color="auto" w:frame="1"/>
          <w14:ligatures w14:val="none"/>
        </w:rPr>
        <w:t>didnt</w:t>
      </w:r>
      <w:proofErr w:type="spellEnd"/>
      <w:r w:rsidRPr="00ED7CEC">
        <w:rPr>
          <w:rFonts w:ascii="Aptos" w:eastAsia="Times New Roman" w:hAnsi="Aptos" w:cs="Times New Roman"/>
          <w:color w:val="000000"/>
          <w:kern w:val="0"/>
          <w:bdr w:val="none" w:sz="0" w:space="0" w:color="auto" w:frame="1"/>
          <w14:ligatures w14:val="none"/>
        </w:rPr>
        <w:t xml:space="preserve"> change pre- and post-Affera... what changed is the operators still doing them (faster operators).  Prepare yourself for a data dump--</w:t>
      </w:r>
    </w:p>
    <w:p w14:paraId="0697E4B0" w14:textId="77777777" w:rsidR="00ED7CEC" w:rsidRPr="00ED7CEC" w:rsidRDefault="00ED7CEC" w:rsidP="00ED7CEC">
      <w:pPr>
        <w:shd w:val="clear" w:color="auto" w:fill="FFFFFF"/>
        <w:spacing w:after="0" w:line="240" w:lineRule="auto"/>
        <w:textAlignment w:val="baseline"/>
        <w:rPr>
          <w:rFonts w:ascii="Aptos" w:eastAsia="Times New Roman" w:hAnsi="Aptos" w:cs="Times New Roman"/>
          <w:color w:val="000000"/>
          <w:kern w:val="0"/>
          <w:sz w:val="23"/>
          <w:szCs w:val="23"/>
          <w14:ligatures w14:val="none"/>
        </w:rPr>
      </w:pPr>
      <w:r w:rsidRPr="00ED7CEC">
        <w:rPr>
          <w:rFonts w:ascii="Aptos" w:eastAsia="Times New Roman" w:hAnsi="Aptos" w:cs="Times New Roman"/>
          <w:b/>
          <w:bCs/>
          <w:color w:val="000000"/>
          <w:kern w:val="0"/>
          <w:bdr w:val="none" w:sz="0" w:space="0" w:color="auto" w:frame="1"/>
          <w14:ligatures w14:val="none"/>
        </w:rPr>
        <w:br/>
      </w:r>
    </w:p>
    <w:p w14:paraId="0C2CE252" w14:textId="77777777" w:rsidR="00ED7CEC" w:rsidRPr="00ED7CEC" w:rsidRDefault="00ED7CEC" w:rsidP="00ED7CEC">
      <w:pPr>
        <w:shd w:val="clear" w:color="auto" w:fill="FFFFFF"/>
        <w:spacing w:after="0" w:line="240" w:lineRule="auto"/>
        <w:textAlignment w:val="baseline"/>
        <w:rPr>
          <w:rFonts w:ascii="Aptos" w:eastAsia="Times New Roman" w:hAnsi="Aptos" w:cs="Times New Roman"/>
          <w:color w:val="000000"/>
          <w:kern w:val="0"/>
          <w:sz w:val="23"/>
          <w:szCs w:val="23"/>
          <w14:ligatures w14:val="none"/>
        </w:rPr>
      </w:pPr>
      <w:r w:rsidRPr="00ED7CEC">
        <w:rPr>
          <w:rFonts w:ascii="Aptos" w:eastAsia="Times New Roman" w:hAnsi="Aptos" w:cs="Times New Roman"/>
          <w:b/>
          <w:bCs/>
          <w:color w:val="000000"/>
          <w:kern w:val="0"/>
          <w:bdr w:val="none" w:sz="0" w:space="0" w:color="auto" w:frame="1"/>
          <w14:ligatures w14:val="none"/>
        </w:rPr>
        <w:t>1. Case-mix differences (pre- vs post-Affera non-PFA)</w:t>
      </w:r>
    </w:p>
    <w:p w14:paraId="30F327FA" w14:textId="77777777" w:rsidR="00ED7CEC" w:rsidRPr="00ED7CEC" w:rsidRDefault="00ED7CEC" w:rsidP="00ED7CEC">
      <w:pPr>
        <w:numPr>
          <w:ilvl w:val="0"/>
          <w:numId w:val="1"/>
        </w:numPr>
        <w:shd w:val="clear" w:color="auto" w:fill="FFFFFF"/>
        <w:spacing w:beforeAutospacing="1" w:after="0" w:afterAutospacing="1" w:line="240" w:lineRule="auto"/>
        <w:textAlignment w:val="baseline"/>
        <w:rPr>
          <w:rFonts w:ascii="Aptos" w:eastAsia="Times New Roman" w:hAnsi="Aptos" w:cs="Segoe UI"/>
          <w:color w:val="000000"/>
          <w:kern w:val="0"/>
          <w14:ligatures w14:val="none"/>
        </w:rPr>
      </w:pPr>
      <w:r w:rsidRPr="00ED7CEC">
        <w:rPr>
          <w:rFonts w:ascii="Aptos" w:eastAsia="Times New Roman" w:hAnsi="Aptos" w:cs="Segoe UI"/>
          <w:color w:val="000000"/>
          <w:kern w:val="0"/>
          <w:bdr w:val="none" w:sz="0" w:space="0" w:color="auto" w:frame="1"/>
          <w14:ligatures w14:val="none"/>
        </w:rPr>
        <w:t>Pre-Affera non-PFA:</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PVI: 35.1% / PVI+: 64.9%</w:t>
      </w:r>
    </w:p>
    <w:p w14:paraId="7B516088" w14:textId="77777777" w:rsidR="00ED7CEC" w:rsidRPr="00ED7CEC" w:rsidRDefault="00ED7CEC" w:rsidP="00ED7CEC">
      <w:pPr>
        <w:numPr>
          <w:ilvl w:val="0"/>
          <w:numId w:val="1"/>
        </w:numPr>
        <w:shd w:val="clear" w:color="auto" w:fill="FFFFFF"/>
        <w:spacing w:beforeAutospacing="1" w:after="0" w:afterAutospacing="1" w:line="240" w:lineRule="auto"/>
        <w:textAlignment w:val="baseline"/>
        <w:rPr>
          <w:rFonts w:ascii="Aptos" w:eastAsia="Times New Roman" w:hAnsi="Aptos" w:cs="Segoe UI"/>
          <w:color w:val="000000"/>
          <w:kern w:val="0"/>
          <w14:ligatures w14:val="none"/>
        </w:rPr>
      </w:pPr>
      <w:r w:rsidRPr="00ED7CEC">
        <w:rPr>
          <w:rFonts w:ascii="Aptos" w:eastAsia="Times New Roman" w:hAnsi="Aptos" w:cs="Segoe UI"/>
          <w:color w:val="000000"/>
          <w:kern w:val="0"/>
          <w:bdr w:val="none" w:sz="0" w:space="0" w:color="auto" w:frame="1"/>
          <w14:ligatures w14:val="none"/>
        </w:rPr>
        <w:t>Post-Affera non-PFA:</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PVI: 33.8% / PVI+: 66.2%</w:t>
      </w:r>
    </w:p>
    <w:p w14:paraId="7BF142E1" w14:textId="77777777" w:rsidR="00ED7CEC" w:rsidRPr="00ED7CEC" w:rsidRDefault="00ED7CEC" w:rsidP="00ED7CEC">
      <w:pPr>
        <w:shd w:val="clear" w:color="auto" w:fill="FFFFFF"/>
        <w:spacing w:after="0" w:line="240" w:lineRule="auto"/>
        <w:textAlignment w:val="baseline"/>
        <w:rPr>
          <w:rFonts w:ascii="Aptos" w:eastAsia="Times New Roman" w:hAnsi="Aptos" w:cs="Times New Roman"/>
          <w:color w:val="000000"/>
          <w:kern w:val="0"/>
          <w:sz w:val="23"/>
          <w:szCs w:val="23"/>
          <w14:ligatures w14:val="none"/>
        </w:rPr>
      </w:pPr>
      <w:r w:rsidRPr="00ED7CEC">
        <w:rPr>
          <w:rFonts w:ascii="Aptos" w:eastAsia="Times New Roman" w:hAnsi="Aptos" w:cs="Times New Roman"/>
          <w:b/>
          <w:bCs/>
          <w:color w:val="000000"/>
          <w:kern w:val="0"/>
          <w:bdr w:val="none" w:sz="0" w:space="0" w:color="auto" w:frame="1"/>
          <w14:ligatures w14:val="none"/>
        </w:rPr>
        <w:br/>
      </w:r>
    </w:p>
    <w:p w14:paraId="719FAD24" w14:textId="77777777" w:rsidR="00ED7CEC" w:rsidRPr="00ED7CEC" w:rsidRDefault="00ED7CEC" w:rsidP="00ED7CEC">
      <w:pPr>
        <w:shd w:val="clear" w:color="auto" w:fill="FFFFFF"/>
        <w:spacing w:after="0" w:line="240" w:lineRule="auto"/>
        <w:textAlignment w:val="baseline"/>
        <w:rPr>
          <w:rFonts w:ascii="Aptos" w:eastAsia="Times New Roman" w:hAnsi="Aptos" w:cs="Times New Roman"/>
          <w:color w:val="000000"/>
          <w:kern w:val="0"/>
          <w:sz w:val="23"/>
          <w:szCs w:val="23"/>
          <w14:ligatures w14:val="none"/>
        </w:rPr>
      </w:pPr>
      <w:r w:rsidRPr="00ED7CEC">
        <w:rPr>
          <w:rFonts w:ascii="Aptos" w:eastAsia="Times New Roman" w:hAnsi="Aptos" w:cs="Times New Roman"/>
          <w:b/>
          <w:bCs/>
          <w:color w:val="000000"/>
          <w:kern w:val="0"/>
          <w:bdr w:val="none" w:sz="0" w:space="0" w:color="auto" w:frame="1"/>
          <w14:ligatures w14:val="none"/>
        </w:rPr>
        <w:t>2. Within each category, non-PFA procedures got faster from pre- to post-Affera</w:t>
      </w:r>
    </w:p>
    <w:p w14:paraId="15C24494" w14:textId="77777777" w:rsidR="00ED7CEC" w:rsidRPr="00ED7CEC" w:rsidRDefault="00ED7CEC" w:rsidP="00ED7CEC">
      <w:pPr>
        <w:numPr>
          <w:ilvl w:val="0"/>
          <w:numId w:val="2"/>
        </w:numPr>
        <w:shd w:val="clear" w:color="auto" w:fill="FFFFFF"/>
        <w:spacing w:after="0" w:line="240" w:lineRule="auto"/>
        <w:textAlignment w:val="baseline"/>
        <w:rPr>
          <w:rFonts w:ascii="Aptos" w:eastAsia="Times New Roman" w:hAnsi="Aptos" w:cs="Segoe UI"/>
          <w:color w:val="000000"/>
          <w:kern w:val="0"/>
          <w14:ligatures w14:val="none"/>
        </w:rPr>
      </w:pPr>
      <w:r w:rsidRPr="00ED7CEC">
        <w:rPr>
          <w:rFonts w:ascii="Aptos" w:eastAsia="Times New Roman" w:hAnsi="Aptos" w:cs="Segoe UI"/>
          <w:color w:val="000000"/>
          <w:kern w:val="0"/>
          <w:bdr w:val="none" w:sz="0" w:space="0" w:color="auto" w:frame="1"/>
          <w14:ligatures w14:val="none"/>
        </w:rPr>
        <w:t>PVI-only:</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84.5 → 71.9 min (–12.6 min, ~–15%)</w:t>
      </w:r>
    </w:p>
    <w:p w14:paraId="58CD970A" w14:textId="77777777" w:rsidR="00ED7CEC" w:rsidRPr="00ED7CEC" w:rsidRDefault="00ED7CEC" w:rsidP="00ED7CEC">
      <w:pPr>
        <w:numPr>
          <w:ilvl w:val="0"/>
          <w:numId w:val="2"/>
        </w:numPr>
        <w:shd w:val="clear" w:color="auto" w:fill="FFFFFF"/>
        <w:spacing w:after="0" w:line="240" w:lineRule="auto"/>
        <w:textAlignment w:val="baseline"/>
        <w:rPr>
          <w:rFonts w:ascii="Aptos" w:eastAsia="Times New Roman" w:hAnsi="Aptos" w:cs="Segoe UI"/>
          <w:color w:val="000000"/>
          <w:kern w:val="0"/>
          <w14:ligatures w14:val="none"/>
        </w:rPr>
      </w:pPr>
      <w:r w:rsidRPr="00ED7CEC">
        <w:rPr>
          <w:rFonts w:ascii="Aptos" w:eastAsia="Times New Roman" w:hAnsi="Aptos" w:cs="Segoe UI"/>
          <w:color w:val="000000"/>
          <w:kern w:val="0"/>
          <w:bdr w:val="none" w:sz="0" w:space="0" w:color="auto" w:frame="1"/>
          <w14:ligatures w14:val="none"/>
        </w:rPr>
        <w:t>PVI+:</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 </w:t>
      </w:r>
      <w:r w:rsidRPr="00ED7CEC">
        <w:rPr>
          <w:rFonts w:ascii="Aptos" w:eastAsia="Times New Roman" w:hAnsi="Aptos" w:cs="Segoe UI"/>
          <w:color w:val="000000"/>
          <w:kern w:val="0"/>
          <w:bdr w:val="none" w:sz="0" w:space="0" w:color="auto" w:frame="1"/>
          <w14:ligatures w14:val="none"/>
        </w:rPr>
        <w:t>104.5 → 95.3 min (–9.2 min, ~–9%)</w:t>
      </w:r>
    </w:p>
    <w:p w14:paraId="62283A17" w14:textId="77777777" w:rsidR="00ED7CEC" w:rsidRPr="00ED7CEC" w:rsidRDefault="00ED7CEC" w:rsidP="00ED7CEC">
      <w:pPr>
        <w:shd w:val="clear" w:color="auto" w:fill="FFFFFF"/>
        <w:spacing w:after="0" w:line="240" w:lineRule="auto"/>
        <w:textAlignment w:val="baseline"/>
        <w:rPr>
          <w:rFonts w:ascii="Aptos" w:eastAsia="Times New Roman" w:hAnsi="Aptos" w:cs="Times New Roman"/>
          <w:color w:val="000000"/>
          <w:kern w:val="0"/>
          <w:sz w:val="23"/>
          <w:szCs w:val="23"/>
          <w14:ligatures w14:val="none"/>
        </w:rPr>
      </w:pPr>
      <w:r w:rsidRPr="00ED7CEC">
        <w:rPr>
          <w:rFonts w:ascii="Aptos" w:eastAsia="Times New Roman" w:hAnsi="Aptos" w:cs="Times New Roman"/>
          <w:b/>
          <w:bCs/>
          <w:color w:val="000000"/>
          <w:kern w:val="0"/>
          <w:bdr w:val="none" w:sz="0" w:space="0" w:color="auto" w:frame="1"/>
          <w14:ligatures w14:val="none"/>
        </w:rPr>
        <w:t>3. Operator distribution differences</w:t>
      </w:r>
    </w:p>
    <w:p w14:paraId="3C496DEE" w14:textId="77777777" w:rsidR="00ED7CEC" w:rsidRPr="00ED7CEC" w:rsidRDefault="00ED7CEC" w:rsidP="00ED7CEC">
      <w:pPr>
        <w:shd w:val="clear" w:color="auto" w:fill="FFFFFF"/>
        <w:spacing w:after="0" w:line="240" w:lineRule="auto"/>
        <w:textAlignment w:val="baseline"/>
        <w:rPr>
          <w:rFonts w:ascii="Aptos" w:eastAsia="Times New Roman" w:hAnsi="Aptos" w:cs="Times New Roman"/>
          <w:color w:val="000000"/>
          <w:kern w:val="0"/>
          <w:sz w:val="23"/>
          <w:szCs w:val="23"/>
          <w14:ligatures w14:val="none"/>
        </w:rPr>
      </w:pPr>
      <w:r w:rsidRPr="00ED7CEC">
        <w:rPr>
          <w:rFonts w:ascii="Aptos" w:eastAsia="Times New Roman" w:hAnsi="Aptos" w:cs="Times New Roman"/>
          <w:b/>
          <w:bCs/>
          <w:color w:val="000000"/>
          <w:kern w:val="0"/>
          <w:bdr w:val="none" w:sz="0" w:space="0" w:color="auto" w:frame="1"/>
          <w14:ligatures w14:val="none"/>
        </w:rPr>
        <w:br/>
      </w:r>
    </w:p>
    <w:tbl>
      <w:tblPr>
        <w:tblW w:w="6741" w:type="dxa"/>
        <w:shd w:val="clear" w:color="auto" w:fill="FFFFFF"/>
        <w:tblCellMar>
          <w:left w:w="0" w:type="dxa"/>
          <w:right w:w="0" w:type="dxa"/>
        </w:tblCellMar>
        <w:tblLook w:val="04A0" w:firstRow="1" w:lastRow="0" w:firstColumn="1" w:lastColumn="0" w:noHBand="0" w:noVBand="1"/>
      </w:tblPr>
      <w:tblGrid>
        <w:gridCol w:w="1483"/>
        <w:gridCol w:w="2196"/>
        <w:gridCol w:w="2332"/>
        <w:gridCol w:w="730"/>
      </w:tblGrid>
      <w:tr w:rsidR="00ED7CEC" w:rsidRPr="00ED7CEC" w14:paraId="2A53C3A6" w14:textId="77777777">
        <w:trPr>
          <w:trHeight w:val="272"/>
        </w:trPr>
        <w:tc>
          <w:tcPr>
            <w:tcW w:w="0" w:type="auto"/>
            <w:tcBorders>
              <w:bottom w:val="single" w:sz="8" w:space="0" w:color="auto"/>
            </w:tcBorders>
            <w:shd w:val="clear" w:color="auto" w:fill="FFFFFF"/>
            <w:tcMar>
              <w:top w:w="0" w:type="dxa"/>
              <w:left w:w="108" w:type="dxa"/>
              <w:bottom w:w="0" w:type="dxa"/>
              <w:right w:w="108" w:type="dxa"/>
            </w:tcMar>
            <w:hideMark/>
          </w:tcPr>
          <w:p w14:paraId="680B1AAD" w14:textId="77777777" w:rsidR="00ED7CEC" w:rsidRPr="00ED7CEC" w:rsidRDefault="00ED7CEC" w:rsidP="00ED7CEC">
            <w:pPr>
              <w:spacing w:after="0" w:line="240" w:lineRule="auto"/>
              <w:jc w:val="right"/>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b/>
                <w:bCs/>
                <w:color w:val="000000"/>
                <w:kern w:val="0"/>
                <w:bdr w:val="none" w:sz="0" w:space="0" w:color="auto" w:frame="1"/>
                <w14:ligatures w14:val="none"/>
              </w:rPr>
              <w:t>Operator</w:t>
            </w:r>
          </w:p>
        </w:tc>
        <w:tc>
          <w:tcPr>
            <w:tcW w:w="0" w:type="auto"/>
            <w:tcBorders>
              <w:bottom w:val="single" w:sz="8" w:space="0" w:color="auto"/>
            </w:tcBorders>
            <w:shd w:val="clear" w:color="auto" w:fill="FFFFFF"/>
            <w:tcMar>
              <w:top w:w="0" w:type="dxa"/>
              <w:left w:w="108" w:type="dxa"/>
              <w:bottom w:w="0" w:type="dxa"/>
              <w:right w:w="108" w:type="dxa"/>
            </w:tcMar>
            <w:hideMark/>
          </w:tcPr>
          <w:p w14:paraId="0D0B492D"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b/>
                <w:bCs/>
                <w:color w:val="000000"/>
                <w:kern w:val="0"/>
                <w:bdr w:val="none" w:sz="0" w:space="0" w:color="auto" w:frame="1"/>
                <w14:ligatures w14:val="none"/>
              </w:rPr>
              <w:t>Pre-Affera Share</w:t>
            </w:r>
          </w:p>
        </w:tc>
        <w:tc>
          <w:tcPr>
            <w:tcW w:w="0" w:type="auto"/>
            <w:tcBorders>
              <w:bottom w:val="single" w:sz="8" w:space="0" w:color="auto"/>
            </w:tcBorders>
            <w:shd w:val="clear" w:color="auto" w:fill="FFFFFF"/>
            <w:tcMar>
              <w:top w:w="0" w:type="dxa"/>
              <w:left w:w="108" w:type="dxa"/>
              <w:bottom w:w="0" w:type="dxa"/>
              <w:right w:w="108" w:type="dxa"/>
            </w:tcMar>
            <w:hideMark/>
          </w:tcPr>
          <w:p w14:paraId="0502ED29"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b/>
                <w:bCs/>
                <w:color w:val="000000"/>
                <w:kern w:val="0"/>
                <w:bdr w:val="none" w:sz="0" w:space="0" w:color="auto" w:frame="1"/>
                <w14:ligatures w14:val="none"/>
              </w:rPr>
              <w:t>Post-Affera Share</w:t>
            </w:r>
          </w:p>
        </w:tc>
        <w:tc>
          <w:tcPr>
            <w:tcW w:w="0" w:type="auto"/>
            <w:tcBorders>
              <w:bottom w:val="single" w:sz="8" w:space="0" w:color="auto"/>
            </w:tcBorders>
            <w:shd w:val="clear" w:color="auto" w:fill="FFFFFF"/>
            <w:tcMar>
              <w:top w:w="0" w:type="dxa"/>
              <w:left w:w="108" w:type="dxa"/>
              <w:bottom w:w="0" w:type="dxa"/>
              <w:right w:w="108" w:type="dxa"/>
            </w:tcMar>
            <w:hideMark/>
          </w:tcPr>
          <w:p w14:paraId="5C50FF01"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b/>
                <w:bCs/>
                <w:color w:val="000000"/>
                <w:kern w:val="0"/>
                <w:bdr w:val="none" w:sz="0" w:space="0" w:color="auto" w:frame="1"/>
                <w14:ligatures w14:val="none"/>
              </w:rPr>
              <w:t>Δ</w:t>
            </w:r>
            <w:r w:rsidRPr="00ED7CEC">
              <w:rPr>
                <w:rFonts w:ascii="Aptos" w:eastAsia="Times New Roman" w:hAnsi="Aptos" w:cs="Segoe UI"/>
                <w:color w:val="000000"/>
                <w:kern w:val="0"/>
                <w:bdr w:val="none" w:sz="0" w:space="0" w:color="auto" w:frame="1"/>
                <w14:ligatures w14:val="none"/>
              </w:rPr>
              <w:t>%</w:t>
            </w:r>
          </w:p>
        </w:tc>
      </w:tr>
      <w:tr w:rsidR="00ED7CEC" w:rsidRPr="00ED7CEC" w14:paraId="0EF366A3" w14:textId="77777777">
        <w:trPr>
          <w:trHeight w:val="288"/>
        </w:trPr>
        <w:tc>
          <w:tcPr>
            <w:tcW w:w="0" w:type="auto"/>
            <w:shd w:val="clear" w:color="auto" w:fill="F2F2F2"/>
            <w:tcMar>
              <w:top w:w="0" w:type="dxa"/>
              <w:left w:w="108" w:type="dxa"/>
              <w:bottom w:w="0" w:type="dxa"/>
              <w:right w:w="108" w:type="dxa"/>
            </w:tcMar>
            <w:hideMark/>
          </w:tcPr>
          <w:p w14:paraId="6A857B90" w14:textId="77777777" w:rsidR="00ED7CEC" w:rsidRPr="00ED7CEC" w:rsidRDefault="00ED7CEC" w:rsidP="00ED7CEC">
            <w:pPr>
              <w:spacing w:after="0" w:line="240" w:lineRule="auto"/>
              <w:jc w:val="right"/>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Gaeta</w:t>
            </w:r>
          </w:p>
        </w:tc>
        <w:tc>
          <w:tcPr>
            <w:tcW w:w="0" w:type="auto"/>
            <w:shd w:val="clear" w:color="auto" w:fill="F2F2F2"/>
            <w:tcMar>
              <w:top w:w="0" w:type="dxa"/>
              <w:left w:w="108" w:type="dxa"/>
              <w:bottom w:w="0" w:type="dxa"/>
              <w:right w:w="108" w:type="dxa"/>
            </w:tcMar>
            <w:hideMark/>
          </w:tcPr>
          <w:p w14:paraId="1DE22F5D"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16.0%</w:t>
            </w:r>
          </w:p>
        </w:tc>
        <w:tc>
          <w:tcPr>
            <w:tcW w:w="0" w:type="auto"/>
            <w:shd w:val="clear" w:color="auto" w:fill="F2F2F2"/>
            <w:tcMar>
              <w:top w:w="0" w:type="dxa"/>
              <w:left w:w="108" w:type="dxa"/>
              <w:bottom w:w="0" w:type="dxa"/>
              <w:right w:w="108" w:type="dxa"/>
            </w:tcMar>
            <w:hideMark/>
          </w:tcPr>
          <w:p w14:paraId="093FB36B"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20.9%</w:t>
            </w:r>
          </w:p>
        </w:tc>
        <w:tc>
          <w:tcPr>
            <w:tcW w:w="0" w:type="auto"/>
            <w:shd w:val="clear" w:color="auto" w:fill="F2F2F2"/>
            <w:tcMar>
              <w:top w:w="0" w:type="dxa"/>
              <w:left w:w="108" w:type="dxa"/>
              <w:bottom w:w="0" w:type="dxa"/>
              <w:right w:w="108" w:type="dxa"/>
            </w:tcMar>
            <w:hideMark/>
          </w:tcPr>
          <w:p w14:paraId="6BD2BEEC"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+4.9</w:t>
            </w:r>
          </w:p>
        </w:tc>
      </w:tr>
      <w:tr w:rsidR="00ED7CEC" w:rsidRPr="00ED7CEC" w14:paraId="0435FA32" w14:textId="77777777">
        <w:trPr>
          <w:trHeight w:val="272"/>
        </w:trPr>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2AB53B48" w14:textId="77777777" w:rsidR="00ED7CEC" w:rsidRPr="00ED7CEC" w:rsidRDefault="00ED7CEC" w:rsidP="00ED7CEC">
            <w:pPr>
              <w:spacing w:after="0" w:line="240" w:lineRule="auto"/>
              <w:jc w:val="right"/>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Jae Lee</w:t>
            </w:r>
          </w:p>
        </w:tc>
        <w:tc>
          <w:tcPr>
            <w:tcW w:w="0" w:type="auto"/>
            <w:tcBorders>
              <w:top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05AFF840"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10.5%</w:t>
            </w:r>
          </w:p>
        </w:tc>
        <w:tc>
          <w:tcPr>
            <w:tcW w:w="0" w:type="auto"/>
            <w:tcBorders>
              <w:top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4AD3607A"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15.6%</w:t>
            </w:r>
          </w:p>
        </w:tc>
        <w:tc>
          <w:tcPr>
            <w:tcW w:w="0" w:type="auto"/>
            <w:tcBorders>
              <w:top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2A290F20"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+5.1</w:t>
            </w:r>
          </w:p>
        </w:tc>
      </w:tr>
      <w:tr w:rsidR="00ED7CEC" w:rsidRPr="00ED7CEC" w14:paraId="13E868F9" w14:textId="77777777">
        <w:trPr>
          <w:trHeight w:val="288"/>
        </w:trPr>
        <w:tc>
          <w:tcPr>
            <w:tcW w:w="0" w:type="auto"/>
            <w:tcBorders>
              <w:left w:val="single" w:sz="8" w:space="0" w:color="BFBFBF"/>
              <w:bottom w:val="single" w:sz="8" w:space="0" w:color="BFBFBF"/>
              <w:right w:val="single" w:sz="8" w:space="0" w:color="BFBFBF"/>
            </w:tcBorders>
            <w:shd w:val="clear" w:color="auto" w:fill="F2F2F2"/>
            <w:tcMar>
              <w:top w:w="0" w:type="dxa"/>
              <w:left w:w="108" w:type="dxa"/>
              <w:bottom w:w="0" w:type="dxa"/>
              <w:right w:w="108" w:type="dxa"/>
            </w:tcMar>
            <w:hideMark/>
          </w:tcPr>
          <w:p w14:paraId="25CC1327" w14:textId="77777777" w:rsidR="00ED7CEC" w:rsidRPr="00ED7CEC" w:rsidRDefault="00ED7CEC" w:rsidP="00ED7CEC">
            <w:pPr>
              <w:spacing w:after="0" w:line="240" w:lineRule="auto"/>
              <w:jc w:val="right"/>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Sandesara</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2107817B"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9.4%</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37FF1C02"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13.3%</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50E247C6"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+3.9</w:t>
            </w:r>
          </w:p>
        </w:tc>
      </w:tr>
      <w:tr w:rsidR="00ED7CEC" w:rsidRPr="00ED7CEC" w14:paraId="2AABD22A" w14:textId="77777777">
        <w:trPr>
          <w:trHeight w:val="272"/>
        </w:trPr>
        <w:tc>
          <w:tcPr>
            <w:tcW w:w="0" w:type="auto"/>
            <w:tcBorders>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560FDD77" w14:textId="77777777" w:rsidR="00ED7CEC" w:rsidRPr="00ED7CEC" w:rsidRDefault="00ED7CEC" w:rsidP="00ED7CEC">
            <w:pPr>
              <w:spacing w:after="0" w:line="240" w:lineRule="auto"/>
              <w:jc w:val="right"/>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Kumar</w:t>
            </w:r>
          </w:p>
        </w:tc>
        <w:tc>
          <w:tcPr>
            <w:tcW w:w="0" w:type="auto"/>
            <w:tcBorders>
              <w:bottom w:val="single" w:sz="8" w:space="0" w:color="BFBFBF"/>
              <w:right w:val="single" w:sz="8" w:space="0" w:color="BFBFBF"/>
            </w:tcBorders>
            <w:shd w:val="clear" w:color="auto" w:fill="FFFFFF"/>
            <w:tcMar>
              <w:top w:w="0" w:type="dxa"/>
              <w:left w:w="108" w:type="dxa"/>
              <w:bottom w:w="0" w:type="dxa"/>
              <w:right w:w="108" w:type="dxa"/>
            </w:tcMar>
            <w:hideMark/>
          </w:tcPr>
          <w:p w14:paraId="39B0033C"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4.5%</w:t>
            </w:r>
          </w:p>
        </w:tc>
        <w:tc>
          <w:tcPr>
            <w:tcW w:w="0" w:type="auto"/>
            <w:tcBorders>
              <w:bottom w:val="single" w:sz="8" w:space="0" w:color="BFBFBF"/>
              <w:right w:val="single" w:sz="8" w:space="0" w:color="BFBFBF"/>
            </w:tcBorders>
            <w:shd w:val="clear" w:color="auto" w:fill="FFFFFF"/>
            <w:tcMar>
              <w:top w:w="0" w:type="dxa"/>
              <w:left w:w="108" w:type="dxa"/>
              <w:bottom w:w="0" w:type="dxa"/>
              <w:right w:w="108" w:type="dxa"/>
            </w:tcMar>
            <w:hideMark/>
          </w:tcPr>
          <w:p w14:paraId="3078E8F1"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5.8%</w:t>
            </w:r>
          </w:p>
        </w:tc>
        <w:tc>
          <w:tcPr>
            <w:tcW w:w="0" w:type="auto"/>
            <w:tcBorders>
              <w:bottom w:val="single" w:sz="8" w:space="0" w:color="BFBFBF"/>
              <w:right w:val="single" w:sz="8" w:space="0" w:color="BFBFBF"/>
            </w:tcBorders>
            <w:shd w:val="clear" w:color="auto" w:fill="FFFFFF"/>
            <w:tcMar>
              <w:top w:w="0" w:type="dxa"/>
              <w:left w:w="108" w:type="dxa"/>
              <w:bottom w:w="0" w:type="dxa"/>
              <w:right w:w="108" w:type="dxa"/>
            </w:tcMar>
            <w:hideMark/>
          </w:tcPr>
          <w:p w14:paraId="298D3EB8"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+1.3</w:t>
            </w:r>
          </w:p>
        </w:tc>
      </w:tr>
      <w:tr w:rsidR="00ED7CEC" w:rsidRPr="00ED7CEC" w14:paraId="4958B79F" w14:textId="77777777">
        <w:trPr>
          <w:trHeight w:val="288"/>
        </w:trPr>
        <w:tc>
          <w:tcPr>
            <w:tcW w:w="0" w:type="auto"/>
            <w:tcBorders>
              <w:left w:val="single" w:sz="8" w:space="0" w:color="BFBFBF"/>
              <w:bottom w:val="single" w:sz="8" w:space="0" w:color="BFBFBF"/>
              <w:right w:val="single" w:sz="8" w:space="0" w:color="BFBFBF"/>
            </w:tcBorders>
            <w:shd w:val="clear" w:color="auto" w:fill="F2F2F2"/>
            <w:tcMar>
              <w:top w:w="0" w:type="dxa"/>
              <w:left w:w="108" w:type="dxa"/>
              <w:bottom w:w="0" w:type="dxa"/>
              <w:right w:w="108" w:type="dxa"/>
            </w:tcMar>
            <w:hideMark/>
          </w:tcPr>
          <w:p w14:paraId="1CAA6D60" w14:textId="77777777" w:rsidR="00ED7CEC" w:rsidRPr="00ED7CEC" w:rsidRDefault="00ED7CEC" w:rsidP="00ED7CEC">
            <w:pPr>
              <w:spacing w:after="0" w:line="240" w:lineRule="auto"/>
              <w:jc w:val="right"/>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Hollis</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5132C6BA"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10.1%</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23FEB905"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10.7%</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7E0CBA6C"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+0.6</w:t>
            </w:r>
          </w:p>
        </w:tc>
      </w:tr>
      <w:tr w:rsidR="00ED7CEC" w:rsidRPr="00ED7CEC" w14:paraId="50610CF3" w14:textId="77777777">
        <w:trPr>
          <w:trHeight w:val="272"/>
        </w:trPr>
        <w:tc>
          <w:tcPr>
            <w:tcW w:w="0" w:type="auto"/>
            <w:tcBorders>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6B89284C" w14:textId="77777777" w:rsidR="00ED7CEC" w:rsidRPr="00ED7CEC" w:rsidRDefault="00ED7CEC" w:rsidP="00ED7CEC">
            <w:pPr>
              <w:spacing w:after="0" w:line="240" w:lineRule="auto"/>
              <w:jc w:val="right"/>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Yang</w:t>
            </w:r>
          </w:p>
        </w:tc>
        <w:tc>
          <w:tcPr>
            <w:tcW w:w="0" w:type="auto"/>
            <w:tcBorders>
              <w:bottom w:val="single" w:sz="8" w:space="0" w:color="BFBFBF"/>
              <w:right w:val="single" w:sz="8" w:space="0" w:color="BFBFBF"/>
            </w:tcBorders>
            <w:shd w:val="clear" w:color="auto" w:fill="FFFFFF"/>
            <w:tcMar>
              <w:top w:w="0" w:type="dxa"/>
              <w:left w:w="108" w:type="dxa"/>
              <w:bottom w:w="0" w:type="dxa"/>
              <w:right w:w="108" w:type="dxa"/>
            </w:tcMar>
            <w:hideMark/>
          </w:tcPr>
          <w:p w14:paraId="07DBEE23"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8.8%</w:t>
            </w:r>
          </w:p>
        </w:tc>
        <w:tc>
          <w:tcPr>
            <w:tcW w:w="0" w:type="auto"/>
            <w:tcBorders>
              <w:bottom w:val="single" w:sz="8" w:space="0" w:color="BFBFBF"/>
              <w:right w:val="single" w:sz="8" w:space="0" w:color="BFBFBF"/>
            </w:tcBorders>
            <w:shd w:val="clear" w:color="auto" w:fill="FFFFFF"/>
            <w:tcMar>
              <w:top w:w="0" w:type="dxa"/>
              <w:left w:w="108" w:type="dxa"/>
              <w:bottom w:w="0" w:type="dxa"/>
              <w:right w:w="108" w:type="dxa"/>
            </w:tcMar>
            <w:hideMark/>
          </w:tcPr>
          <w:p w14:paraId="1B4B783A"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8.4%</w:t>
            </w:r>
          </w:p>
        </w:tc>
        <w:tc>
          <w:tcPr>
            <w:tcW w:w="0" w:type="auto"/>
            <w:tcBorders>
              <w:bottom w:val="single" w:sz="8" w:space="0" w:color="BFBFBF"/>
              <w:right w:val="single" w:sz="8" w:space="0" w:color="BFBFBF"/>
            </w:tcBorders>
            <w:shd w:val="clear" w:color="auto" w:fill="FFFFFF"/>
            <w:tcMar>
              <w:top w:w="0" w:type="dxa"/>
              <w:left w:w="108" w:type="dxa"/>
              <w:bottom w:w="0" w:type="dxa"/>
              <w:right w:w="108" w:type="dxa"/>
            </w:tcMar>
            <w:hideMark/>
          </w:tcPr>
          <w:p w14:paraId="395015CC"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–0.4</w:t>
            </w:r>
          </w:p>
        </w:tc>
      </w:tr>
      <w:tr w:rsidR="00ED7CEC" w:rsidRPr="00ED7CEC" w14:paraId="0CE17170" w14:textId="77777777">
        <w:trPr>
          <w:trHeight w:val="288"/>
        </w:trPr>
        <w:tc>
          <w:tcPr>
            <w:tcW w:w="0" w:type="auto"/>
            <w:tcBorders>
              <w:left w:val="single" w:sz="8" w:space="0" w:color="BFBFBF"/>
              <w:bottom w:val="single" w:sz="8" w:space="0" w:color="BFBFBF"/>
              <w:right w:val="single" w:sz="8" w:space="0" w:color="BFBFBF"/>
            </w:tcBorders>
            <w:shd w:val="clear" w:color="auto" w:fill="F2F2F2"/>
            <w:tcMar>
              <w:top w:w="0" w:type="dxa"/>
              <w:left w:w="108" w:type="dxa"/>
              <w:bottom w:w="0" w:type="dxa"/>
              <w:right w:w="108" w:type="dxa"/>
            </w:tcMar>
            <w:hideMark/>
          </w:tcPr>
          <w:p w14:paraId="363A97F3" w14:textId="77777777" w:rsidR="00ED7CEC" w:rsidRPr="00ED7CEC" w:rsidRDefault="00ED7CEC" w:rsidP="00ED7CEC">
            <w:pPr>
              <w:spacing w:after="0" w:line="240" w:lineRule="auto"/>
              <w:jc w:val="right"/>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Arshad</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00E41EAC"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2.9%</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4A795459"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1.8%</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2BA5A616"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–1.1</w:t>
            </w:r>
          </w:p>
        </w:tc>
      </w:tr>
      <w:tr w:rsidR="00ED7CEC" w:rsidRPr="00ED7CEC" w14:paraId="1E224031" w14:textId="77777777">
        <w:trPr>
          <w:trHeight w:val="272"/>
        </w:trPr>
        <w:tc>
          <w:tcPr>
            <w:tcW w:w="0" w:type="auto"/>
            <w:tcBorders>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3FC98831" w14:textId="77777777" w:rsidR="00ED7CEC" w:rsidRPr="00ED7CEC" w:rsidRDefault="00ED7CEC" w:rsidP="00ED7CEC">
            <w:pPr>
              <w:spacing w:after="0" w:line="240" w:lineRule="auto"/>
              <w:jc w:val="right"/>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Atwater</w:t>
            </w:r>
          </w:p>
        </w:tc>
        <w:tc>
          <w:tcPr>
            <w:tcW w:w="0" w:type="auto"/>
            <w:tcBorders>
              <w:bottom w:val="single" w:sz="8" w:space="0" w:color="BFBFBF"/>
              <w:right w:val="single" w:sz="8" w:space="0" w:color="BFBFBF"/>
            </w:tcBorders>
            <w:shd w:val="clear" w:color="auto" w:fill="FFFFFF"/>
            <w:tcMar>
              <w:top w:w="0" w:type="dxa"/>
              <w:left w:w="108" w:type="dxa"/>
              <w:bottom w:w="0" w:type="dxa"/>
              <w:right w:w="108" w:type="dxa"/>
            </w:tcMar>
            <w:hideMark/>
          </w:tcPr>
          <w:p w14:paraId="317A839D"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10.1%</w:t>
            </w:r>
          </w:p>
        </w:tc>
        <w:tc>
          <w:tcPr>
            <w:tcW w:w="0" w:type="auto"/>
            <w:tcBorders>
              <w:bottom w:val="single" w:sz="8" w:space="0" w:color="BFBFBF"/>
              <w:right w:val="single" w:sz="8" w:space="0" w:color="BFBFBF"/>
            </w:tcBorders>
            <w:shd w:val="clear" w:color="auto" w:fill="FFFFFF"/>
            <w:tcMar>
              <w:top w:w="0" w:type="dxa"/>
              <w:left w:w="108" w:type="dxa"/>
              <w:bottom w:w="0" w:type="dxa"/>
              <w:right w:w="108" w:type="dxa"/>
            </w:tcMar>
            <w:hideMark/>
          </w:tcPr>
          <w:p w14:paraId="4417E046"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8.4%</w:t>
            </w:r>
          </w:p>
        </w:tc>
        <w:tc>
          <w:tcPr>
            <w:tcW w:w="0" w:type="auto"/>
            <w:tcBorders>
              <w:bottom w:val="single" w:sz="8" w:space="0" w:color="BFBFBF"/>
              <w:right w:val="single" w:sz="8" w:space="0" w:color="BFBFBF"/>
            </w:tcBorders>
            <w:shd w:val="clear" w:color="auto" w:fill="FFFFFF"/>
            <w:tcMar>
              <w:top w:w="0" w:type="dxa"/>
              <w:left w:w="108" w:type="dxa"/>
              <w:bottom w:w="0" w:type="dxa"/>
              <w:right w:w="108" w:type="dxa"/>
            </w:tcMar>
            <w:hideMark/>
          </w:tcPr>
          <w:p w14:paraId="6303A6C8"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–1.7</w:t>
            </w:r>
          </w:p>
        </w:tc>
      </w:tr>
      <w:tr w:rsidR="00ED7CEC" w:rsidRPr="00ED7CEC" w14:paraId="491BDC01" w14:textId="77777777">
        <w:trPr>
          <w:trHeight w:val="288"/>
        </w:trPr>
        <w:tc>
          <w:tcPr>
            <w:tcW w:w="0" w:type="auto"/>
            <w:tcBorders>
              <w:left w:val="single" w:sz="8" w:space="0" w:color="BFBFBF"/>
              <w:bottom w:val="single" w:sz="8" w:space="0" w:color="BFBFBF"/>
              <w:right w:val="single" w:sz="8" w:space="0" w:color="BFBFBF"/>
            </w:tcBorders>
            <w:shd w:val="clear" w:color="auto" w:fill="F2F2F2"/>
            <w:tcMar>
              <w:top w:w="0" w:type="dxa"/>
              <w:left w:w="108" w:type="dxa"/>
              <w:bottom w:w="0" w:type="dxa"/>
              <w:right w:w="108" w:type="dxa"/>
            </w:tcMar>
            <w:hideMark/>
          </w:tcPr>
          <w:p w14:paraId="2305631B" w14:textId="77777777" w:rsidR="00ED7CEC" w:rsidRPr="00ED7CEC" w:rsidRDefault="00ED7CEC" w:rsidP="00ED7CEC">
            <w:pPr>
              <w:spacing w:after="0" w:line="240" w:lineRule="auto"/>
              <w:jc w:val="right"/>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Joseph Lee</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20B7CB57"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5.3%</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46009BDA"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3.6%</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2067CC78"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–1.7</w:t>
            </w:r>
          </w:p>
        </w:tc>
      </w:tr>
      <w:tr w:rsidR="00ED7CEC" w:rsidRPr="00ED7CEC" w14:paraId="77BB3D85" w14:textId="77777777">
        <w:trPr>
          <w:trHeight w:val="272"/>
        </w:trPr>
        <w:tc>
          <w:tcPr>
            <w:tcW w:w="0" w:type="auto"/>
            <w:tcBorders>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4CD3E5FC" w14:textId="77777777" w:rsidR="00ED7CEC" w:rsidRPr="00ED7CEC" w:rsidRDefault="00ED7CEC" w:rsidP="00ED7CEC">
            <w:pPr>
              <w:spacing w:after="0" w:line="240" w:lineRule="auto"/>
              <w:jc w:val="right"/>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Fein</w:t>
            </w:r>
          </w:p>
        </w:tc>
        <w:tc>
          <w:tcPr>
            <w:tcW w:w="0" w:type="auto"/>
            <w:tcBorders>
              <w:bottom w:val="single" w:sz="8" w:space="0" w:color="BFBFBF"/>
              <w:right w:val="single" w:sz="8" w:space="0" w:color="BFBFBF"/>
            </w:tcBorders>
            <w:shd w:val="clear" w:color="auto" w:fill="FFFFFF"/>
            <w:tcMar>
              <w:top w:w="0" w:type="dxa"/>
              <w:left w:w="108" w:type="dxa"/>
              <w:bottom w:w="0" w:type="dxa"/>
              <w:right w:w="108" w:type="dxa"/>
            </w:tcMar>
            <w:hideMark/>
          </w:tcPr>
          <w:p w14:paraId="782AC34B"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8.8%</w:t>
            </w:r>
          </w:p>
        </w:tc>
        <w:tc>
          <w:tcPr>
            <w:tcW w:w="0" w:type="auto"/>
            <w:tcBorders>
              <w:bottom w:val="single" w:sz="8" w:space="0" w:color="BFBFBF"/>
              <w:right w:val="single" w:sz="8" w:space="0" w:color="BFBFBF"/>
            </w:tcBorders>
            <w:shd w:val="clear" w:color="auto" w:fill="FFFFFF"/>
            <w:tcMar>
              <w:top w:w="0" w:type="dxa"/>
              <w:left w:w="108" w:type="dxa"/>
              <w:bottom w:w="0" w:type="dxa"/>
              <w:right w:w="108" w:type="dxa"/>
            </w:tcMar>
            <w:hideMark/>
          </w:tcPr>
          <w:p w14:paraId="1B9310C8"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4.9%</w:t>
            </w:r>
          </w:p>
        </w:tc>
        <w:tc>
          <w:tcPr>
            <w:tcW w:w="0" w:type="auto"/>
            <w:tcBorders>
              <w:bottom w:val="single" w:sz="8" w:space="0" w:color="BFBFBF"/>
              <w:right w:val="single" w:sz="8" w:space="0" w:color="BFBFBF"/>
            </w:tcBorders>
            <w:shd w:val="clear" w:color="auto" w:fill="FFFFFF"/>
            <w:tcMar>
              <w:top w:w="0" w:type="dxa"/>
              <w:left w:w="108" w:type="dxa"/>
              <w:bottom w:w="0" w:type="dxa"/>
              <w:right w:w="108" w:type="dxa"/>
            </w:tcMar>
            <w:hideMark/>
          </w:tcPr>
          <w:p w14:paraId="73F777C9"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–3.9</w:t>
            </w:r>
          </w:p>
        </w:tc>
      </w:tr>
      <w:tr w:rsidR="00ED7CEC" w:rsidRPr="00ED7CEC" w14:paraId="4A1C8ECF" w14:textId="77777777">
        <w:trPr>
          <w:trHeight w:val="272"/>
        </w:trPr>
        <w:tc>
          <w:tcPr>
            <w:tcW w:w="0" w:type="auto"/>
            <w:tcBorders>
              <w:left w:val="single" w:sz="8" w:space="0" w:color="BFBFBF"/>
              <w:bottom w:val="single" w:sz="8" w:space="0" w:color="BFBFBF"/>
              <w:right w:val="single" w:sz="8" w:space="0" w:color="BFBFBF"/>
            </w:tcBorders>
            <w:shd w:val="clear" w:color="auto" w:fill="F2F2F2"/>
            <w:tcMar>
              <w:top w:w="0" w:type="dxa"/>
              <w:left w:w="108" w:type="dxa"/>
              <w:bottom w:w="0" w:type="dxa"/>
              <w:right w:w="108" w:type="dxa"/>
            </w:tcMar>
            <w:hideMark/>
          </w:tcPr>
          <w:p w14:paraId="65341FE9" w14:textId="77777777" w:rsidR="00ED7CEC" w:rsidRPr="00ED7CEC" w:rsidRDefault="00ED7CEC" w:rsidP="00ED7CEC">
            <w:pPr>
              <w:spacing w:after="0" w:line="240" w:lineRule="auto"/>
              <w:jc w:val="right"/>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Rashid</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1BB90C95"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13.6%</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252468ED"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6.7%</w:t>
            </w:r>
          </w:p>
        </w:tc>
        <w:tc>
          <w:tcPr>
            <w:tcW w:w="0" w:type="auto"/>
            <w:tcBorders>
              <w:bottom w:val="single" w:sz="8" w:space="0" w:color="BFBFBF"/>
              <w:right w:val="single" w:sz="8" w:space="0" w:color="BFBFBF"/>
            </w:tcBorders>
            <w:shd w:val="clear" w:color="auto" w:fill="F2F2F2"/>
            <w:tcMar>
              <w:top w:w="0" w:type="dxa"/>
              <w:left w:w="108" w:type="dxa"/>
              <w:bottom w:w="0" w:type="dxa"/>
              <w:right w:w="108" w:type="dxa"/>
            </w:tcMar>
            <w:hideMark/>
          </w:tcPr>
          <w:p w14:paraId="00DA19CD" w14:textId="77777777" w:rsidR="00ED7CEC" w:rsidRPr="00ED7CEC" w:rsidRDefault="00ED7CEC" w:rsidP="00ED7CEC">
            <w:pPr>
              <w:spacing w:after="0" w:line="240" w:lineRule="auto"/>
              <w:jc w:val="center"/>
              <w:textAlignment w:val="baseline"/>
              <w:rPr>
                <w:rFonts w:ascii="Aptos" w:eastAsia="Times New Roman" w:hAnsi="Aptos" w:cs="Segoe UI"/>
                <w:color w:val="000000"/>
                <w:kern w:val="0"/>
                <w:sz w:val="23"/>
                <w:szCs w:val="23"/>
                <w14:ligatures w14:val="none"/>
              </w:rPr>
            </w:pPr>
            <w:r w:rsidRPr="00ED7CEC">
              <w:rPr>
                <w:rFonts w:ascii="Aptos" w:eastAsia="Times New Roman" w:hAnsi="Aptos" w:cs="Segoe UI"/>
                <w:color w:val="000000"/>
                <w:kern w:val="0"/>
                <w:bdr w:val="none" w:sz="0" w:space="0" w:color="auto" w:frame="1"/>
                <w14:ligatures w14:val="none"/>
              </w:rPr>
              <w:t>–6.9</w:t>
            </w:r>
          </w:p>
        </w:tc>
      </w:tr>
    </w:tbl>
    <w:p w14:paraId="449F8406" w14:textId="77777777" w:rsidR="00ED7CEC" w:rsidRPr="00ED7CEC" w:rsidRDefault="00ED7CEC" w:rsidP="00ED7CEC">
      <w:pPr>
        <w:shd w:val="clear" w:color="auto" w:fill="FFFFFF"/>
        <w:spacing w:after="0" w:line="240" w:lineRule="auto"/>
        <w:textAlignment w:val="baseline"/>
        <w:rPr>
          <w:rFonts w:ascii="Aptos" w:eastAsia="Times New Roman" w:hAnsi="Aptos" w:cs="Times New Roman"/>
          <w:color w:val="000000"/>
          <w:kern w:val="0"/>
          <w:sz w:val="23"/>
          <w:szCs w:val="23"/>
          <w14:ligatures w14:val="none"/>
        </w:rPr>
      </w:pPr>
      <w:r w:rsidRPr="00ED7CEC">
        <w:rPr>
          <w:rFonts w:ascii="Aptos" w:eastAsia="Times New Roman" w:hAnsi="Aptos" w:cs="Times New Roman"/>
          <w:color w:val="000000"/>
          <w:kern w:val="0"/>
          <w:bdr w:val="none" w:sz="0" w:space="0" w:color="auto" w:frame="1"/>
          <w14:ligatures w14:val="none"/>
        </w:rPr>
        <w:br/>
      </w:r>
    </w:p>
    <w:p w14:paraId="3698C3E8" w14:textId="77777777" w:rsidR="00ED7CEC" w:rsidRPr="00ED7CEC" w:rsidRDefault="00ED7CEC" w:rsidP="00ED7CEC">
      <w:pPr>
        <w:numPr>
          <w:ilvl w:val="0"/>
          <w:numId w:val="3"/>
        </w:numPr>
        <w:shd w:val="clear" w:color="auto" w:fill="FFFFFF"/>
        <w:spacing w:before="100" w:beforeAutospacing="1" w:after="100" w:afterAutospacing="1" w:line="240" w:lineRule="auto"/>
        <w:rPr>
          <w:rFonts w:ascii="Aptos" w:eastAsia="Times New Roman" w:hAnsi="Aptos" w:cs="Segoe UI"/>
          <w:color w:val="000000"/>
          <w:kern w:val="0"/>
          <w14:ligatures w14:val="none"/>
        </w:rPr>
      </w:pPr>
    </w:p>
    <w:p w14:paraId="32B00A26" w14:textId="77777777" w:rsidR="004C2A9A" w:rsidRDefault="004C2A9A"/>
    <w:sectPr w:rsidR="004C2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47881"/>
    <w:multiLevelType w:val="multilevel"/>
    <w:tmpl w:val="852C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F74B0A"/>
    <w:multiLevelType w:val="multilevel"/>
    <w:tmpl w:val="0B66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F70043"/>
    <w:multiLevelType w:val="multilevel"/>
    <w:tmpl w:val="55A8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918777">
    <w:abstractNumId w:val="1"/>
  </w:num>
  <w:num w:numId="2" w16cid:durableId="1590432716">
    <w:abstractNumId w:val="2"/>
  </w:num>
  <w:num w:numId="3" w16cid:durableId="359428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044"/>
    <w:rsid w:val="000C7AEC"/>
    <w:rsid w:val="00104BEC"/>
    <w:rsid w:val="001129AC"/>
    <w:rsid w:val="001620FB"/>
    <w:rsid w:val="001E6044"/>
    <w:rsid w:val="001F18B0"/>
    <w:rsid w:val="003A4397"/>
    <w:rsid w:val="004135A4"/>
    <w:rsid w:val="00477B0E"/>
    <w:rsid w:val="004A7D84"/>
    <w:rsid w:val="004B1BF9"/>
    <w:rsid w:val="004C2A9A"/>
    <w:rsid w:val="00505A75"/>
    <w:rsid w:val="00700516"/>
    <w:rsid w:val="00713A81"/>
    <w:rsid w:val="00735D63"/>
    <w:rsid w:val="009070DC"/>
    <w:rsid w:val="00957508"/>
    <w:rsid w:val="009E2FC1"/>
    <w:rsid w:val="00A0370F"/>
    <w:rsid w:val="00A1060D"/>
    <w:rsid w:val="00A8741B"/>
    <w:rsid w:val="00CC2004"/>
    <w:rsid w:val="00DD7302"/>
    <w:rsid w:val="00ED7CEC"/>
    <w:rsid w:val="00F42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A3491"/>
  <w15:chartTrackingRefBased/>
  <w15:docId w15:val="{3D2C9A92-5DC2-5643-9B66-F5BEB81A3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6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6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044"/>
    <w:rPr>
      <w:rFonts w:eastAsiaTheme="majorEastAsia" w:cstheme="majorBidi"/>
      <w:color w:val="272727" w:themeColor="text1" w:themeTint="D8"/>
    </w:rPr>
  </w:style>
  <w:style w:type="paragraph" w:styleId="Title">
    <w:name w:val="Title"/>
    <w:basedOn w:val="Normal"/>
    <w:next w:val="Normal"/>
    <w:link w:val="TitleChar"/>
    <w:uiPriority w:val="10"/>
    <w:qFormat/>
    <w:rsid w:val="001E6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044"/>
    <w:pPr>
      <w:spacing w:before="160"/>
      <w:jc w:val="center"/>
    </w:pPr>
    <w:rPr>
      <w:i/>
      <w:iCs/>
      <w:color w:val="404040" w:themeColor="text1" w:themeTint="BF"/>
    </w:rPr>
  </w:style>
  <w:style w:type="character" w:customStyle="1" w:styleId="QuoteChar">
    <w:name w:val="Quote Char"/>
    <w:basedOn w:val="DefaultParagraphFont"/>
    <w:link w:val="Quote"/>
    <w:uiPriority w:val="29"/>
    <w:rsid w:val="001E6044"/>
    <w:rPr>
      <w:i/>
      <w:iCs/>
      <w:color w:val="404040" w:themeColor="text1" w:themeTint="BF"/>
    </w:rPr>
  </w:style>
  <w:style w:type="paragraph" w:styleId="ListParagraph">
    <w:name w:val="List Paragraph"/>
    <w:basedOn w:val="Normal"/>
    <w:uiPriority w:val="34"/>
    <w:qFormat/>
    <w:rsid w:val="001E6044"/>
    <w:pPr>
      <w:ind w:left="720"/>
      <w:contextualSpacing/>
    </w:pPr>
  </w:style>
  <w:style w:type="character" w:styleId="IntenseEmphasis">
    <w:name w:val="Intense Emphasis"/>
    <w:basedOn w:val="DefaultParagraphFont"/>
    <w:uiPriority w:val="21"/>
    <w:qFormat/>
    <w:rsid w:val="001E6044"/>
    <w:rPr>
      <w:i/>
      <w:iCs/>
      <w:color w:val="0F4761" w:themeColor="accent1" w:themeShade="BF"/>
    </w:rPr>
  </w:style>
  <w:style w:type="paragraph" w:styleId="IntenseQuote">
    <w:name w:val="Intense Quote"/>
    <w:basedOn w:val="Normal"/>
    <w:next w:val="Normal"/>
    <w:link w:val="IntenseQuoteChar"/>
    <w:uiPriority w:val="30"/>
    <w:qFormat/>
    <w:rsid w:val="001E6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044"/>
    <w:rPr>
      <w:i/>
      <w:iCs/>
      <w:color w:val="0F4761" w:themeColor="accent1" w:themeShade="BF"/>
    </w:rPr>
  </w:style>
  <w:style w:type="character" w:styleId="IntenseReference">
    <w:name w:val="Intense Reference"/>
    <w:basedOn w:val="DefaultParagraphFont"/>
    <w:uiPriority w:val="32"/>
    <w:qFormat/>
    <w:rsid w:val="001E6044"/>
    <w:rPr>
      <w:b/>
      <w:bCs/>
      <w:smallCaps/>
      <w:color w:val="0F4761" w:themeColor="accent1" w:themeShade="BF"/>
      <w:spacing w:val="5"/>
    </w:rPr>
  </w:style>
  <w:style w:type="paragraph" w:styleId="NormalWeb">
    <w:name w:val="Normal (Web)"/>
    <w:basedOn w:val="Normal"/>
    <w:uiPriority w:val="99"/>
    <w:unhideWhenUsed/>
    <w:rsid w:val="001E60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E60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Gaeta, Stephen</dc:creator>
  <cp:keywords/>
  <dc:description/>
  <cp:lastModifiedBy>Gaeta, Stephen</cp:lastModifiedBy>
  <cp:revision>20</cp:revision>
  <dcterms:created xsi:type="dcterms:W3CDTF">2025-11-21T18:20:00Z</dcterms:created>
  <dcterms:modified xsi:type="dcterms:W3CDTF">2025-11-21T23:57:00Z</dcterms:modified>
</cp:coreProperties>
</file>