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C168FB" w14:textId="77777777" w:rsidR="00847AD2" w:rsidRDefault="00847AD2" w:rsidP="00847AD2">
      <w:pPr>
        <w:pStyle w:val="NormalWeb"/>
      </w:pPr>
      <w:r>
        <w:t>“Because non-Affera procedures performed after Affera adoption may reflect selective case assignment (e.g., anatomic complexity, equipment availability), the primary comparison of Affera vs. non-Affera procedures used the pre-Affera period as the non-Affera reference. Calendar time was included to adjust for secular trends in procedural efficiency. Post-Affera non-Affera procedures were included only in sensitivity analyses due to potential selection bias.”</w:t>
      </w:r>
    </w:p>
    <w:p w14:paraId="422E009E" w14:textId="77777777" w:rsidR="00735D63" w:rsidRDefault="00735D63"/>
    <w:p w14:paraId="10792A85" w14:textId="77777777" w:rsidR="00847AD2" w:rsidRDefault="00847AD2"/>
    <w:sectPr w:rsidR="00847A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AD2"/>
    <w:rsid w:val="001129AC"/>
    <w:rsid w:val="004135A4"/>
    <w:rsid w:val="00505A75"/>
    <w:rsid w:val="00700516"/>
    <w:rsid w:val="00713A81"/>
    <w:rsid w:val="00735D63"/>
    <w:rsid w:val="00847AD2"/>
    <w:rsid w:val="00A1060D"/>
    <w:rsid w:val="00F426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BE18DC4"/>
  <w15:chartTrackingRefBased/>
  <w15:docId w15:val="{025C6DA1-0BF9-6546-BF6F-A0836375E5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7A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7A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7A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7A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7A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7A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7A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7A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7A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7A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7A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7A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7A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7A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7A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7A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7A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7A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7A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7A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7A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7A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7A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7A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7A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7A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7A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7A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7AD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47A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69</Words>
  <Characters>395</Characters>
  <Application>Microsoft Office Word</Application>
  <DocSecurity>0</DocSecurity>
  <Lines>3</Lines>
  <Paragraphs>1</Paragraphs>
  <ScaleCrop>false</ScaleCrop>
  <Company/>
  <LinksUpToDate>false</LinksUpToDate>
  <CharactersWithSpaces>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Gaeta, Stephen</dc:creator>
  <cp:keywords/>
  <dc:description/>
  <cp:lastModifiedBy>Gaeta, Stephen</cp:lastModifiedBy>
  <cp:revision>1</cp:revision>
  <dcterms:created xsi:type="dcterms:W3CDTF">2025-11-18T18:33:00Z</dcterms:created>
  <dcterms:modified xsi:type="dcterms:W3CDTF">2025-11-18T18:33:00Z</dcterms:modified>
</cp:coreProperties>
</file>