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92BD8">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color w:val="0000FF"/>
          <w:sz w:val="24"/>
          <w:szCs w:val="24"/>
          <w:lang w:val="en-US" w:eastAsia="zh-CN"/>
        </w:rPr>
      </w:pPr>
      <w:bookmarkStart w:id="0" w:name="OLE_LINK39"/>
      <w:bookmarkStart w:id="1" w:name="OLE_LINK38"/>
      <w:r>
        <w:rPr>
          <w:rFonts w:hint="eastAsia"/>
          <w:color w:val="0000FF"/>
          <w:sz w:val="24"/>
          <w:szCs w:val="24"/>
          <w:lang w:val="en-US" w:eastAsia="zh-CN"/>
        </w:rPr>
        <w:t>作者你好：</w:t>
      </w:r>
    </w:p>
    <w:p w14:paraId="25B94C66">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pPr>
      <w:r>
        <w:rPr>
          <w:rFonts w:hint="eastAsia"/>
          <w:color w:val="0000FF"/>
          <w:sz w:val="24"/>
          <w:szCs w:val="24"/>
          <w:lang w:val="en-US" w:eastAsia="zh-CN"/>
        </w:rPr>
        <w:t>1.摘要里缺数据，要达到以下的标准才可以。数据才是体验文章是否具有科技性的依据。同样结论里也一样，结论也是需要数据对提出的研究做验证。请仿照以下摘要修改摘要。</w:t>
      </w:r>
      <w:r>
        <w:drawing>
          <wp:inline distT="0" distB="0" distL="114300" distR="114300">
            <wp:extent cx="5479415" cy="89408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79415" cy="894080"/>
                    </a:xfrm>
                    <a:prstGeom prst="rect">
                      <a:avLst/>
                    </a:prstGeom>
                    <a:noFill/>
                    <a:ln>
                      <a:noFill/>
                    </a:ln>
                  </pic:spPr>
                </pic:pic>
              </a:graphicData>
            </a:graphic>
          </wp:inline>
        </w:drawing>
      </w:r>
    </w:p>
    <w:p w14:paraId="2E1D1396">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color w:val="0000FF"/>
          <w:sz w:val="24"/>
          <w:szCs w:val="24"/>
          <w:lang w:val="en-US" w:eastAsia="zh-CN"/>
        </w:rPr>
      </w:pPr>
      <w:r>
        <w:rPr>
          <w:rFonts w:hint="eastAsia"/>
          <w:color w:val="0000FF"/>
          <w:sz w:val="24"/>
          <w:szCs w:val="24"/>
          <w:lang w:val="en-US" w:eastAsia="zh-CN"/>
        </w:rPr>
        <w:t>2.文章正常的顺序是0引言——1相关研究——2本文方法——3实验分析和验证——4结论——参考文献</w:t>
      </w:r>
    </w:p>
    <w:p w14:paraId="2D223ED3">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color w:val="0000FF"/>
          <w:sz w:val="24"/>
          <w:szCs w:val="24"/>
          <w:lang w:val="en-US" w:eastAsia="zh-CN"/>
        </w:rPr>
      </w:pPr>
      <w:r>
        <w:rPr>
          <w:rFonts w:hint="eastAsia"/>
          <w:color w:val="0000FF"/>
          <w:sz w:val="24"/>
          <w:szCs w:val="24"/>
          <w:lang w:val="en-US" w:eastAsia="zh-CN"/>
        </w:rPr>
        <w:t>从0引言开始，引言是文献的综述，只要是不是自己提出来的研究都要合并到0序言和1相关研究中</w:t>
      </w:r>
    </w:p>
    <w:p w14:paraId="3AE3EA82">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default"/>
          <w:color w:val="0000FF"/>
          <w:sz w:val="24"/>
          <w:szCs w:val="24"/>
          <w:lang w:val="en-US" w:eastAsia="zh-CN"/>
        </w:rPr>
      </w:pPr>
      <w:r>
        <w:rPr>
          <w:rFonts w:hint="eastAsia"/>
          <w:color w:val="0000FF"/>
          <w:sz w:val="24"/>
          <w:szCs w:val="24"/>
          <w:lang w:val="en-US" w:eastAsia="zh-CN"/>
        </w:rPr>
        <w:t>3.表格的运用，绘制方式参考如下，数据要清晰，表中文字要少。</w:t>
      </w:r>
    </w:p>
    <w:p w14:paraId="0793CE8C">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default"/>
          <w:lang w:val="en-US" w:eastAsia="zh-CN"/>
        </w:rPr>
      </w:pPr>
      <w:r>
        <w:drawing>
          <wp:inline distT="0" distB="0" distL="114300" distR="114300">
            <wp:extent cx="5477510" cy="3079115"/>
            <wp:effectExtent l="0" t="0" r="889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477510" cy="3079115"/>
                    </a:xfrm>
                    <a:prstGeom prst="rect">
                      <a:avLst/>
                    </a:prstGeom>
                    <a:noFill/>
                    <a:ln>
                      <a:noFill/>
                    </a:ln>
                  </pic:spPr>
                </pic:pic>
              </a:graphicData>
            </a:graphic>
          </wp:inline>
        </w:drawing>
      </w:r>
    </w:p>
    <w:p w14:paraId="4A5EC85F">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lang w:val="en-US" w:eastAsia="zh-CN"/>
        </w:rPr>
      </w:pPr>
    </w:p>
    <w:p w14:paraId="457566C6">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lang w:val="en-US" w:eastAsia="zh-CN"/>
        </w:rPr>
      </w:pPr>
    </w:p>
    <w:p w14:paraId="79641B80">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eastAsia"/>
          <w:lang w:val="en-US" w:eastAsia="zh-CN"/>
        </w:rPr>
      </w:pPr>
    </w:p>
    <w:p w14:paraId="4FD69878">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pPr>
      <w:r>
        <w:rPr>
          <w:rFonts w:hint="eastAsia"/>
          <w:color w:val="0000FF"/>
          <w:sz w:val="24"/>
          <w:szCs w:val="24"/>
          <w:lang w:val="en-US" w:eastAsia="zh-CN"/>
        </w:rPr>
        <w:t>4.体现科技性的图太少了，这是序列研究，请参照以下方式绘图。整篇论文里图不能少于3个，否则科技性不够。</w:t>
      </w:r>
      <w:r>
        <w:drawing>
          <wp:inline distT="0" distB="0" distL="114300" distR="114300">
            <wp:extent cx="4197350" cy="4104640"/>
            <wp:effectExtent l="0" t="0" r="317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197350" cy="4104640"/>
                    </a:xfrm>
                    <a:prstGeom prst="rect">
                      <a:avLst/>
                    </a:prstGeom>
                    <a:noFill/>
                    <a:ln>
                      <a:noFill/>
                    </a:ln>
                  </pic:spPr>
                </pic:pic>
              </a:graphicData>
            </a:graphic>
          </wp:inline>
        </w:drawing>
      </w:r>
    </w:p>
    <w:p w14:paraId="475A8D77">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rPr>
          <w:rFonts w:hint="default"/>
          <w:color w:val="0000FF"/>
          <w:sz w:val="24"/>
          <w:szCs w:val="24"/>
          <w:lang w:val="en-US" w:eastAsia="zh-CN"/>
        </w:rPr>
      </w:pPr>
      <w:r>
        <w:rPr>
          <w:rFonts w:hint="eastAsia"/>
          <w:color w:val="0000FF"/>
          <w:sz w:val="24"/>
          <w:szCs w:val="24"/>
          <w:lang w:val="en-US" w:eastAsia="zh-CN"/>
        </w:rPr>
        <w:t>5.做验证要有结果图，结果图要如下面的格式。</w:t>
      </w:r>
    </w:p>
    <w:p w14:paraId="1E160C36">
      <w:pPr>
        <w:pStyle w:val="3"/>
        <w:keepNext w:val="0"/>
        <w:keepLines w:val="0"/>
        <w:pageBreakBefore w:val="0"/>
        <w:widowControl/>
        <w:kinsoku/>
        <w:wordWrap/>
        <w:overflowPunct/>
        <w:topLinePunct w:val="0"/>
        <w:autoSpaceDE/>
        <w:autoSpaceDN/>
        <w:bidi w:val="0"/>
        <w:adjustRightInd/>
        <w:snapToGrid/>
        <w:spacing w:before="60" w:after="60" w:line="360" w:lineRule="auto"/>
        <w:jc w:val="center"/>
        <w:textAlignment w:val="auto"/>
      </w:pPr>
      <w:bookmarkStart w:id="57" w:name="_GoBack"/>
      <w:r>
        <w:drawing>
          <wp:inline distT="0" distB="0" distL="114300" distR="114300">
            <wp:extent cx="2700655" cy="2268855"/>
            <wp:effectExtent l="0" t="0" r="444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700655" cy="2268855"/>
                    </a:xfrm>
                    <a:prstGeom prst="rect">
                      <a:avLst/>
                    </a:prstGeom>
                    <a:noFill/>
                    <a:ln>
                      <a:noFill/>
                    </a:ln>
                  </pic:spPr>
                </pic:pic>
              </a:graphicData>
            </a:graphic>
          </wp:inline>
        </w:drawing>
      </w:r>
      <w:bookmarkEnd w:id="57"/>
    </w:p>
    <w:p w14:paraId="0922EEAC">
      <w:pPr>
        <w:pStyle w:val="3"/>
        <w:keepNext w:val="0"/>
        <w:keepLines w:val="0"/>
        <w:pageBreakBefore w:val="0"/>
        <w:widowControl/>
        <w:kinsoku/>
        <w:wordWrap/>
        <w:overflowPunct/>
        <w:topLinePunct w:val="0"/>
        <w:autoSpaceDE/>
        <w:autoSpaceDN/>
        <w:bidi w:val="0"/>
        <w:adjustRightInd/>
        <w:snapToGrid/>
        <w:spacing w:before="60" w:after="60" w:line="360" w:lineRule="auto"/>
        <w:textAlignment w:val="auto"/>
      </w:pPr>
      <w:r>
        <w:rPr>
          <w:rFonts w:hint="eastAsia"/>
          <w:color w:val="0000FF"/>
          <w:sz w:val="24"/>
          <w:szCs w:val="24"/>
          <w:lang w:val="en-US" w:eastAsia="zh-CN"/>
        </w:rPr>
        <w:t>6.要提高论文的难度，请参照《软件工程》过刊，www.rjgczz.com/ch/index.aspx，主页上可以下载论文，看一下过去论文的格式，图表体例，图表的数量修改论文。</w:t>
      </w:r>
    </w:p>
    <w:p w14:paraId="67E67846">
      <w:pPr>
        <w:pStyle w:val="29"/>
        <w:spacing w:line="360" w:lineRule="auto"/>
        <w:jc w:val="center"/>
        <w:rPr>
          <w:rFonts w:ascii="宋体" w:hAnsi="宋体" w:eastAsia="宋体"/>
          <w:b/>
          <w:bCs/>
          <w:sz w:val="30"/>
          <w:szCs w:val="30"/>
        </w:rPr>
      </w:pPr>
      <w:commentRangeStart w:id="0"/>
      <w:r>
        <w:rPr>
          <w:rFonts w:hint="eastAsia" w:ascii="宋体" w:hAnsi="宋体" w:eastAsia="宋体"/>
          <w:b/>
          <w:bCs/>
          <w:sz w:val="30"/>
          <w:szCs w:val="30"/>
        </w:rPr>
        <w:t>基于时间序列对金融数据的异常检测感知的研究</w:t>
      </w:r>
      <w:commentRangeEnd w:id="0"/>
      <w:r>
        <w:rPr>
          <w:rFonts w:ascii="宋体" w:hAnsi="宋体" w:eastAsia="宋体"/>
          <w:b/>
          <w:sz w:val="30"/>
          <w:szCs w:val="30"/>
        </w:rPr>
        <w:commentReference w:id="0"/>
      </w:r>
    </w:p>
    <w:p w14:paraId="20C9A6EB">
      <w:pPr>
        <w:spacing w:line="360" w:lineRule="auto"/>
        <w:jc w:val="center"/>
        <w:rPr>
          <w:rFonts w:ascii="宋体" w:hAnsi="宋体" w:eastAsia="宋体"/>
          <w:b/>
        </w:rPr>
      </w:pPr>
      <w:r>
        <w:rPr>
          <w:rFonts w:hint="eastAsia" w:ascii="宋体" w:hAnsi="宋体" w:eastAsia="宋体"/>
          <w:b/>
        </w:rPr>
        <w:t>刁勇</w:t>
      </w:r>
    </w:p>
    <w:p w14:paraId="73155B50">
      <w:pPr>
        <w:pStyle w:val="2"/>
        <w:keepNext w:val="0"/>
        <w:keepLines w:val="0"/>
        <w:pBdr>
          <w:bottom w:val="none" w:color="auto" w:sz="0" w:space="7"/>
        </w:pBdr>
        <w:shd w:val="clear" w:color="auto" w:fill="FFFFFF"/>
        <w:spacing w:before="0" w:after="240" w:line="360" w:lineRule="auto"/>
        <w:jc w:val="center"/>
        <w:rPr>
          <w:rFonts w:ascii="宋体" w:hAnsi="宋体" w:eastAsia="宋体" w:cstheme="minorBidi"/>
          <w:b/>
          <w:color w:val="auto"/>
          <w:sz w:val="24"/>
          <w:szCs w:val="24"/>
        </w:rPr>
      </w:pPr>
      <w:r>
        <w:rPr>
          <w:rFonts w:hint="eastAsia" w:ascii="宋体" w:hAnsi="宋体" w:eastAsia="宋体" w:cstheme="minorBidi"/>
          <w:b/>
          <w:color w:val="auto"/>
          <w:sz w:val="24"/>
          <w:szCs w:val="24"/>
        </w:rPr>
        <w:t>（大连海事大学 图书与档案馆   辽宁 大连 116026）</w:t>
      </w:r>
    </w:p>
    <w:p w14:paraId="237B4910">
      <w:pPr>
        <w:pStyle w:val="3"/>
        <w:spacing w:line="360" w:lineRule="auto"/>
        <w:jc w:val="center"/>
        <w:rPr>
          <w:rFonts w:ascii="宋体" w:hAnsi="宋体" w:eastAsia="宋体" w:cs="Times New Roman"/>
        </w:rPr>
      </w:pPr>
      <w:r>
        <w:rPr>
          <w:rFonts w:ascii="宋体" w:hAnsi="宋体" w:eastAsia="宋体"/>
        </w:rPr>
        <w:commentReference w:id="1"/>
      </w:r>
      <w:r>
        <w:rPr>
          <w:rFonts w:ascii="宋体" w:hAnsi="宋体" w:eastAsia="宋体" w:cs="Times New Roman"/>
        </w:rPr>
        <w:t xml:space="preserve"> </w:t>
      </w:r>
      <w:bookmarkStart w:id="2" w:name="OLE_LINK6"/>
      <w:bookmarkStart w:id="3" w:name="OLE_LINK5"/>
      <w:r>
        <w:t>📧</w:t>
      </w:r>
      <w:r>
        <w:rPr>
          <w:rFonts w:ascii="宋体" w:hAnsi="宋体" w:eastAsia="宋体" w:cs="Times New Roman"/>
        </w:rPr>
        <w:t>diao_yong@dlmu.edu.cn</w:t>
      </w:r>
      <w:bookmarkEnd w:id="2"/>
      <w:bookmarkEnd w:id="3"/>
    </w:p>
    <w:p w14:paraId="2D31C280">
      <w:pPr>
        <w:pStyle w:val="3"/>
        <w:spacing w:line="360" w:lineRule="auto"/>
        <w:ind w:firstLine="482" w:firstLineChars="200"/>
        <w:rPr>
          <w:rFonts w:ascii="宋体" w:hAnsi="宋体" w:eastAsia="宋体"/>
        </w:rPr>
      </w:pPr>
      <w:bookmarkStart w:id="4" w:name="摘要"/>
      <w:r>
        <w:rPr>
          <w:rFonts w:hint="eastAsia" w:ascii="宋体" w:hAnsi="宋体" w:eastAsia="宋体"/>
          <w:b/>
        </w:rPr>
        <w:t>摘要：</w:t>
      </w:r>
      <w:r>
        <w:rPr>
          <w:rFonts w:ascii="宋体" w:hAnsi="宋体" w:eastAsia="宋体"/>
        </w:rPr>
        <w:t>金融机构IT基础设施的运营数据异常检测是保障业务连续性和系统稳定性的核心技术。本文针对金融运营数据呈现的高维时序特性等挑战，提出了一种基于分层混合策略的无监督异常检测框架。本文依据Chandola经典框架对异常、情境异常和集合异常进行了形式化定义，明确了三类异常的判定标准和应用场景。在检测层，该框架采用三阶段分层检测策略：第一阶段利用KNN等传统机器学习进行快速全局筛选；第二阶段采用GRU自编码器等深度学习模型；第三阶段通过加权融合机制和动态阈值策略实现最终异常判定。本文还探讨了金融运营数据实时异常检测的工程化解决方案</w:t>
      </w:r>
      <w:r>
        <w:rPr>
          <w:rFonts w:hint="eastAsia" w:ascii="宋体" w:hAnsi="宋体" w:eastAsia="宋体"/>
        </w:rPr>
        <w:t>。</w:t>
      </w:r>
      <w:r>
        <w:rPr>
          <w:rFonts w:ascii="宋体" w:hAnsi="宋体" w:eastAsia="宋体"/>
        </w:rPr>
        <w:t>研究成果对提升金融系统智能运维水平、降低运营风险具有重要的理论价值和实践意义。</w:t>
      </w:r>
    </w:p>
    <w:p w14:paraId="4A8D2415">
      <w:pPr>
        <w:pStyle w:val="3"/>
        <w:spacing w:line="360" w:lineRule="auto"/>
        <w:ind w:firstLine="482" w:firstLineChars="200"/>
        <w:rPr>
          <w:rFonts w:ascii="宋体" w:hAnsi="宋体" w:eastAsia="宋体"/>
        </w:rPr>
      </w:pPr>
      <w:r>
        <w:rPr>
          <w:rFonts w:ascii="宋体" w:hAnsi="宋体" w:eastAsia="宋体"/>
          <w:b/>
        </w:rPr>
        <w:t>关键词：</w:t>
      </w:r>
      <w:r>
        <w:rPr>
          <w:rFonts w:ascii="宋体" w:hAnsi="宋体" w:eastAsia="宋体"/>
        </w:rPr>
        <w:t>时间序列异常检测；金融运营数据；OpenTelemetry；多层混合策略；</w:t>
      </w:r>
    </w:p>
    <w:p w14:paraId="497A9E3B">
      <w:pPr>
        <w:pStyle w:val="3"/>
        <w:spacing w:line="360" w:lineRule="auto"/>
        <w:ind w:firstLine="482" w:firstLineChars="200"/>
        <w:rPr>
          <w:rFonts w:ascii="宋体" w:hAnsi="宋体" w:eastAsia="宋体" w:cs="Times New Roman"/>
          <w:b/>
        </w:rPr>
      </w:pPr>
      <w:commentRangeStart w:id="2"/>
      <w:r>
        <w:rPr>
          <w:rFonts w:hint="eastAsia" w:ascii="宋体" w:hAnsi="宋体" w:eastAsia="宋体"/>
          <w:b/>
        </w:rPr>
        <w:t>中图分类号：</w:t>
      </w:r>
      <w:r>
        <w:rPr>
          <w:rFonts w:ascii="宋体" w:hAnsi="宋体" w:eastAsia="宋体" w:cs="Times New Roman"/>
          <w:b/>
        </w:rPr>
        <w:t>TP391</w:t>
      </w:r>
      <w:r>
        <w:rPr>
          <w:rFonts w:ascii="宋体" w:hAnsi="宋体" w:eastAsia="宋体"/>
          <w:b/>
        </w:rPr>
        <w:t xml:space="preserve"> </w:t>
      </w:r>
      <w:r>
        <w:rPr>
          <w:rFonts w:hint="eastAsia" w:ascii="宋体" w:hAnsi="宋体" w:eastAsia="宋体"/>
          <w:b/>
        </w:rPr>
        <w:t xml:space="preserve">    文献标识码：</w:t>
      </w:r>
      <w:commentRangeEnd w:id="2"/>
      <w:r>
        <w:rPr>
          <w:rFonts w:ascii="宋体" w:hAnsi="宋体" w:eastAsia="宋体"/>
          <w:b/>
        </w:rPr>
        <w:commentReference w:id="2"/>
      </w:r>
      <w:r>
        <w:rPr>
          <w:rFonts w:ascii="宋体" w:hAnsi="宋体" w:eastAsia="宋体" w:cs="Times New Roman"/>
          <w:b/>
        </w:rPr>
        <w:t>A</w:t>
      </w:r>
    </w:p>
    <w:p w14:paraId="580E6DB0">
      <w:pPr>
        <w:pStyle w:val="3"/>
        <w:spacing w:line="360" w:lineRule="auto"/>
        <w:rPr>
          <w:rFonts w:ascii="宋体" w:hAnsi="宋体" w:eastAsia="宋体"/>
        </w:rPr>
      </w:pPr>
    </w:p>
    <w:p w14:paraId="726ABE8F">
      <w:pPr>
        <w:pStyle w:val="20"/>
        <w:spacing w:line="360" w:lineRule="auto"/>
        <w:rPr>
          <w:rFonts w:ascii="Times New Roman" w:hAnsi="Times New Roman" w:eastAsia="宋体"/>
          <w:b/>
          <w:sz w:val="30"/>
          <w:szCs w:val="30"/>
        </w:rPr>
      </w:pPr>
      <w:r>
        <w:rPr>
          <w:rFonts w:ascii="Times New Roman" w:hAnsi="Times New Roman" w:eastAsia="宋体"/>
          <w:b/>
          <w:sz w:val="30"/>
          <w:szCs w:val="30"/>
        </w:rPr>
        <w:t>Research on Anomaly Detection and Perception of Financial Data Based on Time Series</w:t>
      </w:r>
    </w:p>
    <w:p w14:paraId="58E09020">
      <w:pPr>
        <w:pStyle w:val="20"/>
        <w:spacing w:line="360" w:lineRule="auto"/>
        <w:jc w:val="center"/>
        <w:rPr>
          <w:rFonts w:ascii="Times New Roman" w:hAnsi="Times New Roman" w:eastAsia="宋体"/>
          <w:b/>
        </w:rPr>
      </w:pPr>
      <w:r>
        <w:rPr>
          <w:rFonts w:ascii="Times New Roman" w:hAnsi="Times New Roman" w:eastAsia="宋体"/>
          <w:b/>
        </w:rPr>
        <w:t>Diao Yong</w:t>
      </w:r>
    </w:p>
    <w:p w14:paraId="7898069C">
      <w:pPr>
        <w:pStyle w:val="20"/>
        <w:spacing w:line="360" w:lineRule="auto"/>
        <w:rPr>
          <w:rFonts w:ascii="Times New Roman" w:hAnsi="Times New Roman" w:eastAsia="宋体"/>
          <w:b/>
        </w:rPr>
      </w:pPr>
      <w:r>
        <w:rPr>
          <w:rFonts w:ascii="Times New Roman" w:hAnsi="Times New Roman" w:eastAsia="宋体"/>
          <w:b/>
        </w:rPr>
        <w:t xml:space="preserve"> (Library and Archives, Dalian Maritime University, Dalian,  116026,China)</w:t>
      </w:r>
    </w:p>
    <w:p w14:paraId="1CE572B0">
      <w:pPr>
        <w:pStyle w:val="20"/>
        <w:spacing w:line="360" w:lineRule="auto"/>
        <w:jc w:val="center"/>
        <w:rPr>
          <w:rFonts w:ascii="Times New Roman" w:hAnsi="Times New Roman" w:eastAsia="宋体"/>
          <w:b/>
          <w:sz w:val="30"/>
          <w:szCs w:val="30"/>
        </w:rPr>
      </w:pPr>
      <w:r>
        <w:rPr>
          <w:rFonts w:ascii="Segoe UI Symbol" w:hAnsi="Segoe UI Symbol" w:eastAsia="宋体" w:cs="Segoe UI Symbol"/>
          <w:b/>
          <w:sz w:val="30"/>
          <w:szCs w:val="30"/>
        </w:rPr>
        <w:t>📧</w:t>
      </w:r>
      <w:r>
        <w:rPr>
          <w:rFonts w:ascii="Times New Roman" w:hAnsi="Times New Roman" w:eastAsia="宋体"/>
          <w:b/>
          <w:sz w:val="30"/>
          <w:szCs w:val="30"/>
        </w:rPr>
        <w:t>diao_yong@dlmu.edu.cn</w:t>
      </w:r>
    </w:p>
    <w:p w14:paraId="53A48311">
      <w:pPr>
        <w:pStyle w:val="20"/>
        <w:spacing w:line="360" w:lineRule="auto"/>
        <w:ind w:firstLine="482" w:firstLineChars="200"/>
        <w:jc w:val="both"/>
        <w:rPr>
          <w:rFonts w:ascii="Times New Roman" w:hAnsi="Times New Roman" w:eastAsia="宋体"/>
        </w:rPr>
      </w:pPr>
      <w:r>
        <w:rPr>
          <w:rFonts w:ascii="Times New Roman" w:hAnsi="Times New Roman" w:eastAsia="宋体"/>
          <w:b/>
        </w:rPr>
        <w:t xml:space="preserve">Abstract: </w:t>
      </w:r>
      <w:r>
        <w:rPr>
          <w:rFonts w:ascii="Times New Roman" w:hAnsi="Times New Roman" w:eastAsia="宋体"/>
        </w:rPr>
        <w:t xml:space="preserve">Anomaly detection in the operational data of financial IT infrastructure is a core technology for ensuring business continuity and system stability. Addressing challenges such as the high-dimensional time-series characteristics of financial operational data, this paper proposes an unsupervised anomaly detection framework based on a hierarchical hybrid strategy. Based on Chandola’s classic framework, this paper formally defines </w:t>
      </w:r>
      <w:r>
        <w:rPr>
          <w:rFonts w:ascii="Times New Roman" w:hAnsi="Times New Roman" w:eastAsia="宋体"/>
          <w:bCs/>
        </w:rPr>
        <w:t>point anomalies</w:t>
      </w:r>
      <w:r>
        <w:rPr>
          <w:rFonts w:ascii="Times New Roman" w:hAnsi="Times New Roman" w:eastAsia="宋体"/>
        </w:rPr>
        <w:t xml:space="preserve">, </w:t>
      </w:r>
      <w:r>
        <w:rPr>
          <w:rFonts w:ascii="Times New Roman" w:hAnsi="Times New Roman" w:eastAsia="宋体"/>
          <w:bCs/>
        </w:rPr>
        <w:t>contextual anomalies</w:t>
      </w:r>
      <w:r>
        <w:rPr>
          <w:rFonts w:ascii="Times New Roman" w:hAnsi="Times New Roman" w:eastAsia="宋体"/>
        </w:rPr>
        <w:t xml:space="preserve">, and </w:t>
      </w:r>
      <w:r>
        <w:rPr>
          <w:rFonts w:ascii="Times New Roman" w:hAnsi="Times New Roman" w:eastAsia="宋体"/>
          <w:bCs/>
        </w:rPr>
        <w:t>collective anomalies</w:t>
      </w:r>
      <w:r>
        <w:rPr>
          <w:rFonts w:ascii="Times New Roman" w:hAnsi="Times New Roman" w:eastAsia="宋体"/>
        </w:rPr>
        <w:t xml:space="preserve">, clarifying the determination criteria and application scenarios for these three categories.At the detection layer, the framework adopts a three-stage hierarchical detection strategy: the first stage utilizes traditional machine learning algorithms, such as </w:t>
      </w:r>
      <w:r>
        <w:rPr>
          <w:rFonts w:ascii="Times New Roman" w:hAnsi="Times New Roman" w:eastAsia="宋体"/>
          <w:bCs/>
        </w:rPr>
        <w:t>K-Nearest Neighbors (KNN)</w:t>
      </w:r>
      <w:r>
        <w:rPr>
          <w:rFonts w:ascii="Times New Roman" w:hAnsi="Times New Roman" w:eastAsia="宋体"/>
        </w:rPr>
        <w:t xml:space="preserve">, for rapid global screening; the second stage employs deep learning models, such as </w:t>
      </w:r>
      <w:r>
        <w:rPr>
          <w:rFonts w:ascii="Times New Roman" w:hAnsi="Times New Roman" w:eastAsia="宋体"/>
          <w:bCs/>
        </w:rPr>
        <w:t>GRU Autoencoders</w:t>
      </w:r>
      <w:r>
        <w:rPr>
          <w:rFonts w:ascii="Times New Roman" w:hAnsi="Times New Roman" w:eastAsia="宋体"/>
        </w:rPr>
        <w:t>; and the third stage achieves final anomaly determination through a weighted fusion mechanism and a dynamic thresholding strategy.Furthermore, this paper explores a comprehensive engineering solution for end-to-end real-time anomaly detection of financial operational data. These research results hold significant theoretical value and practical relevance for enhancing intelligent IT operations in financial systems and mitigating operational risks.</w:t>
      </w:r>
    </w:p>
    <w:p w14:paraId="3B02603F">
      <w:pPr>
        <w:pStyle w:val="20"/>
        <w:spacing w:line="360" w:lineRule="auto"/>
        <w:ind w:firstLine="482" w:firstLineChars="200"/>
        <w:rPr>
          <w:rFonts w:ascii="宋体" w:hAnsi="宋体" w:eastAsia="宋体"/>
        </w:rPr>
      </w:pPr>
      <w:r>
        <w:rPr>
          <w:rFonts w:ascii="宋体" w:hAnsi="宋体" w:eastAsia="宋体"/>
          <w:b/>
          <w:bCs/>
        </w:rPr>
        <w:t>Key words:</w:t>
      </w:r>
      <w:r>
        <w:rPr>
          <w:rFonts w:ascii="宋体" w:hAnsi="宋体" w:eastAsia="宋体"/>
        </w:rPr>
        <w:t xml:space="preserve"> Time Series Anomaly Detection; Financial Operational Data; Open Telemetry; Multi-layer Hybrid Strategy</w:t>
      </w:r>
    </w:p>
    <w:bookmarkEnd w:id="4"/>
    <w:p w14:paraId="0DE4D724">
      <w:pPr>
        <w:pStyle w:val="3"/>
        <w:spacing w:line="360" w:lineRule="auto"/>
        <w:rPr>
          <w:rFonts w:ascii="宋体" w:hAnsi="宋体" w:eastAsia="宋体"/>
        </w:rPr>
      </w:pPr>
      <w:bookmarkStart w:id="5" w:name="X44279eac20f6887fb929820f4650cbdff20439b"/>
      <w:r>
        <w:rPr>
          <w:rFonts w:ascii="宋体" w:hAnsi="宋体" w:eastAsia="宋体"/>
        </w:rPr>
        <w:commentReference w:id="3"/>
      </w:r>
    </w:p>
    <w:bookmarkEnd w:id="5"/>
    <w:p w14:paraId="2958AF0F">
      <w:pPr>
        <w:pStyle w:val="3"/>
        <w:spacing w:line="360" w:lineRule="auto"/>
        <w:rPr>
          <w:rFonts w:ascii="宋体" w:hAnsi="宋体" w:eastAsia="宋体"/>
          <w:b/>
          <w:sz w:val="28"/>
          <w:szCs w:val="28"/>
        </w:rPr>
      </w:pPr>
      <w:bookmarkStart w:id="6" w:name="引言introduction"/>
      <w:r>
        <w:rPr>
          <w:rFonts w:ascii="宋体" w:hAnsi="宋体" w:eastAsia="宋体"/>
          <w:b/>
          <w:sz w:val="28"/>
          <w:szCs w:val="28"/>
        </w:rPr>
        <w:t>0</w:t>
      </w:r>
      <w:commentRangeStart w:id="4"/>
      <w:r>
        <w:rPr>
          <w:rFonts w:ascii="宋体" w:hAnsi="宋体" w:eastAsia="宋体"/>
          <w:b/>
          <w:sz w:val="28"/>
          <w:szCs w:val="28"/>
        </w:rPr>
        <w:t xml:space="preserve"> </w:t>
      </w:r>
      <w:r>
        <w:rPr>
          <w:rFonts w:hint="eastAsia" w:ascii="宋体" w:hAnsi="宋体" w:eastAsia="宋体"/>
          <w:b/>
          <w:sz w:val="28"/>
          <w:szCs w:val="28"/>
        </w:rPr>
        <w:t>引言(</w:t>
      </w:r>
      <w:r>
        <w:rPr>
          <w:rFonts w:ascii="宋体" w:hAnsi="宋体" w:eastAsia="宋体" w:cs="Times New Roman"/>
          <w:b/>
          <w:sz w:val="28"/>
          <w:szCs w:val="28"/>
        </w:rPr>
        <w:t>Introduction</w:t>
      </w:r>
      <w:r>
        <w:rPr>
          <w:rFonts w:hint="eastAsia" w:ascii="宋体" w:hAnsi="宋体" w:eastAsia="宋体"/>
          <w:b/>
          <w:sz w:val="28"/>
          <w:szCs w:val="28"/>
        </w:rPr>
        <w:t>)</w:t>
      </w:r>
      <w:commentRangeEnd w:id="4"/>
      <w:r>
        <w:rPr>
          <w:rFonts w:ascii="宋体" w:hAnsi="宋体" w:eastAsia="宋体"/>
          <w:b/>
          <w:sz w:val="28"/>
          <w:szCs w:val="28"/>
        </w:rPr>
        <w:commentReference w:id="4"/>
      </w:r>
    </w:p>
    <w:p w14:paraId="12F6686B">
      <w:pPr>
        <w:pStyle w:val="29"/>
        <w:spacing w:line="360" w:lineRule="auto"/>
        <w:ind w:firstLine="480" w:firstLineChars="200"/>
        <w:rPr>
          <w:rFonts w:ascii="宋体" w:hAnsi="宋体" w:eastAsia="宋体"/>
        </w:rPr>
      </w:pPr>
      <w:r>
        <w:rPr>
          <w:rFonts w:hint="eastAsia" w:ascii="宋体" w:hAnsi="宋体" w:eastAsia="宋体"/>
        </w:rPr>
        <w:t>随着金融科技的快速发展和数字化转型的深入推进，金融机构的IT基础设施产生了海量的运营数据（非交易型数据），呈现出典型的大规模时序特征。运营数据中的异常往往预示着系统故障、性能劣化、数据质量问题或潜在的安全风险，若不能及时发现和处理，将严重影响业务连续性和用户体验，甚至导致重大经济损失和监管合规问题。传统的基于规则和阈值的异常检测方法在面对多维、非线性、动态变化的运营数据时表现出明显的局限性。为解决上述问题，本文提出无监督机器学习算法进行自动化异常检测，基于多层混合策略的无监督异常检测框架，通过快速筛选、深度分析和自适应融合三阶段分析，在保持高召回率的同时降低误报率和计算成本开销。</w:t>
      </w:r>
    </w:p>
    <w:p w14:paraId="61D47DFB">
      <w:pPr>
        <w:pStyle w:val="3"/>
      </w:pPr>
    </w:p>
    <w:bookmarkEnd w:id="6"/>
    <w:p w14:paraId="2B7DC2D2">
      <w:pPr>
        <w:pStyle w:val="3"/>
        <w:rPr>
          <w:rFonts w:ascii="宋体" w:hAnsi="宋体" w:eastAsia="宋体"/>
          <w:b/>
          <w:color w:val="000000" w:themeColor="text1"/>
          <w:sz w:val="30"/>
          <w:szCs w:val="30"/>
          <w14:textFill>
            <w14:solidFill>
              <w14:schemeClr w14:val="tx1"/>
            </w14:solidFill>
          </w14:textFill>
        </w:rPr>
      </w:pPr>
      <w:bookmarkStart w:id="7" w:name="传统异常检测方法的局限性与挑战"/>
      <w:r>
        <w:rPr>
          <w:rFonts w:ascii="宋体" w:hAnsi="宋体" w:eastAsia="宋体"/>
          <w:b/>
          <w:color w:val="000000" w:themeColor="text1"/>
          <w:sz w:val="30"/>
          <w:szCs w:val="30"/>
          <w14:textFill>
            <w14:solidFill>
              <w14:schemeClr w14:val="tx1"/>
            </w14:solidFill>
          </w14:textFill>
        </w:rPr>
        <w:t xml:space="preserve">1 </w:t>
      </w:r>
      <w:bookmarkStart w:id="8" w:name="OLE_LINK10"/>
      <w:bookmarkStart w:id="9" w:name="OLE_LINK9"/>
      <w:r>
        <w:rPr>
          <w:rFonts w:hint="eastAsia" w:ascii="宋体" w:hAnsi="宋体" w:eastAsia="宋体"/>
          <w:b/>
          <w:color w:val="000000" w:themeColor="text1"/>
          <w:sz w:val="30"/>
          <w:szCs w:val="30"/>
          <w14:textFill>
            <w14:solidFill>
              <w14:schemeClr w14:val="tx1"/>
            </w14:solidFill>
          </w14:textFill>
        </w:rPr>
        <w:t>传统异常检测方法的局限性与挑战</w:t>
      </w:r>
      <w:bookmarkEnd w:id="8"/>
      <w:bookmarkEnd w:id="9"/>
      <w:r>
        <w:rPr>
          <w:rFonts w:hint="eastAsia" w:ascii="宋体" w:hAnsi="宋体" w:eastAsia="宋体"/>
          <w:b/>
          <w:color w:val="000000" w:themeColor="text1"/>
          <w:sz w:val="30"/>
          <w:szCs w:val="30"/>
          <w14:textFill>
            <w14:solidFill>
              <w14:schemeClr w14:val="tx1"/>
            </w14:solidFill>
          </w14:textFill>
        </w:rPr>
        <w:t>(</w:t>
      </w:r>
      <w:r>
        <w:rPr>
          <w:rFonts w:ascii="宋体" w:hAnsi="宋体" w:eastAsia="宋体" w:cs="Times New Roman"/>
          <w:b/>
          <w:color w:val="000000" w:themeColor="text1"/>
          <w:sz w:val="30"/>
          <w:szCs w:val="30"/>
          <w14:textFill>
            <w14:solidFill>
              <w14:schemeClr w14:val="tx1"/>
            </w14:solidFill>
          </w14:textFill>
        </w:rPr>
        <w:t>Limitations and Challenges of Traditional Anomaly Detection Methods</w:t>
      </w:r>
      <w:r>
        <w:rPr>
          <w:rFonts w:hint="eastAsia" w:ascii="宋体" w:hAnsi="宋体" w:eastAsia="宋体"/>
          <w:b/>
          <w:color w:val="000000" w:themeColor="text1"/>
          <w:sz w:val="30"/>
          <w:szCs w:val="30"/>
          <w14:textFill>
            <w14:solidFill>
              <w14:schemeClr w14:val="tx1"/>
            </w14:solidFill>
          </w14:textFill>
        </w:rPr>
        <w:t>)</w:t>
      </w:r>
    </w:p>
    <w:p w14:paraId="12A7AA90">
      <w:pPr>
        <w:pStyle w:val="29"/>
        <w:spacing w:line="360" w:lineRule="auto"/>
        <w:ind w:firstLine="480" w:firstLineChars="200"/>
        <w:rPr>
          <w:rFonts w:ascii="宋体" w:hAnsi="宋体" w:eastAsia="宋体"/>
        </w:rPr>
      </w:pPr>
      <w:r>
        <w:rPr>
          <w:rFonts w:hint="eastAsia" w:ascii="宋体" w:hAnsi="宋体" w:eastAsia="宋体"/>
        </w:rPr>
        <w:t>在金融运营数据场景中，传统的基于规则和固定阈值的异常检测方法面临以下关键挑战：</w:t>
      </w:r>
    </w:p>
    <w:p w14:paraId="45471999">
      <w:pPr>
        <w:pStyle w:val="29"/>
        <w:spacing w:line="360" w:lineRule="auto"/>
        <w:ind w:firstLine="480" w:firstLineChars="200"/>
        <w:rPr>
          <w:rFonts w:ascii="宋体" w:hAnsi="宋体" w:eastAsia="宋体"/>
        </w:rPr>
      </w:pPr>
      <w:r>
        <w:rPr>
          <w:rFonts w:hint="eastAsia" w:ascii="宋体" w:hAnsi="宋体" w:eastAsia="宋体"/>
        </w:rPr>
        <w:t>（1）规则维护成本高昂：</w:t>
      </w:r>
      <w:r>
        <w:rPr>
          <w:rFonts w:ascii="宋体" w:hAnsi="宋体" w:eastAsia="宋体"/>
        </w:rPr>
        <w:t xml:space="preserve"> </w:t>
      </w:r>
      <w:r>
        <w:rPr>
          <w:rFonts w:hint="eastAsia" w:ascii="宋体" w:hAnsi="宋体" w:eastAsia="宋体"/>
        </w:rPr>
        <w:t>传统方法依赖人工定义的业务规则（如“CPU使用率&gt;80%持续5分钟触发告警”），但金融系统的复杂度不断提升，规则数量呈指数级增长。据统计，大型金融机构的监控规则数量可达数万条，维护成本极高且容易产生规则冲突</w:t>
      </w:r>
      <w:r>
        <w:rPr>
          <w:rFonts w:ascii="宋体" w:hAnsi="宋体" w:eastAsia="宋体"/>
          <w:vertAlign w:val="superscript"/>
        </w:rPr>
        <w:t>[1]</w:t>
      </w:r>
      <w:r>
        <w:rPr>
          <w:rFonts w:hint="eastAsia" w:ascii="宋体" w:hAnsi="宋体" w:eastAsia="宋体"/>
        </w:rPr>
        <w:t>。</w:t>
      </w:r>
    </w:p>
    <w:p w14:paraId="53ADE0C4">
      <w:pPr>
        <w:pStyle w:val="29"/>
        <w:spacing w:line="360" w:lineRule="auto"/>
        <w:ind w:firstLine="480" w:firstLineChars="200"/>
        <w:rPr>
          <w:rFonts w:ascii="宋体" w:hAnsi="宋体" w:eastAsia="宋体"/>
        </w:rPr>
      </w:pPr>
      <w:r>
        <w:rPr>
          <w:rFonts w:hint="eastAsia" w:ascii="宋体" w:hAnsi="宋体" w:eastAsia="宋体"/>
        </w:rPr>
        <w:t>（2）静态阈值难以适应动态环境：</w:t>
      </w:r>
      <w:r>
        <w:rPr>
          <w:rFonts w:ascii="宋体" w:hAnsi="宋体" w:eastAsia="宋体"/>
        </w:rPr>
        <w:t xml:space="preserve"> </w:t>
      </w:r>
      <w:r>
        <w:rPr>
          <w:rFonts w:hint="eastAsia" w:ascii="宋体" w:hAnsi="宋体" w:eastAsia="宋体"/>
        </w:rPr>
        <w:t>金融业务存在明显的周期性和季节性特征（如月末、季末、年末的批处理高峰），静态阈值无法自适应这些变化，导致在正常业务高峰期产生大量误报（</w:t>
      </w:r>
      <w:r>
        <w:rPr>
          <w:rFonts w:ascii="宋体" w:hAnsi="宋体" w:eastAsia="宋体" w:cs="Times New Roman"/>
        </w:rPr>
        <w:t>False Positives</w:t>
      </w:r>
      <w:r>
        <w:rPr>
          <w:rFonts w:hint="eastAsia" w:ascii="宋体" w:hAnsi="宋体" w:eastAsia="宋体"/>
        </w:rPr>
        <w:t>），造成“告警疲劳”（</w:t>
      </w:r>
      <w:r>
        <w:rPr>
          <w:rFonts w:ascii="宋体" w:hAnsi="宋体" w:eastAsia="宋体" w:cs="Times New Roman"/>
        </w:rPr>
        <w:t>Alert Fatigue</w:t>
      </w:r>
      <w:r>
        <w:rPr>
          <w:rFonts w:hint="eastAsia" w:ascii="宋体" w:hAnsi="宋体" w:eastAsia="宋体"/>
        </w:rPr>
        <w:t>），降低运维团队的响应效率。</w:t>
      </w:r>
    </w:p>
    <w:p w14:paraId="5094A568">
      <w:pPr>
        <w:pStyle w:val="29"/>
        <w:spacing w:line="360" w:lineRule="auto"/>
        <w:ind w:firstLine="480" w:firstLineChars="200"/>
        <w:rPr>
          <w:rFonts w:ascii="宋体" w:hAnsi="宋体" w:eastAsia="宋体"/>
        </w:rPr>
      </w:pPr>
      <w:r>
        <w:rPr>
          <w:rFonts w:hint="eastAsia" w:ascii="宋体" w:hAnsi="宋体" w:eastAsia="宋体"/>
        </w:rPr>
        <w:t>（3）高维数据的“维度灾难”：</w:t>
      </w:r>
      <w:r>
        <w:rPr>
          <w:rFonts w:ascii="宋体" w:hAnsi="宋体" w:eastAsia="宋体"/>
        </w:rPr>
        <w:t xml:space="preserve"> </w:t>
      </w:r>
      <w:r>
        <w:rPr>
          <w:rFonts w:hint="eastAsia" w:ascii="宋体" w:hAnsi="宋体" w:eastAsia="宋体"/>
        </w:rPr>
        <w:t>现代金融系统的可观测性数据维度极高（可达数百至上千维特征），传统规则难以覆盖特征间的复杂交互关系。例如，单独的“</w:t>
      </w:r>
      <w:r>
        <w:rPr>
          <w:rFonts w:ascii="宋体" w:hAnsi="宋体" w:eastAsia="宋体" w:cs="Times New Roman"/>
        </w:rPr>
        <w:t>API</w:t>
      </w:r>
      <w:r>
        <w:rPr>
          <w:rFonts w:hint="eastAsia" w:ascii="宋体" w:hAnsi="宋体" w:eastAsia="宋体"/>
        </w:rPr>
        <w:t>延迟高”或“数据库查询慢”可能不足以判定异常，但两者同时出现且伴随特定的流量模式时，则很可能预示着严重的系统问题。</w:t>
      </w:r>
    </w:p>
    <w:p w14:paraId="719A5754">
      <w:pPr>
        <w:pStyle w:val="29"/>
        <w:spacing w:line="360" w:lineRule="auto"/>
        <w:ind w:firstLine="480" w:firstLineChars="200"/>
        <w:rPr>
          <w:rFonts w:ascii="宋体" w:hAnsi="宋体" w:eastAsia="宋体"/>
        </w:rPr>
      </w:pPr>
      <w:r>
        <w:rPr>
          <w:rFonts w:hint="eastAsia" w:ascii="宋体" w:hAnsi="宋体" w:eastAsia="宋体"/>
        </w:rPr>
        <w:t>（4）人工标注数据稀缺：</w:t>
      </w:r>
      <w:r>
        <w:rPr>
          <w:rFonts w:ascii="宋体" w:hAnsi="宋体" w:eastAsia="宋体"/>
        </w:rPr>
        <w:t xml:space="preserve"> </w:t>
      </w:r>
      <w:r>
        <w:rPr>
          <w:rFonts w:hint="eastAsia" w:ascii="宋体" w:hAnsi="宋体" w:eastAsia="宋体"/>
        </w:rPr>
        <w:t>在运营监控场景中，获取高质量的标注异常数据（</w:t>
      </w:r>
      <w:r>
        <w:rPr>
          <w:rFonts w:ascii="宋体" w:hAnsi="宋体" w:eastAsia="宋体" w:cs="Times New Roman"/>
        </w:rPr>
        <w:t>Labeled Data</w:t>
      </w:r>
      <w:r>
        <w:rPr>
          <w:rFonts w:hint="eastAsia" w:ascii="宋体" w:hAnsi="宋体" w:eastAsia="宋体"/>
        </w:rPr>
        <w:t>）成本极高，且异常类型多样、分布不均衡（异常样本通常占比不到1-5%），使得监督学习方法难以有效应用。</w:t>
      </w:r>
    </w:p>
    <w:p w14:paraId="49151578">
      <w:pPr>
        <w:pStyle w:val="29"/>
        <w:spacing w:line="360" w:lineRule="auto"/>
        <w:ind w:firstLine="480" w:firstLineChars="200"/>
        <w:rPr>
          <w:rFonts w:ascii="宋体" w:hAnsi="宋体" w:eastAsia="宋体"/>
        </w:rPr>
      </w:pPr>
      <w:r>
        <w:rPr>
          <w:rFonts w:hint="eastAsia" w:ascii="宋体" w:hAnsi="宋体" w:eastAsia="宋体"/>
        </w:rPr>
        <w:t>因此，全自动、高精度、可解释的无监督异常检测技术成为金融机构迫切需要攻克的技术难题。</w:t>
      </w:r>
    </w:p>
    <w:p w14:paraId="47FBBCB1">
      <w:pPr>
        <w:pStyle w:val="3"/>
      </w:pPr>
    </w:p>
    <w:bookmarkEnd w:id="7"/>
    <w:p w14:paraId="48E5826C">
      <w:pPr>
        <w:pStyle w:val="3"/>
        <w:rPr>
          <w:rFonts w:ascii="宋体" w:hAnsi="宋体" w:eastAsia="宋体"/>
          <w:b/>
          <w:sz w:val="30"/>
          <w:szCs w:val="30"/>
        </w:rPr>
      </w:pPr>
      <w:bookmarkStart w:id="10" w:name="运营数据的核心特征"/>
      <w:r>
        <w:rPr>
          <w:rFonts w:ascii="宋体" w:hAnsi="宋体" w:eastAsia="宋体"/>
          <w:b/>
          <w:sz w:val="30"/>
          <w:szCs w:val="30"/>
        </w:rPr>
        <w:t xml:space="preserve">2 </w:t>
      </w:r>
      <w:bookmarkStart w:id="11" w:name="OLE_LINK12"/>
      <w:bookmarkStart w:id="12" w:name="OLE_LINK11"/>
      <w:r>
        <w:rPr>
          <w:rFonts w:hint="eastAsia" w:ascii="宋体" w:hAnsi="宋体" w:eastAsia="宋体"/>
          <w:b/>
          <w:color w:val="000000" w:themeColor="text1"/>
          <w:sz w:val="30"/>
          <w:szCs w:val="30"/>
          <w14:textFill>
            <w14:solidFill>
              <w14:schemeClr w14:val="tx1"/>
            </w14:solidFill>
          </w14:textFill>
        </w:rPr>
        <w:t>运营</w:t>
      </w:r>
      <w:r>
        <w:rPr>
          <w:rFonts w:hint="eastAsia" w:ascii="宋体" w:hAnsi="宋体" w:eastAsia="宋体"/>
          <w:b/>
          <w:sz w:val="30"/>
          <w:szCs w:val="30"/>
        </w:rPr>
        <w:t>数据的核心特征</w:t>
      </w:r>
      <w:bookmarkEnd w:id="11"/>
      <w:bookmarkEnd w:id="12"/>
      <w:r>
        <w:rPr>
          <w:rFonts w:hint="eastAsia" w:ascii="宋体" w:hAnsi="宋体" w:eastAsia="宋体"/>
          <w:b/>
          <w:sz w:val="30"/>
          <w:szCs w:val="30"/>
        </w:rPr>
        <w:t>(</w:t>
      </w:r>
      <w:r>
        <w:rPr>
          <w:rFonts w:ascii="宋体" w:hAnsi="宋体" w:eastAsia="宋体"/>
          <w:b/>
          <w:sz w:val="30"/>
          <w:szCs w:val="30"/>
        </w:rPr>
        <w:t>Core Characteristics of Operational Data</w:t>
      </w:r>
      <w:r>
        <w:rPr>
          <w:rFonts w:hint="eastAsia" w:ascii="宋体" w:hAnsi="宋体" w:eastAsia="宋体"/>
          <w:b/>
          <w:sz w:val="30"/>
          <w:szCs w:val="30"/>
        </w:rPr>
        <w:t>)</w:t>
      </w:r>
    </w:p>
    <w:p w14:paraId="27C93D4E">
      <w:pPr>
        <w:pStyle w:val="29"/>
        <w:spacing w:line="360" w:lineRule="auto"/>
        <w:ind w:firstLine="480" w:firstLineChars="200"/>
        <w:rPr>
          <w:rFonts w:ascii="宋体" w:hAnsi="宋体" w:eastAsia="宋体"/>
        </w:rPr>
      </w:pPr>
      <w:r>
        <w:rPr>
          <w:rFonts w:hint="eastAsia" w:ascii="宋体" w:hAnsi="宋体" w:eastAsia="宋体"/>
        </w:rPr>
        <w:t>金融运营数据</w:t>
      </w:r>
      <w:commentRangeStart w:id="5"/>
      <w:r>
        <w:rPr>
          <w:rFonts w:ascii="宋体" w:hAnsi="宋体" w:eastAsia="宋体"/>
        </w:rPr>
        <w:t xml:space="preserve"> (</w:t>
      </w:r>
      <w:r>
        <w:rPr>
          <w:rFonts w:ascii="宋体" w:hAnsi="宋体" w:eastAsia="宋体" w:cs="Times New Roman"/>
        </w:rPr>
        <w:t>Financial Operational Data</w:t>
      </w:r>
      <w:r>
        <w:rPr>
          <w:rFonts w:ascii="宋体" w:hAnsi="宋体" w:eastAsia="宋体"/>
        </w:rPr>
        <w:t>, FOD)</w:t>
      </w:r>
      <w:commentRangeEnd w:id="5"/>
      <w:r>
        <w:rPr>
          <w:rFonts w:ascii="宋体" w:hAnsi="宋体" w:eastAsia="宋体"/>
        </w:rPr>
        <w:commentReference w:id="5"/>
      </w:r>
      <w:r>
        <w:rPr>
          <w:rFonts w:ascii="宋体" w:hAnsi="宋体" w:eastAsia="宋体"/>
        </w:rPr>
        <w:t xml:space="preserve"> </w:t>
      </w:r>
      <w:r>
        <w:rPr>
          <w:rFonts w:hint="eastAsia" w:ascii="宋体" w:hAnsi="宋体" w:eastAsia="宋体"/>
        </w:rPr>
        <w:t>区别于交易数据</w:t>
      </w:r>
      <w:r>
        <w:rPr>
          <w:rFonts w:ascii="宋体" w:hAnsi="宋体" w:eastAsia="宋体"/>
        </w:rPr>
        <w:t xml:space="preserve"> (</w:t>
      </w:r>
      <w:r>
        <w:rPr>
          <w:rFonts w:ascii="宋体" w:hAnsi="宋体" w:eastAsia="宋体" w:cs="Times New Roman"/>
        </w:rPr>
        <w:t>Transactional Data</w:t>
      </w:r>
      <w:r>
        <w:rPr>
          <w:rFonts w:ascii="宋体" w:hAnsi="宋体" w:eastAsia="宋体"/>
        </w:rPr>
        <w:t>, TD</w:t>
      </w:r>
      <w:r>
        <w:rPr>
          <w:rFonts w:hint="eastAsia" w:ascii="宋体" w:hAnsi="宋体" w:eastAsia="宋体"/>
        </w:rPr>
        <w:t>)，主要指金融机构IT基础设施和业务系统在运行过程中产生的监控、日志、度量数据。这类数据呈现出显著的时间序列特性，数据点按时间顺序生成且相邻时间点之间存在强相关性。系统负载在工作时间和非工作时间的差异清晰可见，同时存在多层次的周期性模式，包括日周期的24</w:t>
      </w:r>
      <w:r>
        <w:rPr>
          <w:rFonts w:ascii="宋体" w:hAnsi="宋体" w:eastAsia="宋体" w:cs="Times New Roman"/>
        </w:rPr>
        <w:t>h</w:t>
      </w:r>
      <w:r>
        <w:rPr>
          <w:rFonts w:hint="eastAsia" w:ascii="宋体" w:hAnsi="宋体" w:eastAsia="宋体"/>
        </w:rPr>
        <w:t>环、工作日与周末的周周期差异、月初月中月末的业务高峰月周期，以及财报季和审计季带来的年度周期性。长期观察这些数据往往能发现明显的趋势性，例如随着业务规模增长，系统负载呈现持续上升的态势。</w:t>
      </w:r>
    </w:p>
    <w:p w14:paraId="6E41AB88">
      <w:pPr>
        <w:pStyle w:val="3"/>
        <w:spacing w:line="360" w:lineRule="auto"/>
        <w:ind w:firstLine="480" w:firstLineChars="200"/>
        <w:rPr>
          <w:rFonts w:ascii="宋体" w:hAnsi="宋体" w:eastAsia="宋体"/>
        </w:rPr>
      </w:pPr>
      <w:r>
        <w:rPr>
          <w:rFonts w:hint="eastAsia" w:ascii="宋体" w:hAnsi="宋体" w:eastAsia="宋体"/>
        </w:rPr>
        <w:t>运营数据的单个监控对象通常包含数十至数百个监控指标，而整个系统级别的特征维度可达数千。这些数据类型涵盖连续型数值如CPU使用率和内存占用、离散型计数如错误次数和请求数、以及类别型标签如日志级别和服务状态。不同指标之间的量纲差异极大，响应时间以</w:t>
      </w:r>
      <w:r>
        <w:rPr>
          <w:rFonts w:ascii="宋体" w:hAnsi="宋体" w:eastAsia="宋体" w:cs="Times New Roman"/>
        </w:rPr>
        <w:t>ms</w:t>
      </w:r>
      <w:r>
        <w:rPr>
          <w:rFonts w:hint="eastAsia" w:ascii="宋体" w:hAnsi="宋体" w:eastAsia="宋体"/>
        </w:rPr>
        <w:t>单位，而吞吐量可能达到万级QPS</w:t>
      </w:r>
      <w:r>
        <w:rPr>
          <w:rFonts w:hint="eastAsia" w:ascii="宋体" w:hAnsi="宋体" w:eastAsia="宋体" w:cs="Times New Roman"/>
        </w:rPr>
        <w:t>（Queries</w:t>
      </w:r>
      <w:r>
        <w:rPr>
          <w:rFonts w:ascii="宋体" w:hAnsi="宋体" w:eastAsia="宋体" w:cs="Times New Roman"/>
        </w:rPr>
        <w:t xml:space="preserve"> Per Second, QPS</w:t>
      </w:r>
      <w:r>
        <w:rPr>
          <w:rFonts w:hint="eastAsia" w:ascii="宋体" w:hAnsi="宋体" w:eastAsia="宋体" w:cs="Times New Roman"/>
        </w:rPr>
        <w:t>）</w:t>
      </w:r>
      <w:r>
        <w:rPr>
          <w:rFonts w:ascii="宋体" w:hAnsi="宋体" w:eastAsia="宋体"/>
        </w:rPr>
        <w:t>,</w:t>
      </w:r>
      <w:r>
        <w:rPr>
          <w:rFonts w:hint="eastAsia" w:ascii="宋体" w:hAnsi="宋体" w:eastAsia="宋体"/>
        </w:rPr>
        <w:t>这种差异性使得数据标准化成为必不可少的预处理步骤。</w:t>
      </w:r>
    </w:p>
    <w:p w14:paraId="685E6435">
      <w:pPr>
        <w:pStyle w:val="3"/>
        <w:spacing w:line="360" w:lineRule="auto"/>
        <w:ind w:firstLine="480" w:firstLineChars="200"/>
        <w:rPr>
          <w:rFonts w:ascii="宋体" w:hAnsi="宋体" w:eastAsia="宋体"/>
        </w:rPr>
      </w:pPr>
      <w:r>
        <w:rPr>
          <w:rFonts w:hint="eastAsia" w:ascii="宋体" w:hAnsi="宋体" w:eastAsia="宋体"/>
        </w:rPr>
        <w:t>大型金融机构每天产生的运营日志和监控数据可达TB至PB级别，样本数量从百万级到亿级不等。这些数据以流式方式持续产生，对采集、传输和处理的实时性要求达到秒级甚至亚秒级。传统的单机处理能力已远不能满足需求，必须依赖分布式存储和计算框架来应对这种规模的数据处理挑战。</w:t>
      </w:r>
    </w:p>
    <w:p w14:paraId="0837435D">
      <w:pPr>
        <w:pStyle w:val="3"/>
        <w:spacing w:line="360" w:lineRule="auto"/>
        <w:ind w:firstLine="480" w:firstLineChars="200"/>
        <w:rPr>
          <w:rFonts w:ascii="宋体" w:hAnsi="宋体" w:eastAsia="宋体"/>
        </w:rPr>
      </w:pPr>
      <w:r>
        <w:rPr>
          <w:rFonts w:hint="eastAsia" w:ascii="宋体" w:hAnsi="宋体" w:eastAsia="宋体"/>
        </w:rPr>
        <w:t>概念漂移</w:t>
      </w:r>
      <w:r>
        <w:rPr>
          <w:rFonts w:ascii="宋体" w:hAnsi="宋体" w:eastAsia="宋体"/>
        </w:rPr>
        <w:t xml:space="preserve"> (Concept Drift) </w:t>
      </w:r>
      <w:r>
        <w:rPr>
          <w:rFonts w:hint="eastAsia" w:ascii="宋体" w:hAnsi="宋体" w:eastAsia="宋体"/>
        </w:rPr>
        <w:t>是运营数据面临的另一个关键问题。数据分布并非静态不变，而是随时间动态演化。系统升级、业务扩展、架构调整都会导致正常数据的统计特性发生改变，新的异常类型如新型攻击手段和未知故障模式也在不断出现，使得基于历史数据训练的模型可能逐渐失效。这要求检测模型必须具备在线学习或增量更新能力，能够自适应地跟随数据分布的变化。</w:t>
      </w:r>
    </w:p>
    <w:p w14:paraId="4B1FEECC">
      <w:pPr>
        <w:pStyle w:val="3"/>
        <w:spacing w:line="360" w:lineRule="auto"/>
        <w:ind w:firstLine="480" w:firstLineChars="200"/>
        <w:rPr>
          <w:rFonts w:ascii="宋体" w:hAnsi="宋体" w:eastAsia="宋体"/>
        </w:rPr>
      </w:pPr>
      <w:r>
        <w:rPr>
          <w:rFonts w:hint="eastAsia" w:ascii="宋体" w:hAnsi="宋体" w:eastAsia="宋体"/>
        </w:rPr>
        <w:t>运营数据中的噪声与不确定性进一步增加了异常检测的难度。传感器误差、网络抖动、采样偏差等因素导致数据存在固有噪声。更棘手的是，异常的定义本身具有主观性，不同业务场景对异常的容忍度各不相同，且缺乏权威的标注基准。此外，正常样本远多于异常样本的类别不平衡现象普遍存在，异常占比通常低于5%，这使得传统分类方法容易偏向多数类而忽视异常模式的识别。</w:t>
      </w:r>
    </w:p>
    <w:p w14:paraId="5B226BE9">
      <w:pPr>
        <w:pStyle w:val="3"/>
        <w:spacing w:line="360" w:lineRule="auto"/>
        <w:ind w:firstLine="480" w:firstLineChars="200"/>
        <w:rPr>
          <w:rFonts w:ascii="宋体" w:hAnsi="宋体" w:eastAsia="宋体"/>
        </w:rPr>
      </w:pPr>
    </w:p>
    <w:bookmarkEnd w:id="10"/>
    <w:p w14:paraId="0C9B3936">
      <w:pPr>
        <w:pStyle w:val="3"/>
        <w:rPr>
          <w:rFonts w:ascii="宋体" w:hAnsi="宋体" w:eastAsia="宋体"/>
          <w:b/>
          <w:sz w:val="30"/>
          <w:szCs w:val="30"/>
        </w:rPr>
      </w:pPr>
      <w:bookmarkStart w:id="13" w:name="标准化与形式化定义以及策略分析"/>
      <w:bookmarkStart w:id="14" w:name="异常类型的形式化定义"/>
      <w:r>
        <w:rPr>
          <w:rFonts w:ascii="宋体" w:hAnsi="宋体" w:eastAsia="宋体"/>
          <w:b/>
          <w:sz w:val="30"/>
          <w:szCs w:val="30"/>
        </w:rPr>
        <w:t xml:space="preserve">3 </w:t>
      </w:r>
      <w:bookmarkStart w:id="15" w:name="OLE_LINK15"/>
      <w:bookmarkStart w:id="16" w:name="OLE_LINK13"/>
      <w:bookmarkStart w:id="17" w:name="OLE_LINK14"/>
      <w:r>
        <w:rPr>
          <w:rFonts w:hint="eastAsia" w:ascii="宋体" w:hAnsi="宋体" w:eastAsia="宋体"/>
          <w:b/>
          <w:sz w:val="30"/>
          <w:szCs w:val="30"/>
        </w:rPr>
        <w:t>异常类型的定义</w:t>
      </w:r>
      <w:bookmarkEnd w:id="15"/>
      <w:bookmarkEnd w:id="16"/>
      <w:bookmarkEnd w:id="17"/>
      <w:r>
        <w:rPr>
          <w:rFonts w:hint="eastAsia" w:ascii="宋体" w:hAnsi="宋体" w:eastAsia="宋体" w:cs="Times New Roman"/>
          <w:b/>
          <w:sz w:val="30"/>
          <w:szCs w:val="30"/>
        </w:rPr>
        <w:t>(</w:t>
      </w:r>
      <w:r>
        <w:rPr>
          <w:rFonts w:ascii="宋体" w:hAnsi="宋体" w:eastAsia="宋体" w:cs="Times New Roman"/>
          <w:b/>
          <w:sz w:val="30"/>
          <w:szCs w:val="30"/>
        </w:rPr>
        <w:t>Definition of Exception Types</w:t>
      </w:r>
      <w:r>
        <w:rPr>
          <w:rFonts w:hint="eastAsia" w:ascii="宋体" w:hAnsi="宋体" w:eastAsia="宋体" w:cs="Times New Roman"/>
          <w:b/>
          <w:sz w:val="30"/>
          <w:szCs w:val="30"/>
        </w:rPr>
        <w:t>)</w:t>
      </w:r>
    </w:p>
    <w:p w14:paraId="39EE87E3">
      <w:pPr>
        <w:pStyle w:val="29"/>
        <w:spacing w:line="360" w:lineRule="auto"/>
        <w:ind w:firstLine="480" w:firstLineChars="200"/>
        <w:rPr>
          <w:rFonts w:ascii="宋体" w:hAnsi="宋体" w:eastAsia="宋体"/>
        </w:rPr>
      </w:pPr>
      <w:r>
        <w:rPr>
          <w:rFonts w:hint="eastAsia" w:ascii="宋体" w:hAnsi="宋体" w:eastAsia="宋体"/>
        </w:rPr>
        <w:t>根据Chandola等人的经典分类框架</w:t>
      </w:r>
      <w:r>
        <w:rPr>
          <w:rFonts w:ascii="宋体" w:hAnsi="宋体" w:eastAsia="宋体"/>
          <w:vertAlign w:val="superscript"/>
        </w:rPr>
        <w:t>[2]</w:t>
      </w:r>
      <w:r>
        <w:rPr>
          <w:rFonts w:hint="eastAsia" w:ascii="宋体" w:hAnsi="宋体" w:eastAsia="宋体"/>
        </w:rPr>
        <w:t>和金融运营场景的实际需求，本文将异常分为</w:t>
      </w:r>
      <w:r>
        <w:rPr>
          <w:rFonts w:ascii="宋体" w:hAnsi="宋体" w:eastAsia="宋体"/>
        </w:rPr>
        <w:t>3</w:t>
      </w:r>
      <w:r>
        <w:rPr>
          <w:rFonts w:hint="eastAsia" w:ascii="宋体" w:hAnsi="宋体" w:eastAsia="宋体"/>
        </w:rPr>
        <w:t>大类</w:t>
      </w:r>
      <w:r>
        <w:rPr>
          <w:rFonts w:ascii="宋体" w:hAnsi="宋体" w:eastAsia="宋体"/>
        </w:rPr>
        <w:commentReference w:id="6"/>
      </w:r>
      <w:r>
        <w:rPr>
          <w:rFonts w:hint="eastAsia" w:ascii="宋体" w:hAnsi="宋体" w:eastAsia="宋体"/>
        </w:rPr>
        <w:t>：</w:t>
      </w:r>
    </w:p>
    <w:p w14:paraId="0EDFDCF2">
      <w:pPr>
        <w:pStyle w:val="3"/>
        <w:spacing w:line="360" w:lineRule="auto"/>
        <w:rPr>
          <w:rFonts w:ascii="宋体" w:hAnsi="宋体" w:eastAsia="宋体"/>
        </w:rPr>
      </w:pPr>
      <w:r>
        <w:rPr>
          <w:rFonts w:hint="eastAsia" w:ascii="宋体" w:hAnsi="宋体" w:eastAsia="宋体"/>
          <w:b/>
          <w:bCs/>
        </w:rPr>
        <w:t>（1）</w:t>
      </w:r>
      <w:commentRangeStart w:id="7"/>
      <w:r>
        <w:rPr>
          <w:rFonts w:hint="eastAsia" w:ascii="宋体" w:hAnsi="宋体" w:eastAsia="宋体"/>
          <w:b/>
          <w:bCs/>
        </w:rPr>
        <w:t>点异常</w:t>
      </w:r>
      <w:r>
        <w:rPr>
          <w:rFonts w:ascii="宋体" w:hAnsi="宋体" w:eastAsia="宋体"/>
          <w:b/>
          <w:bCs/>
        </w:rPr>
        <w:t xml:space="preserve"> (Point Outliers / Global Outliers)</w:t>
      </w:r>
      <w:commentRangeEnd w:id="7"/>
      <w:r>
        <w:rPr>
          <w:rFonts w:ascii="宋体" w:hAnsi="宋体" w:eastAsia="宋体"/>
        </w:rPr>
        <w:commentReference w:id="7"/>
      </w:r>
    </w:p>
    <w:p w14:paraId="3D2BDC59">
      <w:pPr>
        <w:pStyle w:val="3"/>
        <w:spacing w:line="360" w:lineRule="auto"/>
        <w:ind w:firstLine="480" w:firstLineChars="200"/>
        <w:rPr>
          <w:rFonts w:ascii="宋体" w:hAnsi="宋体" w:eastAsia="宋体"/>
        </w:rPr>
      </w:pPr>
      <w:r>
        <w:rPr>
          <w:rFonts w:hint="eastAsia" w:ascii="宋体" w:hAnsi="宋体" w:eastAsia="宋体"/>
        </w:rPr>
        <w:t>点异常指在多维特征空间中，单个数据点是显著偏离正常数据的个体分布。这是最常见的异常类型，判断标准是数据点的异常得分是否超过预设阈值。点异常的检测不考虑时间顺序和上下文信息，仅着重于单点的统计偏离程度。在金融运营场景中，点异常经常出现。例如，某个交易日上下午2点，核心交易系统的一台服务器CPU使用率从平时的50%左右突然跃升到95%。这种明显偏离正常运行区间的单点数据是典型的点异常，这类异常预示着系统正在经历突发故障或遭受攻击。</w:t>
      </w:r>
    </w:p>
    <w:p w14:paraId="56B11128">
      <w:pPr>
        <w:pStyle w:val="3"/>
        <w:spacing w:line="360" w:lineRule="auto"/>
        <w:rPr>
          <w:rFonts w:ascii="宋体" w:hAnsi="宋体" w:eastAsia="宋体"/>
        </w:rPr>
      </w:pPr>
      <w:r>
        <w:rPr>
          <w:rFonts w:hint="eastAsia" w:ascii="宋体" w:hAnsi="宋体" w:eastAsia="宋体"/>
          <w:b/>
          <w:bCs/>
        </w:rPr>
        <w:t>（2）</w:t>
      </w:r>
      <w:commentRangeStart w:id="8"/>
      <w:r>
        <w:rPr>
          <w:rFonts w:hint="eastAsia" w:ascii="宋体" w:hAnsi="宋体" w:eastAsia="宋体"/>
          <w:b/>
          <w:bCs/>
        </w:rPr>
        <w:t>情境异常</w:t>
      </w:r>
      <w:r>
        <w:rPr>
          <w:rFonts w:ascii="宋体" w:hAnsi="宋体" w:eastAsia="宋体"/>
          <w:b/>
          <w:bCs/>
        </w:rPr>
        <w:t xml:space="preserve"> (Contextual Outliers / Conditional Outliers)</w:t>
      </w:r>
      <w:commentRangeEnd w:id="8"/>
      <w:r>
        <w:rPr>
          <w:rFonts w:ascii="宋体" w:hAnsi="宋体" w:eastAsia="宋体"/>
        </w:rPr>
        <w:commentReference w:id="8"/>
      </w:r>
    </w:p>
    <w:p w14:paraId="61EC08AA">
      <w:pPr>
        <w:pStyle w:val="3"/>
        <w:spacing w:line="360" w:lineRule="auto"/>
        <w:ind w:firstLine="480" w:firstLineChars="200"/>
        <w:rPr>
          <w:rFonts w:ascii="宋体" w:hAnsi="宋体" w:eastAsia="宋体"/>
        </w:rPr>
      </w:pPr>
      <w:r>
        <w:rPr>
          <w:rFonts w:hint="eastAsia" w:ascii="宋体" w:hAnsi="宋体" w:eastAsia="宋体"/>
        </w:rPr>
        <w:t>情境异常的特殊之处在于数据点在特定上下文中间表现异常，但在全局或其它上下文中间可能完全正常。这里的上下文通常由时间、空间或业务场景等条件变量定义。情境异常的识别需要同时满足两个条件：在特定上下文中的异常得分超过上下文阈值，但是全局异常得分并未超过全局阈值。金融机构的运营数据中充斥着这类与时间强相关的异常。某大型银行的批处理系统在每月最后一个工作日晚上都会经历交易量和计算负载的高峰，这是月末对账和结算的正常业务模式，但如果在月中某个平常工作日的深夜出现同等规模的批处理负载，则明显是不符合业务规律。</w:t>
      </w:r>
    </w:p>
    <w:p w14:paraId="3715597E">
      <w:pPr>
        <w:pStyle w:val="3"/>
        <w:spacing w:line="360" w:lineRule="auto"/>
        <w:rPr>
          <w:rFonts w:ascii="宋体" w:hAnsi="宋体" w:eastAsia="宋体"/>
        </w:rPr>
      </w:pPr>
      <w:r>
        <w:rPr>
          <w:rFonts w:hint="eastAsia" w:ascii="宋体" w:hAnsi="宋体" w:eastAsia="宋体"/>
          <w:b/>
          <w:bCs/>
        </w:rPr>
        <w:t>（3）</w:t>
      </w:r>
      <w:commentRangeStart w:id="9"/>
      <w:r>
        <w:rPr>
          <w:rFonts w:hint="eastAsia" w:ascii="宋体" w:hAnsi="宋体" w:eastAsia="宋体"/>
          <w:b/>
          <w:bCs/>
        </w:rPr>
        <w:t>集合异常</w:t>
      </w:r>
      <w:r>
        <w:rPr>
          <w:rFonts w:ascii="宋体" w:hAnsi="宋体" w:eastAsia="宋体"/>
          <w:b/>
          <w:bCs/>
        </w:rPr>
        <w:t xml:space="preserve"> (Collective Outliers / Pattern Outliers)</w:t>
      </w:r>
      <w:commentRangeEnd w:id="9"/>
      <w:r>
        <w:rPr>
          <w:rFonts w:ascii="宋体" w:hAnsi="宋体" w:eastAsia="宋体"/>
        </w:rPr>
        <w:commentReference w:id="9"/>
      </w:r>
    </w:p>
    <w:p w14:paraId="49171AA7">
      <w:pPr>
        <w:pStyle w:val="3"/>
        <w:spacing w:line="360" w:lineRule="auto"/>
        <w:ind w:firstLine="480" w:firstLineChars="200"/>
        <w:rPr>
          <w:rFonts w:ascii="宋体" w:hAnsi="宋体" w:eastAsia="宋体"/>
        </w:rPr>
      </w:pPr>
      <w:r>
        <w:rPr>
          <w:rFonts w:hint="eastAsia" w:ascii="宋体" w:hAnsi="宋体" w:eastAsia="宋体"/>
        </w:rPr>
        <w:t>集合异常指数据点的一组连续或相关的数据点整体表现出的异常模式，即使这些数据点单独来看可能都在正常范围内。集合异常的判定依据是整个子序列的综合得分，而非单个点的得分。这是三类异常中检测难度最高的，因为需要同时考虑数据点之间的时间序列、空间关联或逻辑关联关系。在实际运营中，集合异常往往比单点异常更加隐蔽和危险。数据库团队可能观察到SQL查询的出现频率在过去一周内持续攀升，尽管每次查询的执行时间都在5s以内的可接受范围，但这种趋势性的累积预示着系统资源或数据库瓶颈问题。网络安全团队面对的DDoS攻击也是典型的集合异常，每个HTTP请求单独看都是合法的，但当数万个请求在短时间内集中到达时，其时序模式就暴露了攻击特征。</w:t>
      </w:r>
    </w:p>
    <w:p w14:paraId="25473B57">
      <w:pPr>
        <w:pStyle w:val="3"/>
        <w:spacing w:line="360" w:lineRule="auto"/>
        <w:ind w:firstLine="480" w:firstLineChars="200"/>
        <w:rPr>
          <w:rFonts w:ascii="宋体" w:hAnsi="宋体" w:eastAsia="宋体"/>
        </w:rPr>
      </w:pPr>
    </w:p>
    <w:bookmarkEnd w:id="13"/>
    <w:bookmarkEnd w:id="14"/>
    <w:p w14:paraId="0416A104">
      <w:pPr>
        <w:pStyle w:val="3"/>
        <w:rPr>
          <w:rFonts w:ascii="宋体" w:hAnsi="宋体" w:eastAsia="宋体"/>
          <w:b/>
          <w:sz w:val="30"/>
          <w:szCs w:val="30"/>
        </w:rPr>
      </w:pPr>
      <w:bookmarkStart w:id="18" w:name="算法描述与实际应用"/>
      <w:r>
        <w:rPr>
          <w:rFonts w:ascii="宋体" w:hAnsi="宋体" w:eastAsia="宋体"/>
          <w:b/>
          <w:sz w:val="30"/>
          <w:szCs w:val="30"/>
        </w:rPr>
        <w:t xml:space="preserve">4 </w:t>
      </w:r>
      <w:bookmarkStart w:id="19" w:name="OLE_LINK16"/>
      <w:bookmarkStart w:id="20" w:name="OLE_LINK17"/>
      <w:r>
        <w:rPr>
          <w:rFonts w:hint="eastAsia" w:ascii="宋体" w:hAnsi="宋体" w:eastAsia="宋体"/>
          <w:b/>
          <w:sz w:val="30"/>
          <w:szCs w:val="30"/>
        </w:rPr>
        <w:t>算法描述与实际应用</w:t>
      </w:r>
      <w:bookmarkEnd w:id="19"/>
      <w:bookmarkEnd w:id="20"/>
      <w:r>
        <w:rPr>
          <w:rFonts w:hint="eastAsia" w:ascii="宋体" w:hAnsi="宋体" w:eastAsia="宋体"/>
          <w:b/>
          <w:sz w:val="30"/>
          <w:szCs w:val="30"/>
        </w:rPr>
        <w:t>(</w:t>
      </w:r>
      <w:r>
        <w:rPr>
          <w:rFonts w:ascii="宋体" w:hAnsi="宋体" w:eastAsia="宋体"/>
          <w:b/>
          <w:sz w:val="30"/>
          <w:szCs w:val="30"/>
        </w:rPr>
        <w:t>Algorithm Description and Practical Applications)</w:t>
      </w:r>
    </w:p>
    <w:p w14:paraId="732BBCD0">
      <w:pPr>
        <w:pStyle w:val="3"/>
        <w:spacing w:line="360" w:lineRule="auto"/>
        <w:rPr>
          <w:rFonts w:ascii="宋体" w:hAnsi="宋体" w:eastAsia="宋体"/>
          <w:b/>
          <w:sz w:val="28"/>
          <w:szCs w:val="28"/>
        </w:rPr>
      </w:pPr>
      <w:bookmarkStart w:id="21" w:name="分层异常检测策略算法概述"/>
      <w:r>
        <w:rPr>
          <w:rFonts w:ascii="宋体" w:hAnsi="宋体" w:eastAsia="宋体"/>
          <w:b/>
          <w:sz w:val="28"/>
          <w:szCs w:val="28"/>
        </w:rPr>
        <w:t xml:space="preserve">4.1 </w:t>
      </w:r>
      <w:r>
        <w:rPr>
          <w:rFonts w:hint="eastAsia" w:ascii="宋体" w:hAnsi="宋体" w:eastAsia="宋体"/>
          <w:b/>
          <w:sz w:val="28"/>
          <w:szCs w:val="28"/>
        </w:rPr>
        <w:t>分层异常检测策略算法概述</w:t>
      </w:r>
    </w:p>
    <w:p w14:paraId="6FF777C3">
      <w:pPr>
        <w:pStyle w:val="29"/>
        <w:spacing w:line="360" w:lineRule="auto"/>
        <w:ind w:firstLine="480" w:firstLineChars="200"/>
        <w:rPr>
          <w:rFonts w:ascii="宋体" w:hAnsi="宋体" w:eastAsia="宋体"/>
        </w:rPr>
      </w:pPr>
      <w:r>
        <w:rPr>
          <w:rFonts w:hint="eastAsia" w:ascii="宋体" w:hAnsi="宋体" w:eastAsia="宋体"/>
        </w:rPr>
        <w:t>我们基于金融领域业务特点，设计了一个结合统计、卷积和循环网络优势的多层混合检测策略算法。该策略旨在结合快速筛选（统计/传统机器学习方法）和深度上下文建模（混合深度学习模型）的优势</w:t>
      </w:r>
      <w:r>
        <w:rPr>
          <w:rFonts w:ascii="宋体" w:hAnsi="宋体" w:eastAsia="宋体"/>
          <w:vertAlign w:val="superscript"/>
        </w:rPr>
        <w:t>[3]</w:t>
      </w:r>
      <w:r>
        <w:rPr>
          <w:rFonts w:hint="eastAsia" w:ascii="宋体" w:hAnsi="宋体" w:eastAsia="宋体"/>
        </w:rPr>
        <w:t>，以提高检测的准确性和对复杂异常模式（如局部异常和片段异常）的敏感性。采用基于重构/预测误差的深度学习范式作为核心，辅以传统邻近度检测，并通过加权融合机制得出最终的异常分数。Song的研究发现，集合分类器在准确性和复合错误率方面分别优于单个分类器</w:t>
      </w:r>
      <w:r>
        <w:rPr>
          <w:rFonts w:hint="eastAsia" w:ascii="宋体" w:hAnsi="宋体" w:eastAsia="宋体"/>
          <w:vertAlign w:val="superscript"/>
        </w:rPr>
        <w:t>[</w:t>
      </w:r>
      <w:r>
        <w:rPr>
          <w:rFonts w:ascii="宋体" w:hAnsi="宋体" w:eastAsia="宋体"/>
          <w:vertAlign w:val="superscript"/>
        </w:rPr>
        <w:t>4</w:t>
      </w:r>
      <w:r>
        <w:rPr>
          <w:rFonts w:hint="eastAsia" w:ascii="宋体" w:hAnsi="宋体" w:eastAsia="宋体"/>
          <w:vertAlign w:val="superscript"/>
        </w:rPr>
        <w:t>]</w:t>
      </w:r>
      <w:r>
        <w:rPr>
          <w:rFonts w:hint="eastAsia" w:ascii="宋体" w:hAnsi="宋体" w:eastAsia="宋体"/>
        </w:rPr>
        <w:t>。在判断欺诈，集成方法优于其他方法</w:t>
      </w:r>
      <w:r>
        <w:rPr>
          <w:rFonts w:hint="eastAsia" w:ascii="宋体" w:hAnsi="宋体" w:eastAsia="宋体"/>
          <w:vertAlign w:val="superscript"/>
        </w:rPr>
        <w:t>[</w:t>
      </w:r>
      <w:r>
        <w:rPr>
          <w:rFonts w:ascii="宋体" w:hAnsi="宋体" w:eastAsia="宋体"/>
          <w:vertAlign w:val="superscript"/>
        </w:rPr>
        <w:t>5</w:t>
      </w:r>
      <w:r>
        <w:rPr>
          <w:rFonts w:hint="eastAsia" w:ascii="宋体" w:hAnsi="宋体" w:eastAsia="宋体"/>
          <w:vertAlign w:val="superscript"/>
        </w:rPr>
        <w:t>]</w:t>
      </w:r>
      <w:r>
        <w:rPr>
          <w:rFonts w:hint="eastAsia" w:ascii="宋体" w:hAnsi="宋体" w:eastAsia="宋体"/>
        </w:rPr>
        <w:t>。</w:t>
      </w:r>
    </w:p>
    <w:p w14:paraId="03BA6BF4">
      <w:pPr>
        <w:pStyle w:val="3"/>
        <w:spacing w:line="360" w:lineRule="auto"/>
        <w:ind w:firstLine="480" w:firstLineChars="200"/>
        <w:rPr>
          <w:rFonts w:ascii="宋体" w:hAnsi="宋体" w:eastAsia="宋体"/>
        </w:rPr>
      </w:pPr>
      <w:r>
        <w:rPr>
          <w:rFonts w:hint="eastAsia" w:ascii="宋体" w:hAnsi="宋体" w:eastAsia="宋体"/>
        </w:rPr>
        <w:t>我们设计的策略包含3个主要阶段：</w:t>
      </w:r>
    </w:p>
    <w:p w14:paraId="21CC29B6">
      <w:pPr>
        <w:spacing w:line="360" w:lineRule="auto"/>
        <w:jc w:val="center"/>
        <w:rPr>
          <w:rFonts w:ascii="宋体" w:hAnsi="宋体" w:eastAsia="宋体"/>
          <w:b/>
        </w:rPr>
      </w:pPr>
      <w:r>
        <w:rPr>
          <w:rFonts w:hint="eastAsia" w:ascii="宋体" w:hAnsi="宋体" w:eastAsia="宋体"/>
          <w:b/>
        </w:rPr>
        <w:t>表1</w:t>
      </w:r>
      <w:r>
        <w:rPr>
          <w:rFonts w:ascii="宋体" w:hAnsi="宋体" w:eastAsia="宋体"/>
          <w:b/>
        </w:rPr>
        <w:t xml:space="preserve">   </w:t>
      </w:r>
      <w:r>
        <w:rPr>
          <w:rFonts w:hint="eastAsia" w:ascii="宋体" w:hAnsi="宋体" w:eastAsia="宋体"/>
          <w:b/>
        </w:rPr>
        <w:t>3</w:t>
      </w:r>
      <w:r>
        <w:rPr>
          <w:rFonts w:ascii="宋体" w:hAnsi="宋体" w:eastAsia="宋体" w:cs="宋体"/>
          <w:b/>
          <w:lang w:bidi="ar"/>
        </w:rPr>
        <w:t>阶段分层混合异常检测策略概览</w:t>
      </w:r>
    </w:p>
    <w:p w14:paraId="3068FC31">
      <w:pPr>
        <w:spacing w:line="360" w:lineRule="auto"/>
        <w:jc w:val="center"/>
        <w:rPr>
          <w:rFonts w:ascii="宋体" w:hAnsi="宋体" w:eastAsia="宋体"/>
          <w:b/>
        </w:rPr>
      </w:pPr>
      <w:r>
        <w:rPr>
          <w:rFonts w:hint="eastAsia" w:ascii="宋体" w:hAnsi="宋体" w:eastAsia="宋体"/>
          <w:b/>
        </w:rPr>
        <w:t>Tab.1</w:t>
      </w:r>
      <w:r>
        <w:rPr>
          <w:rFonts w:ascii="宋体" w:hAnsi="宋体" w:eastAsia="宋体"/>
          <w:b/>
        </w:rPr>
        <w:t xml:space="preserve">   </w:t>
      </w:r>
      <w:r>
        <w:rPr>
          <w:rFonts w:ascii="宋体" w:hAnsi="宋体" w:eastAsia="宋体" w:cs="宋体"/>
          <w:b/>
          <w:lang w:bidi="ar"/>
        </w:rPr>
        <w:t>Overview of the Three-Stage Hierarchical Hybrid Anomaly Detection Strategy</w:t>
      </w:r>
    </w:p>
    <w:p w14:paraId="469FABCF">
      <w:pPr>
        <w:pStyle w:val="3"/>
        <w:spacing w:line="360" w:lineRule="auto"/>
        <w:jc w:val="both"/>
        <w:rPr>
          <w:rFonts w:ascii="宋体" w:hAnsi="宋体" w:eastAsia="宋体"/>
          <w:color w:val="FF0000"/>
        </w:rPr>
      </w:pPr>
    </w:p>
    <w:tbl>
      <w:tblPr>
        <w:tblStyle w:val="47"/>
        <w:tblW w:w="5000" w:type="pct"/>
        <w:tblInd w:w="0" w:type="dxa"/>
        <w:tblLayout w:type="fixed"/>
        <w:tblCellMar>
          <w:top w:w="0" w:type="dxa"/>
          <w:left w:w="108" w:type="dxa"/>
          <w:bottom w:w="0" w:type="dxa"/>
          <w:right w:w="108" w:type="dxa"/>
        </w:tblCellMar>
      </w:tblPr>
      <w:tblGrid>
        <w:gridCol w:w="2214"/>
        <w:gridCol w:w="2214"/>
        <w:gridCol w:w="2214"/>
        <w:gridCol w:w="2214"/>
      </w:tblGrid>
      <w:tr w14:paraId="372F2C24">
        <w:tblPrEx>
          <w:tblCellMar>
            <w:top w:w="0" w:type="dxa"/>
            <w:left w:w="108" w:type="dxa"/>
            <w:bottom w:w="0" w:type="dxa"/>
            <w:right w:w="108" w:type="dxa"/>
          </w:tblCellMar>
        </w:tblPrEx>
        <w:trPr>
          <w:tblHeader/>
        </w:trPr>
        <w:tc>
          <w:tcPr>
            <w:tcW w:w="1980" w:type="dxa"/>
            <w:tcBorders>
              <w:top w:val="single" w:color="auto" w:sz="2" w:space="0"/>
              <w:bottom w:val="single" w:color="auto" w:sz="2" w:space="0"/>
            </w:tcBorders>
            <w:vAlign w:val="bottom"/>
          </w:tcPr>
          <w:p w14:paraId="768EED07">
            <w:pPr>
              <w:pStyle w:val="30"/>
              <w:spacing w:line="360" w:lineRule="auto"/>
              <w:rPr>
                <w:rFonts w:ascii="宋体" w:hAnsi="宋体" w:eastAsia="宋体"/>
              </w:rPr>
            </w:pPr>
            <w:r>
              <w:rPr>
                <w:rFonts w:hint="eastAsia" w:ascii="宋体" w:hAnsi="宋体" w:eastAsia="宋体"/>
              </w:rPr>
              <w:t>阶段</w:t>
            </w:r>
          </w:p>
        </w:tc>
        <w:tc>
          <w:tcPr>
            <w:tcW w:w="1980" w:type="dxa"/>
            <w:tcBorders>
              <w:top w:val="single" w:color="auto" w:sz="2" w:space="0"/>
              <w:bottom w:val="single" w:color="auto" w:sz="2" w:space="0"/>
            </w:tcBorders>
            <w:vAlign w:val="bottom"/>
          </w:tcPr>
          <w:p w14:paraId="642814A9">
            <w:pPr>
              <w:pStyle w:val="30"/>
              <w:spacing w:line="360" w:lineRule="auto"/>
              <w:rPr>
                <w:rFonts w:ascii="宋体" w:hAnsi="宋体" w:eastAsia="宋体"/>
              </w:rPr>
            </w:pPr>
            <w:r>
              <w:rPr>
                <w:rFonts w:hint="eastAsia" w:ascii="宋体" w:hAnsi="宋体" w:eastAsia="宋体"/>
              </w:rPr>
              <w:t>目的</w:t>
            </w:r>
          </w:p>
        </w:tc>
        <w:tc>
          <w:tcPr>
            <w:tcW w:w="1980" w:type="dxa"/>
            <w:tcBorders>
              <w:top w:val="single" w:color="auto" w:sz="2" w:space="0"/>
              <w:bottom w:val="single" w:color="auto" w:sz="2" w:space="0"/>
            </w:tcBorders>
            <w:vAlign w:val="bottom"/>
          </w:tcPr>
          <w:p w14:paraId="70AD7F9E">
            <w:pPr>
              <w:pStyle w:val="30"/>
              <w:spacing w:line="360" w:lineRule="auto"/>
              <w:rPr>
                <w:rFonts w:ascii="宋体" w:hAnsi="宋体" w:eastAsia="宋体"/>
              </w:rPr>
            </w:pPr>
            <w:r>
              <w:rPr>
                <w:rFonts w:hint="eastAsia" w:ascii="宋体" w:hAnsi="宋体" w:eastAsia="宋体"/>
              </w:rPr>
              <w:t>推荐算法类别</w:t>
            </w:r>
          </w:p>
        </w:tc>
        <w:tc>
          <w:tcPr>
            <w:tcW w:w="1980" w:type="dxa"/>
            <w:tcBorders>
              <w:top w:val="single" w:color="auto" w:sz="2" w:space="0"/>
              <w:bottom w:val="single" w:color="auto" w:sz="2" w:space="0"/>
            </w:tcBorders>
            <w:vAlign w:val="bottom"/>
          </w:tcPr>
          <w:p w14:paraId="4B05C3A3">
            <w:pPr>
              <w:pStyle w:val="30"/>
              <w:spacing w:line="360" w:lineRule="auto"/>
              <w:rPr>
                <w:rFonts w:ascii="宋体" w:hAnsi="宋体" w:eastAsia="宋体"/>
              </w:rPr>
            </w:pPr>
            <w:r>
              <w:rPr>
                <w:rFonts w:hint="eastAsia" w:ascii="宋体" w:hAnsi="宋体" w:eastAsia="宋体"/>
              </w:rPr>
              <w:t>算法优势利用</w:t>
            </w:r>
          </w:p>
        </w:tc>
      </w:tr>
      <w:tr w14:paraId="34AA3261">
        <w:tblPrEx>
          <w:tblCellMar>
            <w:top w:w="0" w:type="dxa"/>
            <w:left w:w="108" w:type="dxa"/>
            <w:bottom w:w="0" w:type="dxa"/>
            <w:right w:w="108" w:type="dxa"/>
          </w:tblCellMar>
        </w:tblPrEx>
        <w:tc>
          <w:tcPr>
            <w:tcW w:w="1980" w:type="dxa"/>
            <w:tcBorders>
              <w:top w:val="single" w:color="auto" w:sz="2" w:space="0"/>
            </w:tcBorders>
          </w:tcPr>
          <w:p w14:paraId="27BD3872">
            <w:pPr>
              <w:pStyle w:val="30"/>
              <w:spacing w:line="360" w:lineRule="auto"/>
              <w:rPr>
                <w:rFonts w:ascii="宋体" w:hAnsi="宋体" w:eastAsia="宋体"/>
              </w:rPr>
            </w:pPr>
            <w:r>
              <w:rPr>
                <w:rFonts w:hint="eastAsia" w:ascii="宋体" w:hAnsi="宋体" w:eastAsia="宋体"/>
              </w:rPr>
              <w:t>阶段</w:t>
            </w:r>
            <w:r>
              <w:rPr>
                <w:rFonts w:ascii="宋体" w:hAnsi="宋体" w:eastAsia="宋体"/>
              </w:rPr>
              <w:t xml:space="preserve"> </w:t>
            </w:r>
            <w:r>
              <w:rPr>
                <w:rFonts w:hint="eastAsia" w:ascii="宋体" w:hAnsi="宋体" w:eastAsia="宋体"/>
              </w:rPr>
              <w:t>1：快速初筛</w:t>
            </w:r>
          </w:p>
        </w:tc>
        <w:tc>
          <w:tcPr>
            <w:tcW w:w="1980" w:type="dxa"/>
            <w:tcBorders>
              <w:top w:val="single" w:color="auto" w:sz="2" w:space="0"/>
            </w:tcBorders>
          </w:tcPr>
          <w:p w14:paraId="212B3F50">
            <w:pPr>
              <w:pStyle w:val="30"/>
              <w:spacing w:line="360" w:lineRule="auto"/>
              <w:rPr>
                <w:rFonts w:ascii="宋体" w:hAnsi="宋体" w:eastAsia="宋体"/>
              </w:rPr>
            </w:pPr>
            <w:r>
              <w:rPr>
                <w:rFonts w:hint="eastAsia" w:ascii="宋体" w:hAnsi="宋体" w:eastAsia="宋体"/>
              </w:rPr>
              <w:t>识别全局显著离群点，提供快速、可解释的初筛分数。</w:t>
            </w:r>
          </w:p>
        </w:tc>
        <w:tc>
          <w:tcPr>
            <w:tcW w:w="1980" w:type="dxa"/>
            <w:tcBorders>
              <w:top w:val="single" w:color="auto" w:sz="2" w:space="0"/>
            </w:tcBorders>
          </w:tcPr>
          <w:p w14:paraId="1328A7FF">
            <w:pPr>
              <w:pStyle w:val="30"/>
              <w:spacing w:line="360" w:lineRule="auto"/>
              <w:rPr>
                <w:rFonts w:ascii="宋体" w:hAnsi="宋体" w:eastAsia="宋体"/>
              </w:rPr>
            </w:pPr>
            <w:r>
              <w:rPr>
                <w:rFonts w:hint="eastAsia" w:ascii="宋体" w:hAnsi="宋体" w:eastAsia="宋体"/>
              </w:rPr>
              <w:t>统计模型</w:t>
            </w:r>
            <w:r>
              <w:rPr>
                <w:rFonts w:ascii="宋体" w:hAnsi="宋体" w:eastAsia="宋体"/>
              </w:rPr>
              <w:t xml:space="preserve"> / </w:t>
            </w:r>
            <w:r>
              <w:rPr>
                <w:rFonts w:hint="eastAsia" w:ascii="宋体" w:hAnsi="宋体" w:eastAsia="宋体"/>
              </w:rPr>
              <w:t>传统机器学习</w:t>
            </w:r>
          </w:p>
        </w:tc>
        <w:tc>
          <w:tcPr>
            <w:tcW w:w="1980" w:type="dxa"/>
            <w:tcBorders>
              <w:top w:val="single" w:color="auto" w:sz="2" w:space="0"/>
            </w:tcBorders>
          </w:tcPr>
          <w:p w14:paraId="19C1A380">
            <w:pPr>
              <w:pStyle w:val="30"/>
              <w:spacing w:line="360" w:lineRule="auto"/>
              <w:rPr>
                <w:rFonts w:ascii="宋体" w:hAnsi="宋体" w:eastAsia="宋体"/>
              </w:rPr>
            </w:pPr>
            <w:r>
              <w:rPr>
                <w:rFonts w:hint="eastAsia" w:ascii="宋体" w:hAnsi="宋体" w:eastAsia="宋体"/>
              </w:rPr>
              <w:t>速度快、可解释性强（如</w:t>
            </w:r>
            <w:r>
              <w:rPr>
                <w:rFonts w:ascii="宋体" w:hAnsi="宋体" w:eastAsia="宋体"/>
              </w:rPr>
              <w:t xml:space="preserve"> KNN, Isolation </w:t>
            </w:r>
            <w:r>
              <w:rPr>
                <w:rFonts w:hint="eastAsia" w:ascii="宋体" w:hAnsi="宋体" w:eastAsia="宋体"/>
              </w:rPr>
              <w:t>Forest）</w:t>
            </w:r>
          </w:p>
        </w:tc>
      </w:tr>
      <w:tr w14:paraId="5EAB2D0D">
        <w:tblPrEx>
          <w:tblCellMar>
            <w:top w:w="0" w:type="dxa"/>
            <w:left w:w="108" w:type="dxa"/>
            <w:bottom w:w="0" w:type="dxa"/>
            <w:right w:w="108" w:type="dxa"/>
          </w:tblCellMar>
        </w:tblPrEx>
        <w:tc>
          <w:tcPr>
            <w:tcW w:w="1980" w:type="dxa"/>
          </w:tcPr>
          <w:p w14:paraId="005B74A8">
            <w:pPr>
              <w:pStyle w:val="30"/>
              <w:spacing w:line="360" w:lineRule="auto"/>
              <w:rPr>
                <w:rFonts w:ascii="宋体" w:hAnsi="宋体" w:eastAsia="宋体"/>
              </w:rPr>
            </w:pPr>
            <w:r>
              <w:rPr>
                <w:rFonts w:hint="eastAsia" w:ascii="宋体" w:hAnsi="宋体" w:eastAsia="宋体"/>
              </w:rPr>
              <w:t>阶段</w:t>
            </w:r>
            <w:r>
              <w:rPr>
                <w:rFonts w:ascii="宋体" w:hAnsi="宋体" w:eastAsia="宋体"/>
              </w:rPr>
              <w:t xml:space="preserve"> </w:t>
            </w:r>
            <w:r>
              <w:rPr>
                <w:rFonts w:hint="eastAsia" w:ascii="宋体" w:hAnsi="宋体" w:eastAsia="宋体"/>
              </w:rPr>
              <w:t>2：深度上下文分析</w:t>
            </w:r>
          </w:p>
        </w:tc>
        <w:tc>
          <w:tcPr>
            <w:tcW w:w="1980" w:type="dxa"/>
          </w:tcPr>
          <w:p w14:paraId="4F96F419">
            <w:pPr>
              <w:pStyle w:val="30"/>
              <w:spacing w:line="360" w:lineRule="auto"/>
              <w:rPr>
                <w:rFonts w:ascii="宋体" w:hAnsi="宋体" w:eastAsia="宋体"/>
              </w:rPr>
            </w:pPr>
            <w:r>
              <w:rPr>
                <w:rFonts w:hint="eastAsia" w:ascii="宋体" w:hAnsi="宋体" w:eastAsia="宋体"/>
              </w:rPr>
              <w:t>捕捉局部特征和长期时间依赖性，进行精细的上下文异常建模。</w:t>
            </w:r>
          </w:p>
        </w:tc>
        <w:tc>
          <w:tcPr>
            <w:tcW w:w="1980" w:type="dxa"/>
          </w:tcPr>
          <w:p w14:paraId="6D1F3D38">
            <w:pPr>
              <w:pStyle w:val="30"/>
              <w:spacing w:line="360" w:lineRule="auto"/>
              <w:rPr>
                <w:rFonts w:ascii="宋体" w:hAnsi="宋体" w:eastAsia="宋体"/>
              </w:rPr>
            </w:pPr>
            <w:r>
              <w:rPr>
                <w:rFonts w:hint="eastAsia" w:ascii="宋体" w:hAnsi="宋体" w:eastAsia="宋体"/>
              </w:rPr>
              <w:t>混合深度学习（CNN-RNN，GRU，Transformer等等）</w:t>
            </w:r>
          </w:p>
        </w:tc>
        <w:tc>
          <w:tcPr>
            <w:tcW w:w="1980" w:type="dxa"/>
          </w:tcPr>
          <w:p w14:paraId="627C8946">
            <w:pPr>
              <w:pStyle w:val="30"/>
              <w:spacing w:line="360" w:lineRule="auto"/>
              <w:rPr>
                <w:rFonts w:ascii="宋体" w:hAnsi="宋体" w:eastAsia="宋体"/>
              </w:rPr>
            </w:pPr>
            <w:r>
              <w:rPr>
                <w:rFonts w:hint="eastAsia" w:ascii="宋体" w:hAnsi="宋体" w:eastAsia="宋体"/>
              </w:rPr>
              <w:t>结合深度模型提取局部模式和捕捉时间依赖关系的能力</w:t>
            </w:r>
          </w:p>
        </w:tc>
      </w:tr>
      <w:tr w14:paraId="3FE857ED">
        <w:tblPrEx>
          <w:tblCellMar>
            <w:top w:w="0" w:type="dxa"/>
            <w:left w:w="108" w:type="dxa"/>
            <w:bottom w:w="0" w:type="dxa"/>
            <w:right w:w="108" w:type="dxa"/>
          </w:tblCellMar>
        </w:tblPrEx>
        <w:tc>
          <w:tcPr>
            <w:tcW w:w="1980" w:type="dxa"/>
            <w:tcBorders>
              <w:bottom w:val="single" w:color="auto" w:sz="4" w:space="0"/>
            </w:tcBorders>
          </w:tcPr>
          <w:p w14:paraId="67EC37C4">
            <w:pPr>
              <w:pStyle w:val="30"/>
              <w:spacing w:line="360" w:lineRule="auto"/>
              <w:rPr>
                <w:rFonts w:ascii="宋体" w:hAnsi="宋体" w:eastAsia="宋体"/>
              </w:rPr>
            </w:pPr>
            <w:r>
              <w:rPr>
                <w:rFonts w:hint="eastAsia" w:ascii="宋体" w:hAnsi="宋体" w:eastAsia="宋体"/>
              </w:rPr>
              <w:t>阶段</w:t>
            </w:r>
            <w:r>
              <w:rPr>
                <w:rFonts w:ascii="宋体" w:hAnsi="宋体" w:eastAsia="宋体"/>
              </w:rPr>
              <w:t xml:space="preserve"> </w:t>
            </w:r>
            <w:r>
              <w:rPr>
                <w:rFonts w:hint="eastAsia" w:ascii="宋体" w:hAnsi="宋体" w:eastAsia="宋体"/>
              </w:rPr>
              <w:t>3：策略整合与决策</w:t>
            </w:r>
          </w:p>
        </w:tc>
        <w:tc>
          <w:tcPr>
            <w:tcW w:w="1980" w:type="dxa"/>
            <w:tcBorders>
              <w:bottom w:val="single" w:color="auto" w:sz="4" w:space="0"/>
            </w:tcBorders>
          </w:tcPr>
          <w:p w14:paraId="6C24578E">
            <w:pPr>
              <w:pStyle w:val="30"/>
              <w:spacing w:line="360" w:lineRule="auto"/>
              <w:rPr>
                <w:rFonts w:ascii="宋体" w:hAnsi="宋体" w:eastAsia="宋体"/>
              </w:rPr>
            </w:pPr>
            <w:r>
              <w:rPr>
                <w:rFonts w:hint="eastAsia" w:ascii="宋体" w:hAnsi="宋体" w:eastAsia="宋体"/>
              </w:rPr>
              <w:t>融合两层分数，通过动态阈值进行最终的异常判定。</w:t>
            </w:r>
          </w:p>
        </w:tc>
        <w:tc>
          <w:tcPr>
            <w:tcW w:w="1980" w:type="dxa"/>
            <w:tcBorders>
              <w:bottom w:val="single" w:color="auto" w:sz="4" w:space="0"/>
            </w:tcBorders>
          </w:tcPr>
          <w:p w14:paraId="493FDE5E">
            <w:pPr>
              <w:pStyle w:val="30"/>
              <w:spacing w:line="360" w:lineRule="auto"/>
              <w:rPr>
                <w:rFonts w:ascii="宋体" w:hAnsi="宋体" w:eastAsia="宋体"/>
              </w:rPr>
            </w:pPr>
            <w:r>
              <w:rPr>
                <w:rFonts w:hint="eastAsia" w:ascii="宋体" w:hAnsi="宋体" w:eastAsia="宋体"/>
              </w:rPr>
              <w:t>集成/阈值优化</w:t>
            </w:r>
          </w:p>
        </w:tc>
        <w:tc>
          <w:tcPr>
            <w:tcW w:w="1980" w:type="dxa"/>
            <w:tcBorders>
              <w:bottom w:val="single" w:color="auto" w:sz="4" w:space="0"/>
            </w:tcBorders>
          </w:tcPr>
          <w:p w14:paraId="324298B0">
            <w:pPr>
              <w:pStyle w:val="30"/>
              <w:spacing w:line="360" w:lineRule="auto"/>
              <w:rPr>
                <w:rFonts w:ascii="宋体" w:hAnsi="宋体" w:eastAsia="宋体"/>
              </w:rPr>
            </w:pPr>
            <w:r>
              <w:rPr>
                <w:rFonts w:hint="eastAsia" w:ascii="宋体" w:hAnsi="宋体" w:eastAsia="宋体"/>
              </w:rPr>
              <w:t>融合不同模型对异常的互补视图。</w:t>
            </w:r>
          </w:p>
        </w:tc>
      </w:tr>
      <w:bookmarkEnd w:id="21"/>
    </w:tbl>
    <w:p w14:paraId="4F81FD95">
      <w:pPr>
        <w:pStyle w:val="3"/>
        <w:spacing w:line="360" w:lineRule="auto"/>
        <w:rPr>
          <w:rFonts w:ascii="宋体" w:hAnsi="宋体" w:eastAsia="宋体"/>
          <w:b/>
          <w:sz w:val="28"/>
          <w:szCs w:val="28"/>
        </w:rPr>
      </w:pPr>
      <w:bookmarkStart w:id="22" w:name="数学公式与实现框架"/>
    </w:p>
    <w:p w14:paraId="48EA18D7">
      <w:pPr>
        <w:pStyle w:val="3"/>
        <w:spacing w:line="360" w:lineRule="auto"/>
        <w:rPr>
          <w:rFonts w:ascii="宋体" w:hAnsi="宋体" w:eastAsia="宋体"/>
          <w:b/>
          <w:sz w:val="28"/>
          <w:szCs w:val="28"/>
        </w:rPr>
      </w:pPr>
      <w:r>
        <w:rPr>
          <w:rFonts w:hint="eastAsia" w:ascii="宋体" w:hAnsi="宋体" w:eastAsia="宋体"/>
          <w:b/>
          <w:sz w:val="28"/>
          <w:szCs w:val="28"/>
        </w:rPr>
        <w:t>4</w:t>
      </w:r>
      <w:r>
        <w:rPr>
          <w:rFonts w:ascii="宋体" w:hAnsi="宋体" w:eastAsia="宋体"/>
          <w:b/>
          <w:sz w:val="28"/>
          <w:szCs w:val="28"/>
        </w:rPr>
        <w:t xml:space="preserve">.2 </w:t>
      </w:r>
      <w:r>
        <w:rPr>
          <w:rFonts w:hint="eastAsia" w:ascii="宋体" w:hAnsi="宋体" w:eastAsia="宋体"/>
          <w:b/>
          <w:sz w:val="28"/>
          <w:szCs w:val="28"/>
        </w:rPr>
        <w:t>数学公式与实现框架</w:t>
      </w:r>
    </w:p>
    <w:p w14:paraId="57C7D688">
      <w:pPr>
        <w:pStyle w:val="29"/>
        <w:spacing w:line="360" w:lineRule="auto"/>
        <w:rPr>
          <w:rFonts w:ascii="宋体" w:hAnsi="宋体" w:eastAsia="宋体"/>
        </w:rPr>
      </w:pPr>
      <w:bookmarkStart w:id="23" w:name="阶段-1全局点异常分数-a_1-基于-k-近邻knn"/>
      <w:r>
        <w:rPr>
          <w:rFonts w:hint="eastAsia" w:ascii="宋体" w:hAnsi="宋体" w:eastAsia="宋体"/>
        </w:rPr>
        <w:t>（1）阶段</w:t>
      </w:r>
      <w:r>
        <w:rPr>
          <w:rFonts w:ascii="宋体" w:hAnsi="宋体" w:eastAsia="宋体"/>
        </w:rPr>
        <w:t xml:space="preserve"> </w:t>
      </w:r>
      <w:r>
        <w:rPr>
          <w:rFonts w:hint="eastAsia" w:ascii="宋体" w:hAnsi="宋体" w:eastAsia="宋体"/>
        </w:rPr>
        <w:t>1：全局点异常分数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(基于</w:t>
      </w:r>
      <w:r>
        <w:rPr>
          <w:rFonts w:ascii="宋体" w:hAnsi="宋体" w:eastAsia="宋体"/>
        </w:rPr>
        <w:t xml:space="preserve"> </w:t>
      </w:r>
      <w:r>
        <w:rPr>
          <w:rFonts w:hint="eastAsia" w:ascii="宋体" w:hAnsi="宋体" w:eastAsia="宋体"/>
        </w:rPr>
        <w:t>k-近邻，KNN)</w:t>
      </w:r>
    </w:p>
    <w:p w14:paraId="287E04DC">
      <w:pPr>
        <w:pStyle w:val="29"/>
        <w:spacing w:line="360" w:lineRule="auto"/>
        <w:ind w:firstLine="480" w:firstLineChars="200"/>
        <w:rPr>
          <w:rFonts w:ascii="宋体" w:hAnsi="宋体" w:eastAsia="宋体"/>
        </w:rPr>
      </w:pPr>
      <w:r>
        <w:rPr>
          <w:rFonts w:hint="eastAsia" w:ascii="宋体" w:hAnsi="宋体" w:eastAsia="宋体"/>
        </w:rPr>
        <w:t>快速检测全局显著离群点（Point</w:t>
      </w:r>
      <w:r>
        <w:rPr>
          <w:rFonts w:ascii="宋体" w:hAnsi="宋体" w:eastAsia="宋体"/>
        </w:rPr>
        <w:t xml:space="preserve"> </w:t>
      </w:r>
      <w:r>
        <w:rPr>
          <w:rFonts w:hint="eastAsia" w:ascii="宋体" w:hAnsi="宋体" w:eastAsia="宋体"/>
        </w:rPr>
        <w:t>Outliers），即在数据空间中与其邻居距离过远的孤立点。KNN</w:t>
      </w:r>
      <w:r>
        <w:rPr>
          <w:rFonts w:ascii="宋体" w:hAnsi="宋体" w:eastAsia="宋体"/>
        </w:rPr>
        <w:t xml:space="preserve"> </w:t>
      </w:r>
      <w:r>
        <w:rPr>
          <w:rFonts w:hint="eastAsia" w:ascii="宋体" w:hAnsi="宋体" w:eastAsia="宋体"/>
        </w:rPr>
        <w:t>是一种经典的邻近度（Proximity-Based）方法。KNN</w:t>
      </w:r>
      <w:r>
        <w:rPr>
          <w:rFonts w:ascii="宋体" w:hAnsi="宋体" w:eastAsia="宋体"/>
        </w:rPr>
        <w:t xml:space="preserve"> </w:t>
      </w:r>
      <w:r>
        <w:rPr>
          <w:rFonts w:hint="eastAsia" w:ascii="宋体" w:hAnsi="宋体" w:eastAsia="宋体"/>
        </w:rPr>
        <w:t>能够高效地识别出数据空间中稀疏区域的点，这些点对于金融运营数据中的瞬时、剧烈波动非常敏感。采用</w:t>
      </w:r>
      <w:r>
        <w:rPr>
          <w:rFonts w:ascii="宋体" w:hAnsi="宋体" w:eastAsia="宋体"/>
        </w:rPr>
        <w:t xml:space="preserve"> </w:t>
      </w:r>
      <m:oMath>
        <m:r>
          <m:rPr/>
          <w:rPr>
            <w:rFonts w:ascii="Cambria Math" w:hAnsi="Cambria Math" w:eastAsia="宋体"/>
          </w:rPr>
          <m:t>k</m:t>
        </m:r>
      </m:oMath>
      <w:r>
        <w:rPr>
          <w:rFonts w:ascii="宋体" w:hAnsi="宋体" w:eastAsia="宋体"/>
        </w:rPr>
        <w:t xml:space="preserve"> </w:t>
      </w:r>
      <w:r>
        <w:rPr>
          <w:rFonts w:hint="eastAsia" w:ascii="宋体" w:hAnsi="宋体" w:eastAsia="宋体"/>
        </w:rPr>
        <w:t>个最近邻居的平均距离作为异常分数（AvgKNN），这比仅使用第</w:t>
      </w:r>
      <w:r>
        <w:rPr>
          <w:rFonts w:ascii="宋体" w:hAnsi="宋体" w:eastAsia="宋体"/>
        </w:rPr>
        <w:t xml:space="preserve"> </w:t>
      </w:r>
      <m:oMath>
        <m:r>
          <m:rPr/>
          <w:rPr>
            <w:rFonts w:ascii="Cambria Math" w:hAnsi="Cambria Math" w:eastAsia="宋体"/>
          </w:rPr>
          <m:t>k</m:t>
        </m:r>
      </m:oMath>
      <w:r>
        <w:rPr>
          <w:rFonts w:ascii="宋体" w:hAnsi="宋体" w:eastAsia="宋体"/>
        </w:rPr>
        <w:t xml:space="preserve"> </w:t>
      </w:r>
      <w:r>
        <w:rPr>
          <w:rFonts w:hint="eastAsia" w:ascii="宋体" w:hAnsi="宋体" w:eastAsia="宋体"/>
        </w:rPr>
        <w:t>个邻居的距离（kthNN）更为稳健。</w:t>
      </w:r>
    </w:p>
    <w:p w14:paraId="058D4384">
      <w:pPr>
        <w:pStyle w:val="3"/>
        <w:spacing w:line="360" w:lineRule="auto"/>
        <w:ind w:firstLine="480" w:firstLineChars="200"/>
        <w:rPr>
          <w:rFonts w:ascii="宋体" w:hAnsi="宋体" w:eastAsia="宋体"/>
        </w:rPr>
      </w:pPr>
      <w:r>
        <w:rPr>
          <w:rFonts w:hint="eastAsia" w:ascii="宋体" w:hAnsi="宋体" w:eastAsia="宋体"/>
        </w:rPr>
        <w:t>对于</w:t>
      </w:r>
      <w:r>
        <w:rPr>
          <w:rFonts w:ascii="宋体" w:hAnsi="宋体" w:eastAsia="宋体"/>
        </w:rPr>
        <w:t xml:space="preserve"> </w:t>
      </w:r>
      <m:oMath>
        <m:r>
          <m:rPr/>
          <w:rPr>
            <w:rFonts w:ascii="Cambria Math" w:hAnsi="Cambria Math" w:eastAsia="宋体"/>
          </w:rPr>
          <m:t>t</m:t>
        </m:r>
      </m:oMath>
      <w:r>
        <w:rPr>
          <w:rFonts w:ascii="宋体" w:hAnsi="宋体" w:eastAsia="宋体"/>
        </w:rPr>
        <w:t xml:space="preserve"> </w:t>
      </w:r>
      <w:r>
        <w:rPr>
          <w:rFonts w:hint="eastAsia" w:ascii="宋体" w:hAnsi="宋体" w:eastAsia="宋体"/>
        </w:rPr>
        <w:t>时刻的多元数据点</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sSup>
          <m:sSupPr>
            <m:ctrlPr>
              <w:rPr>
                <w:rFonts w:ascii="Cambria Math" w:hAnsi="Cambria Math" w:eastAsia="宋体"/>
              </w:rPr>
            </m:ctrlPr>
          </m:sSupPr>
          <m:e>
            <m:r>
              <m:rPr>
                <m:sty m:val="p"/>
                <m:scr m:val="double-struck"/>
              </m:rPr>
              <w:rPr>
                <w:rFonts w:ascii="Cambria Math" w:hAnsi="Cambria Math" w:eastAsia="宋体"/>
              </w:rPr>
              <m:t>ℝ</m:t>
            </m:r>
            <m:ctrlPr>
              <w:rPr>
                <w:rFonts w:ascii="Cambria Math" w:hAnsi="Cambria Math" w:eastAsia="宋体"/>
              </w:rPr>
            </m:ctrlPr>
          </m:e>
          <m:sup>
            <m:r>
              <m:rPr/>
              <w:rPr>
                <w:rFonts w:ascii="Cambria Math" w:hAnsi="Cambria Math" w:eastAsia="宋体"/>
              </w:rPr>
              <m:t>D</m:t>
            </m:r>
            <m:ctrlPr>
              <w:rPr>
                <w:rFonts w:ascii="Cambria Math" w:hAnsi="Cambria Math" w:eastAsia="宋体"/>
              </w:rPr>
            </m:ctrlPr>
          </m:sup>
        </m:sSup>
      </m:oMath>
      <w:r>
        <w:rPr>
          <w:rFonts w:hint="eastAsia" w:ascii="宋体" w:hAnsi="宋体" w:eastAsia="宋体"/>
        </w:rPr>
        <w:t>，其异常分数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oMath>
      <w:r>
        <w:rPr>
          <w:rFonts w:ascii="宋体" w:hAnsi="宋体" w:eastAsia="宋体"/>
        </w:rPr>
        <w:t xml:space="preserve"> </w:t>
      </w:r>
      <w:r>
        <w:rPr>
          <w:rFonts w:hint="eastAsia" w:ascii="宋体" w:hAnsi="宋体" w:eastAsia="宋体"/>
        </w:rPr>
        <w:t>定义为其到</w:t>
      </w:r>
      <w:r>
        <w:rPr>
          <w:rFonts w:ascii="宋体" w:hAnsi="宋体" w:eastAsia="宋体"/>
        </w:rPr>
        <w:t xml:space="preserve"> </w:t>
      </w:r>
      <m:oMath>
        <m:r>
          <m:rPr/>
          <w:rPr>
            <w:rFonts w:ascii="Cambria Math" w:hAnsi="Cambria Math" w:eastAsia="宋体"/>
          </w:rPr>
          <m:t>k</m:t>
        </m:r>
      </m:oMath>
      <w:r>
        <w:rPr>
          <w:rFonts w:ascii="宋体" w:hAnsi="宋体" w:eastAsia="宋体"/>
        </w:rPr>
        <w:t xml:space="preserve"> </w:t>
      </w:r>
      <w:r>
        <w:rPr>
          <w:rFonts w:hint="eastAsia" w:ascii="宋体" w:hAnsi="宋体" w:eastAsia="宋体"/>
        </w:rPr>
        <w:t>个最近邻居的平均距离</w:t>
      </w:r>
      <w:r>
        <w:rPr>
          <w:rFonts w:ascii="宋体" w:hAnsi="宋体" w:eastAsia="宋体"/>
        </w:rPr>
        <w:commentReference w:id="10"/>
      </w:r>
      <w:r>
        <w:rPr>
          <w:rFonts w:hint="eastAsia" w:ascii="宋体" w:hAnsi="宋体" w:eastAsia="宋体"/>
        </w:rPr>
        <w:t>，计算方式见式（1）：</w:t>
      </w:r>
    </w:p>
    <w:p w14:paraId="1763DF65">
      <w:pPr>
        <w:pStyle w:val="3"/>
        <w:spacing w:line="360" w:lineRule="auto"/>
        <w:jc w:val="center"/>
        <w:rPr>
          <w:rFonts w:ascii="宋体" w:hAnsi="宋体" w:eastAsia="宋体"/>
        </w:rPr>
      </w:pPr>
      <w:commentRangeStart w:id="11"/>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f>
          <m:fPr>
            <m:ctrlPr>
              <w:rPr>
                <w:rFonts w:ascii="Cambria Math" w:hAnsi="Cambria Math" w:eastAsia="宋体"/>
              </w:rPr>
            </m:ctrlPr>
          </m:fPr>
          <m:num>
            <m:r>
              <m:rPr/>
              <w:rPr>
                <w:rFonts w:ascii="Cambria Math" w:hAnsi="Cambria Math" w:eastAsia="宋体"/>
              </w:rPr>
              <m:t>1</m:t>
            </m:r>
            <m:ctrlPr>
              <w:rPr>
                <w:rFonts w:ascii="Cambria Math" w:hAnsi="Cambria Math" w:eastAsia="宋体"/>
              </w:rPr>
            </m:ctrlPr>
          </m:num>
          <m:den>
            <m:r>
              <m:rPr/>
              <w:rPr>
                <w:rFonts w:ascii="Cambria Math" w:hAnsi="Cambria Math" w:eastAsia="宋体"/>
              </w:rPr>
              <m:t>k</m:t>
            </m:r>
            <m:ctrlPr>
              <w:rPr>
                <w:rFonts w:ascii="Cambria Math" w:hAnsi="Cambria Math" w:eastAsia="宋体"/>
              </w:rPr>
            </m:ctrlPr>
          </m:den>
        </m:f>
        <m:nary>
          <m:naryPr>
            <m:chr m:val="∑"/>
            <m:limLoc m:val="undOvr"/>
            <m:ctrlPr>
              <w:rPr>
                <w:rFonts w:ascii="Cambria Math" w:hAnsi="Cambria Math" w:eastAsia="宋体"/>
              </w:rPr>
            </m:ctrlPr>
          </m:naryPr>
          <m:sub>
            <m:r>
              <m:rPr/>
              <w:rPr>
                <w:rFonts w:ascii="Cambria Math" w:hAnsi="Cambria Math" w:eastAsia="宋体"/>
              </w:rPr>
              <m:t>j</m:t>
            </m:r>
            <m:r>
              <m:rPr>
                <m:sty m:val="p"/>
              </m:rPr>
              <w:rPr>
                <w:rFonts w:ascii="Cambria Math" w:hAnsi="Cambria Math" w:eastAsia="宋体"/>
              </w:rPr>
              <m:t>=</m:t>
            </m:r>
            <m:r>
              <m:rPr/>
              <w:rPr>
                <w:rFonts w:ascii="Cambria Math" w:hAnsi="Cambria Math" w:eastAsia="宋体"/>
              </w:rPr>
              <m:t>1</m:t>
            </m:r>
            <m:ctrlPr>
              <w:rPr>
                <w:rFonts w:ascii="Cambria Math" w:hAnsi="Cambria Math" w:eastAsia="宋体"/>
              </w:rPr>
            </m:ctrlPr>
          </m:sub>
          <m:sup>
            <m:r>
              <m:rPr/>
              <w:rPr>
                <w:rFonts w:ascii="Cambria Math" w:hAnsi="Cambria Math" w:eastAsia="宋体"/>
              </w:rPr>
              <m:t>k</m:t>
            </m:r>
            <m:ctrlPr>
              <w:rPr>
                <w:rFonts w:ascii="Cambria Math" w:hAnsi="Cambria Math" w:eastAsia="宋体"/>
              </w:rPr>
            </m:ctrlPr>
          </m:sup>
          <m:e>
            <m:r>
              <m:rPr/>
              <w:rPr>
                <w:rFonts w:ascii="Cambria Math" w:hAnsi="Cambria Math" w:eastAsia="宋体"/>
              </w:rPr>
              <m:t>d</m:t>
            </m:r>
            <m:ctrlPr>
              <w:rPr>
                <w:rFonts w:ascii="Cambria Math" w:hAnsi="Cambria Math" w:eastAsia="宋体"/>
              </w:rPr>
            </m:ctrlPr>
          </m:e>
        </m:nary>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up>
            <m:r>
              <m:rPr>
                <m:sty m:val="p"/>
              </m:rPr>
              <w:rPr>
                <w:rFonts w:ascii="Cambria Math" w:hAnsi="Cambria Math" w:eastAsia="宋体"/>
              </w:rPr>
              <m:t>(</m:t>
            </m:r>
            <m:r>
              <m:rPr/>
              <w:rPr>
                <w:rFonts w:ascii="Cambria Math" w:hAnsi="Cambria Math" w:eastAsia="宋体"/>
              </w:rPr>
              <m:t>j</m:t>
            </m:r>
            <m:r>
              <m:rPr>
                <m:sty m:val="p"/>
              </m:rPr>
              <w:rPr>
                <w:rFonts w:ascii="Cambria Math" w:hAnsi="Cambria Math" w:eastAsia="宋体"/>
              </w:rPr>
              <m:t>)</m:t>
            </m:r>
            <m:ctrlPr>
              <w:rPr>
                <w:rFonts w:ascii="Cambria Math" w:hAnsi="Cambria Math" w:eastAsia="宋体"/>
              </w:rPr>
            </m:ctrlPr>
          </m:sup>
        </m:sSubSup>
        <m:r>
          <m:rPr>
            <m:sty m:val="p"/>
          </m:rPr>
          <w:rPr>
            <w:rFonts w:ascii="Cambria Math" w:hAnsi="Cambria Math" w:eastAsia="宋体"/>
          </w:rPr>
          <m:t>)</m:t>
        </m:r>
        <w:commentRangeEnd w:id="11"/>
        <m:r>
          <m:rPr>
            <m:sty m:val="p"/>
          </m:rPr>
          <w:rPr>
            <w:rFonts w:ascii="Cambria Math" w:hAnsi="Cambria Math" w:eastAsia="宋体"/>
          </w:rPr>
          <w:commentReference w:id="11"/>
        </m:r>
      </m:oMath>
      <w:r>
        <w:rPr>
          <w:rFonts w:hint="eastAsia" w:ascii="宋体" w:hAnsi="宋体" w:eastAsia="宋体"/>
        </w:rPr>
        <w:t xml:space="preserve"> </w:t>
      </w:r>
      <w:r>
        <w:rPr>
          <w:rFonts w:ascii="宋体" w:hAnsi="宋体" w:eastAsia="宋体"/>
        </w:rPr>
        <w:t xml:space="preserve"> (1)</w:t>
      </w:r>
    </w:p>
    <w:p w14:paraId="6D7DE142">
      <w:pPr>
        <w:pStyle w:val="29"/>
        <w:spacing w:line="360" w:lineRule="auto"/>
        <w:rPr>
          <w:rFonts w:ascii="宋体" w:hAnsi="宋体" w:eastAsia="宋体"/>
        </w:rPr>
      </w:pPr>
      <w:commentRangeStart w:id="12"/>
      <w:r>
        <w:rPr>
          <w:rFonts w:hint="eastAsia" w:ascii="宋体" w:hAnsi="宋体" w:eastAsia="宋体"/>
        </w:rPr>
        <w:t>其中:</w:t>
      </w:r>
      <w:r>
        <w:rPr>
          <w:rFonts w:ascii="宋体" w:hAnsi="宋体" w:eastAsia="宋体"/>
        </w:rPr>
        <w:t xml:space="preserve"> </w:t>
      </w:r>
      <m:oMath>
        <m:r>
          <m:rPr/>
          <w:rPr>
            <w:rFonts w:ascii="Cambria Math" w:hAnsi="Cambria Math" w:eastAsia="宋体"/>
          </w:rPr>
          <m:t>d</m:t>
        </m:r>
        <m:r>
          <m:rPr>
            <m:sty m:val="p"/>
          </m:rPr>
          <w:rPr>
            <w:rFonts w:ascii="Cambria Math" w:hAnsi="Cambria Math" w:eastAsia="宋体"/>
          </w:rPr>
          <m:t>(⋅,⋅)</m:t>
        </m:r>
      </m:oMath>
      <w:r>
        <w:rPr>
          <w:rFonts w:ascii="宋体" w:hAnsi="宋体" w:eastAsia="宋体"/>
        </w:rPr>
        <w:t xml:space="preserve"> </w:t>
      </w:r>
      <w:r>
        <w:rPr>
          <w:rFonts w:hint="eastAsia" w:ascii="宋体" w:hAnsi="宋体" w:eastAsia="宋体"/>
        </w:rPr>
        <w:t>是距离度量，在金融运营数据常用欧氏距离（</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范数）或马氏距离（Mahalanobis</w:t>
      </w:r>
      <w:r>
        <w:rPr>
          <w:rFonts w:ascii="宋体" w:hAnsi="宋体" w:eastAsia="宋体"/>
        </w:rPr>
        <w:t xml:space="preserve"> </w:t>
      </w:r>
      <w:r>
        <w:rPr>
          <w:rFonts w:hint="eastAsia" w:ascii="宋体" w:hAnsi="宋体" w:eastAsia="宋体"/>
        </w:rPr>
        <w:t>Distance</w:t>
      </w:r>
      <w:r>
        <w:rPr>
          <w:rFonts w:ascii="宋体" w:hAnsi="宋体" w:eastAsia="宋体"/>
        </w:rPr>
        <w:t>）</w:t>
      </w:r>
      <w:r>
        <w:rPr>
          <w:rFonts w:hint="eastAsia" w:ascii="宋体" w:hAnsi="宋体" w:eastAsia="宋体"/>
        </w:rPr>
        <w:t>，用于考虑特征间的协方差。</w:t>
      </w:r>
      <w:commentRangeEnd w:id="12"/>
      <w:r>
        <w:rPr>
          <w:rFonts w:ascii="宋体" w:hAnsi="宋体" w:eastAsia="宋体"/>
        </w:rPr>
        <w:commentReference w:id="12"/>
      </w:r>
    </w:p>
    <w:bookmarkEnd w:id="23"/>
    <w:p w14:paraId="11378A54">
      <w:pPr>
        <w:pStyle w:val="29"/>
        <w:spacing w:line="360" w:lineRule="auto"/>
        <w:rPr>
          <w:rFonts w:ascii="宋体" w:hAnsi="宋体" w:eastAsia="宋体"/>
        </w:rPr>
      </w:pPr>
      <w:bookmarkStart w:id="24" w:name="阶段-2深度上下文异常分数-a_2-基于-gru-重构误差"/>
      <w:r>
        <w:rPr>
          <w:rFonts w:hint="eastAsia" w:ascii="宋体" w:hAnsi="宋体" w:eastAsia="宋体"/>
        </w:rPr>
        <w:t>（2）阶段</w:t>
      </w:r>
      <w:r>
        <w:rPr>
          <w:rFonts w:ascii="宋体" w:hAnsi="宋体" w:eastAsia="宋体"/>
        </w:rPr>
        <w:t xml:space="preserve"> </w:t>
      </w:r>
      <w:r>
        <w:rPr>
          <w:rFonts w:hint="eastAsia" w:ascii="宋体" w:hAnsi="宋体" w:eastAsia="宋体"/>
        </w:rPr>
        <w:t>2：深度上下文异常分数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(基于</w:t>
      </w:r>
      <w:r>
        <w:rPr>
          <w:rFonts w:ascii="宋体" w:hAnsi="宋体" w:eastAsia="宋体"/>
        </w:rPr>
        <w:t xml:space="preserve"> GRU </w:t>
      </w:r>
      <w:r>
        <w:rPr>
          <w:rFonts w:hint="eastAsia" w:ascii="宋体" w:hAnsi="宋体" w:eastAsia="宋体"/>
        </w:rPr>
        <w:t>重构误差)</w:t>
      </w:r>
    </w:p>
    <w:p w14:paraId="1AC27AFB">
      <w:pPr>
        <w:pStyle w:val="29"/>
        <w:spacing w:line="360" w:lineRule="auto"/>
        <w:ind w:firstLine="480" w:firstLineChars="200"/>
        <w:rPr>
          <w:rFonts w:ascii="宋体" w:hAnsi="宋体" w:eastAsia="宋体"/>
        </w:rPr>
      </w:pPr>
      <w:r>
        <w:rPr>
          <w:rFonts w:ascii="宋体" w:hAnsi="宋体" w:eastAsia="宋体"/>
        </w:rPr>
        <w:t xml:space="preserve">GRU </w:t>
      </w:r>
      <w:r>
        <w:rPr>
          <w:rFonts w:hint="eastAsia" w:ascii="宋体" w:hAnsi="宋体" w:eastAsia="宋体"/>
        </w:rPr>
        <w:t>单元简化了</w:t>
      </w:r>
      <w:r>
        <w:rPr>
          <w:rFonts w:ascii="宋体" w:hAnsi="宋体" w:eastAsia="宋体"/>
        </w:rPr>
        <w:t xml:space="preserve"> LSTM </w:t>
      </w:r>
      <w:r>
        <w:rPr>
          <w:rFonts w:hint="eastAsia" w:ascii="宋体" w:hAnsi="宋体" w:eastAsia="宋体"/>
        </w:rPr>
        <w:t>的结构，将输入门和遗忘门耦合为一个更新门（Update</w:t>
      </w:r>
      <w:r>
        <w:rPr>
          <w:rFonts w:ascii="宋体" w:hAnsi="宋体" w:eastAsia="宋体"/>
        </w:rPr>
        <w:t xml:space="preserve"> </w:t>
      </w:r>
      <w:r>
        <w:rPr>
          <w:rFonts w:hint="eastAsia" w:ascii="宋体" w:hAnsi="宋体" w:eastAsia="宋体"/>
        </w:rPr>
        <w:t>gate），并将状态向量</w:t>
      </w:r>
      <w:r>
        <w:rPr>
          <w:rFonts w:ascii="宋体" w:hAnsi="宋体" w:eastAsia="宋体"/>
        </w:rPr>
        <w:t xml:space="preserve"> </w:t>
      </w:r>
      <m:oMath>
        <m:r>
          <m:rPr>
            <m:sty m:val="bi"/>
          </m:rPr>
          <w:rPr>
            <w:rFonts w:ascii="Cambria Math" w:hAnsi="Cambria Math" w:eastAsia="宋体"/>
          </w:rPr>
          <m:t>c</m:t>
        </m:r>
      </m:oMath>
      <w:commentRangeStart w:id="13"/>
      <w:r>
        <w:rPr>
          <w:rFonts w:ascii="宋体" w:hAnsi="宋体" w:eastAsia="宋体"/>
        </w:rPr>
        <w:t xml:space="preserve"> </w:t>
      </w:r>
      <w:r>
        <w:rPr>
          <w:rFonts w:hint="eastAsia" w:ascii="宋体" w:hAnsi="宋体" w:eastAsia="宋体"/>
        </w:rPr>
        <w:t>和</w:t>
      </w:r>
      <w:r>
        <w:rPr>
          <w:rFonts w:ascii="宋体" w:hAnsi="宋体" w:eastAsia="宋体"/>
        </w:rPr>
        <w:t xml:space="preserve"> </w:t>
      </w:r>
      <m:oMath>
        <m:r>
          <m:rPr>
            <m:sty m:val="bi"/>
          </m:rPr>
          <w:rPr>
            <w:rFonts w:ascii="Cambria Math" w:hAnsi="Cambria Math" w:eastAsia="宋体"/>
          </w:rPr>
          <m:t>h</m:t>
        </m:r>
      </m:oMath>
      <w:r>
        <w:rPr>
          <w:rFonts w:ascii="宋体" w:hAnsi="宋体" w:eastAsia="宋体"/>
        </w:rPr>
        <w:t xml:space="preserve"> </w:t>
      </w:r>
      <w:r>
        <w:rPr>
          <w:rFonts w:hint="eastAsia" w:ascii="宋体" w:hAnsi="宋体" w:eastAsia="宋体"/>
        </w:rPr>
        <w:t>合并为一个向量</w:t>
      </w:r>
      <w:r>
        <w:rPr>
          <w:rFonts w:ascii="宋体" w:hAnsi="宋体" w:eastAsia="宋体"/>
        </w:rPr>
        <w:t xml:space="preserve"> </w:t>
      </w:r>
      <m:oMath>
        <m:r>
          <m:rPr>
            <m:sty m:val="bi"/>
          </m:rPr>
          <w:rPr>
            <w:rFonts w:ascii="Cambria Math" w:hAnsi="Cambria Math" w:eastAsia="宋体"/>
          </w:rPr>
          <m:t>h</m:t>
        </m:r>
        <w:commentRangeEnd w:id="13"/>
        <m:r>
          <m:rPr>
            <m:sty m:val="p"/>
          </m:rPr>
          <w:rPr>
            <w:rFonts w:ascii="Cambria Math" w:hAnsi="Cambria Math" w:eastAsia="宋体"/>
          </w:rPr>
          <w:commentReference w:id="13"/>
        </m:r>
      </m:oMath>
      <w:r>
        <w:rPr>
          <w:rFonts w:ascii="宋体" w:hAnsi="宋体" w:eastAsia="宋体"/>
        </w:rPr>
        <w:t xml:space="preserve">。GRU </w:t>
      </w:r>
      <w:r>
        <w:rPr>
          <w:rFonts w:hint="eastAsia" w:ascii="宋体" w:hAnsi="宋体" w:eastAsia="宋体"/>
        </w:rPr>
        <w:t>的核心数学运算包括</w:t>
      </w:r>
      <w:r>
        <w:rPr>
          <w:rFonts w:ascii="宋体" w:hAnsi="宋体" w:eastAsia="宋体"/>
        </w:rPr>
        <w:t xml:space="preserve"> </w:t>
      </w:r>
      <w:r>
        <w:rPr>
          <w:rStyle w:val="54"/>
          <w:rFonts w:ascii="宋体" w:hAnsi="宋体" w:eastAsia="宋体"/>
        </w:rPr>
        <w:t>S</w:t>
      </w:r>
      <w:commentRangeStart w:id="14"/>
      <w:r>
        <w:rPr>
          <w:rStyle w:val="54"/>
          <w:rFonts w:ascii="宋体" w:hAnsi="宋体" w:eastAsia="宋体"/>
        </w:rPr>
        <w:t>igmoid</w:t>
      </w:r>
      <w:r>
        <w:rPr>
          <w:rFonts w:ascii="宋体" w:hAnsi="宋体" w:eastAsia="宋体"/>
        </w:rPr>
        <w:t xml:space="preserve"> </w:t>
      </w:r>
      <w:commentRangeEnd w:id="14"/>
      <w:r>
        <w:rPr>
          <w:rFonts w:ascii="宋体" w:hAnsi="宋体" w:eastAsia="宋体"/>
        </w:rPr>
        <w:commentReference w:id="14"/>
      </w:r>
      <w:r>
        <w:rPr>
          <w:rFonts w:hint="eastAsia" w:ascii="宋体" w:hAnsi="宋体" w:eastAsia="宋体"/>
        </w:rPr>
        <w:t>激活函数（用于门控）和</w:t>
      </w:r>
      <w:r>
        <w:rPr>
          <w:rFonts w:ascii="宋体" w:hAnsi="宋体" w:eastAsia="宋体"/>
        </w:rPr>
        <w:t xml:space="preserve"> </w:t>
      </w:r>
      <w:r>
        <w:rPr>
          <w:rStyle w:val="54"/>
          <w:rFonts w:ascii="宋体" w:hAnsi="宋体" w:eastAsia="宋体"/>
        </w:rPr>
        <w:t>tanh</w:t>
      </w:r>
      <w:r>
        <w:rPr>
          <w:rFonts w:ascii="宋体" w:hAnsi="宋体" w:eastAsia="宋体"/>
        </w:rPr>
        <w:t xml:space="preserve"> </w:t>
      </w:r>
      <w:r>
        <w:rPr>
          <w:rFonts w:hint="eastAsia" w:ascii="宋体" w:hAnsi="宋体" w:eastAsia="宋体"/>
        </w:rPr>
        <w:t>激活函数。GRU可以识别复杂的情境异常（Contextual</w:t>
      </w:r>
      <w:r>
        <w:rPr>
          <w:rFonts w:ascii="宋体" w:hAnsi="宋体" w:eastAsia="宋体"/>
        </w:rPr>
        <w:t xml:space="preserve"> </w:t>
      </w:r>
      <w:r>
        <w:rPr>
          <w:rFonts w:hint="eastAsia" w:ascii="宋体" w:hAnsi="宋体" w:eastAsia="宋体"/>
        </w:rPr>
        <w:t>Outliers）和集合异常（Collective</w:t>
      </w:r>
      <w:r>
        <w:rPr>
          <w:rFonts w:ascii="宋体" w:hAnsi="宋体" w:eastAsia="宋体"/>
        </w:rPr>
        <w:t xml:space="preserve"> </w:t>
      </w:r>
      <w:r>
        <w:rPr>
          <w:rFonts w:hint="eastAsia" w:ascii="宋体" w:hAnsi="宋体" w:eastAsia="宋体"/>
        </w:rPr>
        <w:t>Outliers）。这些异常依赖于序列的时间依赖性（temporal</w:t>
      </w:r>
      <w:r>
        <w:rPr>
          <w:rFonts w:ascii="宋体" w:hAnsi="宋体" w:eastAsia="宋体"/>
        </w:rPr>
        <w:t xml:space="preserve"> </w:t>
      </w:r>
      <w:r>
        <w:rPr>
          <w:rFonts w:hint="eastAsia" w:ascii="宋体" w:hAnsi="宋体" w:eastAsia="宋体"/>
        </w:rPr>
        <w:t>dependencies）和上下文。我们利用门控循环单元（Gated</w:t>
      </w:r>
      <w:r>
        <w:rPr>
          <w:rFonts w:ascii="宋体" w:hAnsi="宋体" w:eastAsia="宋体"/>
        </w:rPr>
        <w:t xml:space="preserve"> Recurrent Unit, </w:t>
      </w:r>
      <w:r>
        <w:rPr>
          <w:rFonts w:hint="eastAsia" w:ascii="宋体" w:hAnsi="宋体" w:eastAsia="宋体"/>
        </w:rPr>
        <w:t>GRU）构建一个序列自编码器（AutoEncoder,</w:t>
      </w:r>
      <w:r>
        <w:rPr>
          <w:rFonts w:ascii="宋体" w:hAnsi="宋体" w:eastAsia="宋体"/>
        </w:rPr>
        <w:t xml:space="preserve"> </w:t>
      </w:r>
      <w:r>
        <w:rPr>
          <w:rFonts w:hint="eastAsia" w:ascii="宋体" w:hAnsi="宋体" w:eastAsia="宋体"/>
        </w:rPr>
        <w:t>AE）或变分自编码器（Variational</w:t>
      </w:r>
      <w:r>
        <w:rPr>
          <w:rFonts w:ascii="宋体" w:hAnsi="宋体" w:eastAsia="宋体"/>
        </w:rPr>
        <w:t xml:space="preserve"> AutoEncoder, </w:t>
      </w:r>
      <w:r>
        <w:rPr>
          <w:rFonts w:hint="eastAsia" w:ascii="宋体" w:hAnsi="宋体" w:eastAsia="宋体"/>
        </w:rPr>
        <w:t>VAE）。GRU</w:t>
      </w:r>
      <w:r>
        <w:rPr>
          <w:rFonts w:ascii="宋体" w:hAnsi="宋体" w:eastAsia="宋体"/>
        </w:rPr>
        <w:t xml:space="preserve"> </w:t>
      </w:r>
      <w:r>
        <w:rPr>
          <w:rFonts w:hint="eastAsia" w:ascii="宋体" w:hAnsi="宋体" w:eastAsia="宋体"/>
        </w:rPr>
        <w:t>是长短期记忆网络（LSTM）的简化版本，在处理长序列时同样高效且计算要求更低。GRU-VAE（例如</w:t>
      </w:r>
      <w:r>
        <w:rPr>
          <w:rFonts w:ascii="宋体" w:hAnsi="宋体" w:eastAsia="宋体"/>
        </w:rPr>
        <w:t xml:space="preserve"> </w:t>
      </w:r>
      <w:r>
        <w:rPr>
          <w:rFonts w:hint="eastAsia" w:ascii="宋体" w:hAnsi="宋体" w:eastAsia="宋体"/>
        </w:rPr>
        <w:t>OmniAnomaly）或</w:t>
      </w:r>
      <w:r>
        <w:rPr>
          <w:rFonts w:ascii="宋体" w:hAnsi="宋体" w:eastAsia="宋体"/>
        </w:rPr>
        <w:t xml:space="preserve"> GRU-AE </w:t>
      </w:r>
      <w:r>
        <w:rPr>
          <w:rFonts w:hint="eastAsia" w:ascii="宋体" w:hAnsi="宋体" w:eastAsia="宋体"/>
        </w:rPr>
        <w:t>模型专门用于学习正常时间序列的复杂数据分布。</w:t>
      </w:r>
    </w:p>
    <w:p w14:paraId="31F4A715">
      <w:pPr>
        <w:pStyle w:val="3"/>
        <w:spacing w:line="360" w:lineRule="auto"/>
        <w:ind w:firstLine="480" w:firstLineChars="200"/>
        <w:rPr>
          <w:rFonts w:ascii="宋体" w:hAnsi="宋体" w:eastAsia="宋体"/>
        </w:rPr>
      </w:pPr>
      <w:r>
        <w:rPr>
          <w:rFonts w:hint="eastAsia" w:ascii="宋体" w:hAnsi="宋体" w:eastAsia="宋体"/>
        </w:rPr>
        <w:t>模型输入是一个包含</w:t>
      </w:r>
      <w:r>
        <w:rPr>
          <w:rFonts w:ascii="宋体" w:hAnsi="宋体" w:eastAsia="宋体"/>
        </w:rPr>
        <w:t xml:space="preserve"> </w:t>
      </w:r>
      <m:oMath>
        <m:r>
          <m:rPr/>
          <w:rPr>
            <w:rFonts w:ascii="Cambria Math" w:hAnsi="Cambria Math" w:eastAsia="宋体"/>
          </w:rPr>
          <m:t>L</m:t>
        </m:r>
      </m:oMath>
      <w:r>
        <w:rPr>
          <w:rFonts w:ascii="宋体" w:hAnsi="宋体" w:eastAsia="宋体"/>
        </w:rPr>
        <w:t xml:space="preserve"> </w:t>
      </w:r>
      <w:r>
        <w:rPr>
          <w:rFonts w:hint="eastAsia" w:ascii="宋体" w:hAnsi="宋体" w:eastAsia="宋体"/>
        </w:rPr>
        <w:t>个时间步的滑动窗口</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r>
              <m:rPr>
                <m:sty m:val="p"/>
              </m:rPr>
              <w:rPr>
                <w:rFonts w:ascii="Cambria Math" w:hAnsi="Cambria Math" w:eastAsia="宋体"/>
              </w:rPr>
              <m:t>−</m:t>
            </m:r>
            <m:r>
              <m:rPr/>
              <w:rPr>
                <w:rFonts w:ascii="Cambria Math" w:hAnsi="Cambria Math" w:eastAsia="宋体"/>
              </w:rPr>
              <m:t>L</m:t>
            </m:r>
            <m:r>
              <m:rPr>
                <m:sty m:val="p"/>
              </m:rPr>
              <w:rPr>
                <w:rFonts w:ascii="Cambria Math" w:hAnsi="Cambria Math" w:eastAsia="宋体"/>
              </w:rPr>
              <m:t>+</m:t>
            </m:r>
            <m:r>
              <m:rPr/>
              <w:rPr>
                <w:rFonts w:ascii="Cambria Math" w:hAnsi="Cambria Math" w:eastAsia="宋体"/>
              </w:rPr>
              <m:t>1</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oMath>
      <w:r>
        <w:rPr>
          <w:rFonts w:hint="eastAsia" w:ascii="宋体" w:hAnsi="宋体" w:eastAsia="宋体"/>
        </w:rPr>
        <w:t>。采用重构误差作为异常分数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hint="eastAsia" w:ascii="宋体" w:hAnsi="宋体" w:eastAsia="宋体"/>
        </w:rPr>
        <w:t>。模型在正常数据上训练，对异常数据（偏离正常模式的数据）进行重构时，将产生较大的误差。</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oMath>
      <w:r>
        <w:rPr>
          <w:rFonts w:ascii="宋体" w:hAnsi="宋体" w:eastAsia="宋体"/>
        </w:rPr>
        <w:t xml:space="preserve"> </w:t>
      </w:r>
      <w:r>
        <w:rPr>
          <w:rFonts w:hint="eastAsia" w:ascii="宋体" w:hAnsi="宋体" w:eastAsia="宋体"/>
        </w:rPr>
        <w:t>是原始窗口</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与</w:t>
      </w:r>
      <w:r>
        <w:rPr>
          <w:rFonts w:ascii="宋体" w:hAnsi="宋体" w:eastAsia="宋体"/>
        </w:rPr>
        <w:t xml:space="preserve"> GRU-AE </w:t>
      </w:r>
      <w:r>
        <w:rPr>
          <w:rFonts w:hint="eastAsia" w:ascii="宋体" w:hAnsi="宋体" w:eastAsia="宋体"/>
        </w:rPr>
        <w:t>重构输出</w:t>
      </w:r>
      <w:r>
        <w:rPr>
          <w:rFonts w:ascii="宋体" w:hAnsi="宋体" w:eastAsia="宋体"/>
        </w:rPr>
        <w:t xml:space="preserve"> </w:t>
      </w:r>
      <m:oMath>
        <m:sSub>
          <m:sSubPr>
            <m:ctrlPr>
              <w:rPr>
                <w:rFonts w:ascii="Cambria Math" w:hAnsi="Cambria Math" w:eastAsia="宋体"/>
              </w:rPr>
            </m:ctrlPr>
          </m:sSubPr>
          <m:e>
            <m:acc>
              <m:accPr>
                <m:ctrlPr>
                  <w:rPr>
                    <w:rFonts w:ascii="Cambria Math" w:hAnsi="Cambria Math" w:eastAsia="宋体"/>
                  </w:rPr>
                </m:ctrlPr>
              </m:accPr>
              <m:e>
                <m:r>
                  <m:rPr/>
                  <w:rPr>
                    <w:rFonts w:ascii="Cambria Math" w:hAnsi="Cambria Math" w:eastAsia="宋体"/>
                  </w:rPr>
                  <m:t>W</m:t>
                </m:r>
                <m:ctrlPr>
                  <w:rPr>
                    <w:rFonts w:ascii="Cambria Math" w:hAnsi="Cambria Math" w:eastAsia="宋体"/>
                  </w:rPr>
                </m:ctrlPr>
              </m:e>
            </m:acc>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之间的平均均方误差（MSE），计算方式见式（2）：</w:t>
      </w:r>
    </w:p>
    <w:p w14:paraId="11BA9770">
      <w:pPr>
        <w:pStyle w:val="3"/>
        <w:spacing w:line="360" w:lineRule="auto"/>
        <w:jc w:val="center"/>
        <w:rPr>
          <w:rFonts w:ascii="宋体" w:hAnsi="宋体" w:eastAsia="宋体"/>
        </w:rPr>
      </w:pPr>
      <w:commentRangeStart w:id="15"/>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r>
          <m:rPr>
            <m:nor/>
            <m:sty m:val="p"/>
          </m:rPr>
          <w:rPr>
            <w:rFonts w:ascii="宋体" w:hAnsi="宋体" w:eastAsia="宋体"/>
            <w:b w:val="0"/>
            <w:i w:val="0"/>
          </w:rPr>
          <m:t>MSE</m:t>
        </m:r>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acc>
              <m:accPr>
                <m:ctrlPr>
                  <w:rPr>
                    <w:rFonts w:ascii="Cambria Math" w:hAnsi="Cambria Math" w:eastAsia="宋体"/>
                  </w:rPr>
                </m:ctrlPr>
              </m:accPr>
              <m:e>
                <m:r>
                  <m:rPr/>
                  <w:rPr>
                    <w:rFonts w:ascii="Cambria Math" w:hAnsi="Cambria Math" w:eastAsia="宋体"/>
                  </w:rPr>
                  <m:t>W</m:t>
                </m:r>
                <m:ctrlPr>
                  <w:rPr>
                    <w:rFonts w:ascii="Cambria Math" w:hAnsi="Cambria Math" w:eastAsia="宋体"/>
                  </w:rPr>
                </m:ctrlPr>
              </m:e>
            </m:acc>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f>
          <m:fPr>
            <m:ctrlPr>
              <w:rPr>
                <w:rFonts w:ascii="Cambria Math" w:hAnsi="Cambria Math" w:eastAsia="宋体"/>
              </w:rPr>
            </m:ctrlPr>
          </m:fPr>
          <m:num>
            <m:r>
              <m:rPr/>
              <w:rPr>
                <w:rFonts w:ascii="Cambria Math" w:hAnsi="Cambria Math" w:eastAsia="宋体"/>
              </w:rPr>
              <m:t>1</m:t>
            </m:r>
            <m:ctrlPr>
              <w:rPr>
                <w:rFonts w:ascii="Cambria Math" w:hAnsi="Cambria Math" w:eastAsia="宋体"/>
              </w:rPr>
            </m:ctrlPr>
          </m:num>
          <m:den>
            <m:r>
              <m:rPr/>
              <w:rPr>
                <w:rFonts w:ascii="Cambria Math" w:hAnsi="Cambria Math" w:eastAsia="宋体"/>
              </w:rPr>
              <m:t>L</m:t>
            </m:r>
            <m:r>
              <m:rPr>
                <m:sty m:val="p"/>
              </m:rPr>
              <w:rPr>
                <w:rFonts w:ascii="Cambria Math" w:hAnsi="Cambria Math" w:eastAsia="宋体"/>
              </w:rPr>
              <m:t>⋅</m:t>
            </m:r>
            <m:r>
              <m:rPr/>
              <w:rPr>
                <w:rFonts w:ascii="Cambria Math" w:hAnsi="Cambria Math" w:eastAsia="宋体"/>
              </w:rPr>
              <m:t>D</m:t>
            </m:r>
            <m:ctrlPr>
              <w:rPr>
                <w:rFonts w:ascii="Cambria Math" w:hAnsi="Cambria Math" w:eastAsia="宋体"/>
              </w:rPr>
            </m:ctrlPr>
          </m:den>
        </m:f>
        <m:nary>
          <m:naryPr>
            <m:chr m:val="∑"/>
            <m:limLoc m:val="undOvr"/>
            <m:ctrlPr>
              <w:rPr>
                <w:rFonts w:ascii="Cambria Math" w:hAnsi="Cambria Math" w:eastAsia="宋体"/>
              </w:rPr>
            </m:ctrlPr>
          </m:naryPr>
          <m:sub>
            <m:r>
              <m:rPr/>
              <w:rPr>
                <w:rFonts w:ascii="Cambria Math" w:hAnsi="Cambria Math" w:eastAsia="宋体"/>
              </w:rPr>
              <m:t>i</m:t>
            </m:r>
            <m:r>
              <m:rPr>
                <m:sty m:val="p"/>
              </m:rPr>
              <w:rPr>
                <w:rFonts w:ascii="Cambria Math" w:hAnsi="Cambria Math" w:eastAsia="宋体"/>
              </w:rPr>
              <m:t>=</m:t>
            </m:r>
            <m:r>
              <m:rPr/>
              <w:rPr>
                <w:rFonts w:ascii="Cambria Math" w:hAnsi="Cambria Math" w:eastAsia="宋体"/>
              </w:rPr>
              <m:t>0</m:t>
            </m:r>
            <m:ctrlPr>
              <w:rPr>
                <w:rFonts w:ascii="Cambria Math" w:hAnsi="Cambria Math" w:eastAsia="宋体"/>
              </w:rPr>
            </m:ctrlPr>
          </m:sub>
          <m:sup>
            <m:r>
              <m:rPr/>
              <w:rPr>
                <w:rFonts w:ascii="Cambria Math" w:hAnsi="Cambria Math" w:eastAsia="宋体"/>
              </w:rPr>
              <m:t>L</m:t>
            </m:r>
            <m:r>
              <m:rPr>
                <m:sty m:val="p"/>
              </m:rPr>
              <w:rPr>
                <w:rFonts w:ascii="Cambria Math" w:hAnsi="Cambria Math" w:eastAsia="宋体"/>
              </w:rPr>
              <m:t>−</m:t>
            </m:r>
            <m:r>
              <m:rPr/>
              <w:rPr>
                <w:rFonts w:ascii="Cambria Math" w:hAnsi="Cambria Math" w:eastAsia="宋体"/>
              </w:rPr>
              <m:t>1</m:t>
            </m:r>
            <m:ctrlPr>
              <w:rPr>
                <w:rFonts w:ascii="Cambria Math" w:hAnsi="Cambria Math" w:eastAsia="宋体"/>
              </w:rPr>
            </m:ctrlPr>
          </m:sup>
          <m:e>
            <m:r>
              <m:rPr>
                <m:sty m:val="p"/>
              </m:rPr>
              <w:rPr>
                <w:rFonts w:ascii="Cambria Math" w:hAnsi="Cambria Math" w:eastAsia="宋体"/>
              </w:rPr>
              <m:t>∥</m:t>
            </m:r>
            <m:ctrlPr>
              <w:rPr>
                <w:rFonts w:ascii="Cambria Math" w:hAnsi="Cambria Math" w:eastAsia="宋体"/>
              </w:rPr>
            </m:ctrlPr>
          </m:e>
        </m:nary>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r>
              <m:rPr>
                <m:sty m:val="p"/>
              </m:rPr>
              <w:rPr>
                <w:rFonts w:ascii="Cambria Math" w:hAnsi="Cambria Math" w:eastAsia="宋体"/>
              </w:rPr>
              <m:t>−</m:t>
            </m:r>
            <m:r>
              <m:rPr/>
              <w:rPr>
                <w:rFonts w:ascii="Cambria Math" w:hAnsi="Cambria Math" w:eastAsia="宋体"/>
              </w:rPr>
              <m:t>i</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acc>
              <m:accPr>
                <m:ctrlPr>
                  <w:rPr>
                    <w:rFonts w:ascii="Cambria Math" w:hAnsi="Cambria Math" w:eastAsia="宋体"/>
                  </w:rPr>
                </m:ctrlPr>
              </m:accPr>
              <m:e>
                <m:r>
                  <m:rPr/>
                  <w:rPr>
                    <w:rFonts w:ascii="Cambria Math" w:hAnsi="Cambria Math" w:eastAsia="宋体"/>
                  </w:rPr>
                  <m:t>x</m:t>
                </m:r>
                <m:ctrlPr>
                  <w:rPr>
                    <w:rFonts w:ascii="Cambria Math" w:hAnsi="Cambria Math" w:eastAsia="宋体"/>
                  </w:rPr>
                </m:ctrlPr>
              </m:e>
            </m:acc>
            <m:ctrlPr>
              <w:rPr>
                <w:rFonts w:ascii="Cambria Math" w:hAnsi="Cambria Math" w:eastAsia="宋体"/>
              </w:rPr>
            </m:ctrlPr>
          </m:e>
          <m:sub>
            <m:r>
              <m:rPr/>
              <w:rPr>
                <w:rFonts w:ascii="Cambria Math" w:hAnsi="Cambria Math" w:eastAsia="宋体"/>
              </w:rPr>
              <m:t>t</m:t>
            </m:r>
            <m:r>
              <m:rPr>
                <m:sty m:val="p"/>
              </m:rPr>
              <w:rPr>
                <w:rFonts w:ascii="Cambria Math" w:hAnsi="Cambria Math" w:eastAsia="宋体"/>
              </w:rPr>
              <m:t>−</m:t>
            </m:r>
            <m:r>
              <m:rPr/>
              <w:rPr>
                <w:rFonts w:ascii="Cambria Math" w:hAnsi="Cambria Math" w:eastAsia="宋体"/>
              </w:rPr>
              <m:t>i</m:t>
            </m:r>
            <m:ctrlPr>
              <w:rPr>
                <w:rFonts w:ascii="Cambria Math" w:hAnsi="Cambria Math" w:eastAsia="宋体"/>
              </w:rPr>
            </m:ctrlPr>
          </m:sub>
        </m:sSub>
        <m:sSubSup>
          <m:sSubSupPr>
            <m:ctrlPr>
              <w:rPr>
                <w:rFonts w:ascii="Cambria Math" w:hAnsi="Cambria Math" w:eastAsia="宋体"/>
              </w:rPr>
            </m:ctrlPr>
          </m:sSubSup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up>
            <m:r>
              <m:rPr/>
              <w:rPr>
                <w:rFonts w:ascii="Cambria Math" w:hAnsi="Cambria Math" w:eastAsia="宋体"/>
              </w:rPr>
              <m:t>2</m:t>
            </m:r>
            <m:ctrlPr>
              <w:rPr>
                <w:rFonts w:ascii="Cambria Math" w:hAnsi="Cambria Math" w:eastAsia="宋体"/>
              </w:rPr>
            </m:ctrlPr>
          </m:sup>
        </m:sSubSup>
        <w:commentRangeEnd w:id="15"/>
        <m:r>
          <m:rPr>
            <m:sty m:val="p"/>
          </m:rPr>
          <w:rPr>
            <w:rFonts w:ascii="Cambria Math" w:hAnsi="Cambria Math" w:eastAsia="宋体"/>
          </w:rPr>
          <w:commentReference w:id="15"/>
        </m:r>
      </m:oMath>
      <w:r>
        <w:rPr>
          <w:rFonts w:hint="eastAsia" w:ascii="宋体" w:hAnsi="宋体" w:eastAsia="宋体"/>
        </w:rPr>
        <w:t xml:space="preserve"> </w:t>
      </w:r>
      <w:r>
        <w:rPr>
          <w:rFonts w:ascii="宋体" w:hAnsi="宋体" w:eastAsia="宋体"/>
        </w:rPr>
        <w:t>(2)</w:t>
      </w:r>
    </w:p>
    <w:p w14:paraId="3E50701D">
      <w:pPr>
        <w:pStyle w:val="29"/>
        <w:spacing w:line="360" w:lineRule="auto"/>
        <w:rPr>
          <w:rFonts w:ascii="宋体" w:hAnsi="宋体" w:eastAsia="宋体"/>
        </w:rPr>
      </w:pPr>
      <w:r>
        <w:rPr>
          <w:rFonts w:hint="eastAsia" w:ascii="宋体" w:hAnsi="宋体" w:eastAsia="宋体"/>
        </w:rPr>
        <w:t>其中:</w:t>
      </w:r>
      <w:r>
        <w:rPr>
          <w:rFonts w:ascii="宋体" w:hAnsi="宋体" w:eastAsia="宋体"/>
        </w:rPr>
        <w:t xml:space="preserve"> </w:t>
      </w:r>
      <m:oMath>
        <m:r>
          <m:rPr/>
          <w:rPr>
            <w:rFonts w:ascii="Cambria Math" w:hAnsi="Cambria Math" w:eastAsia="宋体"/>
          </w:rPr>
          <m:t>L</m:t>
        </m:r>
      </m:oMath>
      <w:r>
        <w:rPr>
          <w:rFonts w:ascii="宋体" w:hAnsi="宋体" w:eastAsia="宋体"/>
        </w:rPr>
        <w:t xml:space="preserve"> </w:t>
      </w:r>
      <w:r>
        <w:rPr>
          <w:rFonts w:hint="eastAsia" w:ascii="宋体" w:hAnsi="宋体" w:eastAsia="宋体"/>
        </w:rPr>
        <w:t>是窗口长度，</w:t>
      </w:r>
      <m:oMath>
        <m:r>
          <m:rPr/>
          <w:rPr>
            <w:rFonts w:ascii="Cambria Math" w:hAnsi="Cambria Math" w:eastAsia="宋体"/>
          </w:rPr>
          <m:t>D</m:t>
        </m:r>
      </m:oMath>
      <w:r>
        <w:rPr>
          <w:rFonts w:ascii="宋体" w:hAnsi="宋体" w:eastAsia="宋体"/>
        </w:rPr>
        <w:t xml:space="preserve"> </w:t>
      </w:r>
      <w:r>
        <w:rPr>
          <w:rFonts w:hint="eastAsia" w:ascii="宋体" w:hAnsi="宋体" w:eastAsia="宋体"/>
        </w:rPr>
        <w:t>是特征维度。</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r>
              <m:rPr>
                <m:sty m:val="p"/>
              </m:rPr>
              <w:rPr>
                <w:rFonts w:ascii="Cambria Math" w:hAnsi="Cambria Math" w:eastAsia="宋体"/>
              </w:rPr>
              <m:t>−</m:t>
            </m:r>
            <m:r>
              <m:rPr/>
              <w:rPr>
                <w:rFonts w:ascii="Cambria Math" w:hAnsi="Cambria Math" w:eastAsia="宋体"/>
              </w:rPr>
              <m:t>i</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和</w:t>
      </w:r>
      <w:r>
        <w:rPr>
          <w:rFonts w:ascii="宋体" w:hAnsi="宋体" w:eastAsia="宋体"/>
        </w:rPr>
        <w:t xml:space="preserve"> </w:t>
      </w:r>
      <m:oMath>
        <m:sSub>
          <m:sSubPr>
            <m:ctrlPr>
              <w:rPr>
                <w:rFonts w:ascii="Cambria Math" w:hAnsi="Cambria Math" w:eastAsia="宋体"/>
              </w:rPr>
            </m:ctrlPr>
          </m:sSubPr>
          <m:e>
            <m:acc>
              <m:accPr>
                <m:ctrlPr>
                  <w:rPr>
                    <w:rFonts w:ascii="Cambria Math" w:hAnsi="Cambria Math" w:eastAsia="宋体"/>
                  </w:rPr>
                </m:ctrlPr>
              </m:accPr>
              <m:e>
                <m:r>
                  <m:rPr/>
                  <w:rPr>
                    <w:rFonts w:ascii="Cambria Math" w:hAnsi="Cambria Math" w:eastAsia="宋体"/>
                  </w:rPr>
                  <m:t>x</m:t>
                </m:r>
                <m:ctrlPr>
                  <w:rPr>
                    <w:rFonts w:ascii="Cambria Math" w:hAnsi="Cambria Math" w:eastAsia="宋体"/>
                  </w:rPr>
                </m:ctrlPr>
              </m:e>
            </m:acc>
            <m:ctrlPr>
              <w:rPr>
                <w:rFonts w:ascii="Cambria Math" w:hAnsi="Cambria Math" w:eastAsia="宋体"/>
              </w:rPr>
            </m:ctrlPr>
          </m:e>
          <m:sub>
            <m:r>
              <m:rPr/>
              <w:rPr>
                <w:rFonts w:ascii="Cambria Math" w:hAnsi="Cambria Math" w:eastAsia="宋体"/>
              </w:rPr>
              <m:t>t</m:t>
            </m:r>
            <m:r>
              <m:rPr>
                <m:sty m:val="p"/>
              </m:rPr>
              <w:rPr>
                <w:rFonts w:ascii="Cambria Math" w:hAnsi="Cambria Math" w:eastAsia="宋体"/>
              </w:rPr>
              <m:t>−</m:t>
            </m:r>
            <m:r>
              <m:rPr/>
              <w:rPr>
                <w:rFonts w:ascii="Cambria Math" w:hAnsi="Cambria Math" w:eastAsia="宋体"/>
              </w:rPr>
              <m:t>i</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分别是原始数据和重构数据。</w:t>
      </w:r>
      <m:oMath>
        <m:r>
          <m:rPr>
            <m:sty m:val="p"/>
          </m:rPr>
          <w:rPr>
            <w:rFonts w:ascii="Cambria Math" w:hAnsi="Cambria Math" w:eastAsia="宋体"/>
          </w:rPr>
          <m:t>∥⋅</m:t>
        </m:r>
        <m:sSubSup>
          <m:sSubSupPr>
            <m:ctrlPr>
              <w:rPr>
                <w:rFonts w:ascii="Cambria Math" w:hAnsi="Cambria Math" w:eastAsia="宋体"/>
              </w:rPr>
            </m:ctrlPr>
          </m:sSubSup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up>
            <m:r>
              <m:rPr/>
              <w:rPr>
                <w:rFonts w:ascii="Cambria Math" w:hAnsi="Cambria Math" w:eastAsia="宋体"/>
              </w:rPr>
              <m:t>2</m:t>
            </m:r>
            <m:ctrlPr>
              <w:rPr>
                <w:rFonts w:ascii="Cambria Math" w:hAnsi="Cambria Math" w:eastAsia="宋体"/>
              </w:rPr>
            </m:ctrlPr>
          </m:sup>
        </m:sSubSup>
      </m:oMath>
      <w:r>
        <w:rPr>
          <w:rFonts w:ascii="宋体" w:hAnsi="宋体" w:eastAsia="宋体"/>
        </w:rPr>
        <w:t xml:space="preserve"> </w:t>
      </w:r>
      <w:r>
        <w:rPr>
          <w:rFonts w:hint="eastAsia" w:ascii="宋体" w:hAnsi="宋体" w:eastAsia="宋体"/>
        </w:rPr>
        <w:t>是欧氏距离平方（</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范数）。</w:t>
      </w:r>
    </w:p>
    <w:bookmarkEnd w:id="24"/>
    <w:p w14:paraId="2EE9ECDE">
      <w:pPr>
        <w:pStyle w:val="29"/>
        <w:spacing w:line="360" w:lineRule="auto"/>
        <w:rPr>
          <w:rFonts w:ascii="宋体" w:hAnsi="宋体" w:eastAsia="宋体"/>
        </w:rPr>
      </w:pPr>
      <w:bookmarkStart w:id="25" w:name="阶段-3多层整合与最终决策-s_textfinal"/>
      <w:r>
        <w:rPr>
          <w:rFonts w:hint="eastAsia" w:ascii="宋体" w:hAnsi="宋体" w:eastAsia="宋体"/>
        </w:rPr>
        <w:t>（3）阶段</w:t>
      </w:r>
      <w:r>
        <w:rPr>
          <w:rFonts w:ascii="宋体" w:hAnsi="宋体" w:eastAsia="宋体"/>
        </w:rPr>
        <w:t xml:space="preserve"> </w:t>
      </w:r>
      <w:r>
        <w:rPr>
          <w:rFonts w:hint="eastAsia" w:ascii="宋体" w:hAnsi="宋体" w:eastAsia="宋体"/>
        </w:rPr>
        <w:t>3：多层整合与最终决策</w:t>
      </w:r>
    </w:p>
    <w:p w14:paraId="6BBA12F0">
      <w:pPr>
        <w:pStyle w:val="29"/>
        <w:spacing w:line="360" w:lineRule="auto"/>
        <w:ind w:firstLine="480" w:firstLineChars="200"/>
        <w:rPr>
          <w:rFonts w:ascii="宋体" w:hAnsi="宋体" w:eastAsia="宋体"/>
        </w:rPr>
      </w:pPr>
      <w:r>
        <w:rPr>
          <w:rFonts w:hint="eastAsia" w:ascii="宋体" w:hAnsi="宋体" w:eastAsia="宋体"/>
        </w:rPr>
        <w:t>我们的策略将快速邻近度分数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和深度上下文分数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进行融合，以确保系统同时具备点异常的高敏感度和序列模式异常的精确识别能力。借鉴</w:t>
      </w:r>
      <w:r>
        <w:rPr>
          <w:rFonts w:ascii="宋体" w:hAnsi="宋体" w:eastAsia="宋体"/>
        </w:rPr>
        <w:t xml:space="preserve"> SALAD (Stochastic Adversarial Learned Anomaly Detection) </w:t>
      </w:r>
      <w:r>
        <w:rPr>
          <w:rFonts w:hint="eastAsia" w:ascii="宋体" w:hAnsi="宋体" w:eastAsia="宋体"/>
        </w:rPr>
        <w:t>的集成思想。SALAD</w:t>
      </w:r>
      <w:r>
        <w:rPr>
          <w:rFonts w:ascii="宋体" w:hAnsi="宋体" w:eastAsia="宋体"/>
        </w:rPr>
        <w:t xml:space="preserve"> </w:t>
      </w:r>
      <w:r>
        <w:rPr>
          <w:rFonts w:hint="eastAsia" w:ascii="宋体" w:hAnsi="宋体" w:eastAsia="宋体"/>
        </w:rPr>
        <w:t>的最终异常分数是重构误差（</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范数，</w:t>
      </w:r>
      <m:oMath>
        <m:r>
          <m:rPr>
            <m:sty m:val="p"/>
          </m:rPr>
          <w:rPr>
            <w:rFonts w:ascii="Cambria Math" w:hAnsi="Cambria Math" w:eastAsia="宋体"/>
          </w:rPr>
          <m:t>∥</m:t>
        </m:r>
        <m:r>
          <m:rPr/>
          <w:rPr>
            <w:rFonts w:ascii="Cambria Math" w:hAnsi="Cambria Math" w:eastAsia="宋体"/>
          </w:rPr>
          <m:t>x</m:t>
        </m:r>
        <m:r>
          <m:rPr>
            <m:sty m:val="p"/>
          </m:rPr>
          <w:rPr>
            <w:rFonts w:ascii="Cambria Math" w:hAnsi="Cambria Math" w:eastAsia="宋体"/>
          </w:rPr>
          <m:t>−</m:t>
        </m:r>
        <m:acc>
          <m:accPr>
            <m:ctrlPr>
              <w:rPr>
                <w:rFonts w:ascii="Cambria Math" w:hAnsi="Cambria Math" w:eastAsia="宋体"/>
              </w:rPr>
            </m:ctrlPr>
          </m:accPr>
          <m:e>
            <m:r>
              <m:rPr/>
              <w:rPr>
                <w:rFonts w:ascii="Cambria Math" w:hAnsi="Cambria Math" w:eastAsia="宋体"/>
              </w:rPr>
              <m:t>x</m:t>
            </m:r>
            <m:ctrlPr>
              <w:rPr>
                <w:rFonts w:ascii="Cambria Math" w:hAnsi="Cambria Math" w:eastAsia="宋体"/>
              </w:rPr>
            </m:ctrlPr>
          </m:e>
        </m:acc>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oMath>
      <w:r>
        <w:rPr>
          <w:rFonts w:hint="eastAsia" w:ascii="宋体" w:hAnsi="宋体" w:eastAsia="宋体"/>
        </w:rPr>
        <w:t>）和判别误差（</w:t>
      </w:r>
      <m:oMath>
        <m:r>
          <m:rPr>
            <m:sty m:val="p"/>
            <m:scr m:val="script"/>
          </m:rPr>
          <w:rPr>
            <w:rFonts w:ascii="Cambria Math" w:hAnsi="Cambria Math" w:eastAsia="宋体"/>
          </w:rPr>
          <m:t>D(</m:t>
        </m:r>
        <m:acc>
          <m:accPr>
            <m:ctrlPr>
              <w:rPr>
                <w:rFonts w:ascii="Cambria Math" w:hAnsi="Cambria Math" w:eastAsia="宋体"/>
              </w:rPr>
            </m:ctrlPr>
          </m:accPr>
          <m:e>
            <m:r>
              <m:rPr/>
              <w:rPr>
                <w:rFonts w:ascii="Cambria Math" w:hAnsi="Cambria Math" w:eastAsia="宋体"/>
              </w:rPr>
              <m:t>x</m:t>
            </m:r>
            <m:ctrlPr>
              <w:rPr>
                <w:rFonts w:ascii="Cambria Math" w:hAnsi="Cambria Math" w:eastAsia="宋体"/>
              </w:rPr>
            </m:ctrlPr>
          </m:e>
        </m:acc>
        <m:r>
          <m:rPr>
            <m:sty m:val="p"/>
          </m:rPr>
          <w:rPr>
            <w:rFonts w:ascii="Cambria Math" w:hAnsi="Cambria Math" w:eastAsia="宋体"/>
          </w:rPr>
          <m:t>)</m:t>
        </m:r>
      </m:oMath>
      <w:r>
        <w:rPr>
          <w:rFonts w:hint="eastAsia" w:ascii="宋体" w:hAnsi="宋体" w:eastAsia="宋体"/>
        </w:rPr>
        <w:t>）的加权和</w:t>
      </w:r>
      <w:r>
        <w:rPr>
          <w:rFonts w:ascii="宋体" w:hAnsi="宋体" w:eastAsia="宋体"/>
          <w:vertAlign w:val="superscript"/>
        </w:rPr>
        <w:t>[6]</w:t>
      </w:r>
      <w:r>
        <w:rPr>
          <w:rFonts w:hint="eastAsia" w:ascii="宋体" w:hAnsi="宋体" w:eastAsia="宋体"/>
        </w:rPr>
        <w:t>。</w:t>
      </w:r>
    </w:p>
    <w:p w14:paraId="5C7583DC">
      <w:pPr>
        <w:pStyle w:val="3"/>
        <w:spacing w:line="360" w:lineRule="auto"/>
        <w:ind w:firstLine="480" w:firstLineChars="200"/>
        <w:rPr>
          <w:rFonts w:ascii="宋体" w:hAnsi="宋体" w:eastAsia="宋体"/>
        </w:rPr>
      </w:pPr>
      <w:r>
        <w:rPr>
          <w:rFonts w:hint="eastAsia" w:ascii="宋体" w:hAnsi="宋体" w:eastAsia="宋体"/>
        </w:rPr>
        <w:t>首先对两阶段分数进行归一化（Min-Max</w:t>
      </w:r>
      <w:r>
        <w:rPr>
          <w:rFonts w:ascii="宋体" w:hAnsi="宋体" w:eastAsia="宋体"/>
        </w:rPr>
        <w:t xml:space="preserve"> </w:t>
      </w:r>
      <w:r>
        <w:rPr>
          <w:rFonts w:hint="eastAsia" w:ascii="宋体" w:hAnsi="宋体" w:eastAsia="宋体"/>
        </w:rPr>
        <w:t>Scaling），使其位于</w:t>
      </w:r>
      <w:r>
        <w:rPr>
          <w:rFonts w:ascii="宋体" w:hAnsi="宋体" w:eastAsia="宋体"/>
        </w:rPr>
        <w:t xml:space="preserve"> </w:t>
      </w:r>
      <m:oMath>
        <m:r>
          <m:rPr>
            <m:sty m:val="p"/>
          </m:rPr>
          <w:rPr>
            <w:rFonts w:ascii="Cambria Math" w:hAnsi="Cambria Math" w:eastAsia="宋体"/>
          </w:rPr>
          <m:t>[</m:t>
        </m:r>
        <m:r>
          <m:rPr/>
          <w:rPr>
            <w:rFonts w:ascii="Cambria Math" w:hAnsi="Cambria Math" w:eastAsia="宋体"/>
          </w:rPr>
          <m:t>0</m:t>
        </m:r>
        <m:r>
          <m:rPr>
            <m:sty m:val="p"/>
          </m:rPr>
          <w:rPr>
            <w:rFonts w:ascii="Cambria Math" w:hAnsi="Cambria Math" w:eastAsia="宋体"/>
          </w:rPr>
          <m:t>,</m:t>
        </m:r>
        <m:r>
          <m:rPr/>
          <w:rPr>
            <w:rFonts w:ascii="Cambria Math" w:hAnsi="Cambria Math" w:eastAsia="宋体"/>
          </w:rPr>
          <m:t>1</m:t>
        </m:r>
        <m:r>
          <m:rPr>
            <m:sty m:val="p"/>
          </m:rPr>
          <w:rPr>
            <w:rFonts w:ascii="Cambria Math" w:hAnsi="Cambria Math" w:eastAsia="宋体"/>
          </w:rPr>
          <m:t>]</m:t>
        </m:r>
      </m:oMath>
      <w:r>
        <w:rPr>
          <w:rFonts w:ascii="宋体" w:hAnsi="宋体" w:eastAsia="宋体"/>
        </w:rPr>
        <w:t xml:space="preserve"> </w:t>
      </w:r>
      <w:r>
        <w:rPr>
          <w:rFonts w:hint="eastAsia" w:ascii="宋体" w:hAnsi="宋体" w:eastAsia="宋体"/>
        </w:rPr>
        <w:t>范围内，保证融合的公平性，计算方式见式（3）：</w:t>
      </w:r>
    </w:p>
    <w:p w14:paraId="235086BC">
      <w:pPr>
        <w:pStyle w:val="3"/>
        <w:spacing w:line="360" w:lineRule="auto"/>
        <w:jc w:val="center"/>
        <w:rPr>
          <w:rFonts w:ascii="宋体" w:hAnsi="宋体" w:eastAsia="宋体"/>
        </w:rPr>
      </w:pPr>
      <m:oMath>
        <m:r>
          <m:rPr>
            <m:nor/>
            <m:sty m:val="p"/>
          </m:rPr>
          <w:rPr>
            <w:rFonts w:ascii="宋体" w:hAnsi="宋体" w:eastAsia="宋体"/>
            <w:b w:val="0"/>
            <w:i w:val="0"/>
          </w:rPr>
          <m:t>Normalize</m:t>
        </m:r>
        <m:r>
          <m:rPr>
            <m:sty m:val="p"/>
          </m:rPr>
          <w:rPr>
            <w:rFonts w:ascii="Cambria Math" w:hAnsi="Cambria Math" w:eastAsia="宋体"/>
          </w:rPr>
          <m:t>(</m:t>
        </m:r>
        <m:r>
          <m:rPr/>
          <w:rPr>
            <w:rFonts w:ascii="Cambria Math" w:hAnsi="Cambria Math" w:eastAsia="宋体"/>
          </w:rPr>
          <m:t>A</m:t>
        </m:r>
        <m:r>
          <m:rPr>
            <m:sty m:val="p"/>
          </m:rPr>
          <w:rPr>
            <w:rFonts w:ascii="Cambria Math" w:hAnsi="Cambria Math" w:eastAsia="宋体"/>
          </w:rPr>
          <m:t>)=</m:t>
        </m:r>
        <m:f>
          <m:fPr>
            <m:ctrlPr>
              <w:rPr>
                <w:rFonts w:ascii="Cambria Math" w:hAnsi="Cambria Math" w:eastAsia="宋体"/>
              </w:rPr>
            </m:ctrlPr>
          </m:fPr>
          <m:num>
            <m:r>
              <m:rPr/>
              <w:rPr>
                <w:rFonts w:ascii="Cambria Math" w:hAnsi="Cambria Math" w:eastAsia="宋体"/>
              </w:rPr>
              <m:t>A</m:t>
            </m:r>
            <m:r>
              <m:rPr>
                <m:sty m:val="p"/>
              </m:rPr>
              <w:rPr>
                <w:rFonts w:ascii="Cambria Math" w:hAnsi="Cambria Math" w:eastAsia="宋体"/>
              </w:rPr>
              <m:t>−min(</m:t>
            </m:r>
            <m:r>
              <m:rPr/>
              <w:rPr>
                <w:rFonts w:ascii="Cambria Math" w:hAnsi="Cambria Math" w:eastAsia="宋体"/>
              </w:rPr>
              <m:t>A</m:t>
            </m:r>
            <m:r>
              <m:rPr>
                <m:sty m:val="p"/>
              </m:rPr>
              <w:rPr>
                <w:rFonts w:ascii="Cambria Math" w:hAnsi="Cambria Math" w:eastAsia="宋体"/>
              </w:rPr>
              <m:t>)</m:t>
            </m:r>
            <m:ctrlPr>
              <w:rPr>
                <w:rFonts w:ascii="Cambria Math" w:hAnsi="Cambria Math" w:eastAsia="宋体"/>
              </w:rPr>
            </m:ctrlPr>
          </m:num>
          <m:den>
            <m:r>
              <m:rPr>
                <m:sty m:val="p"/>
              </m:rPr>
              <w:rPr>
                <w:rFonts w:ascii="Cambria Math" w:hAnsi="Cambria Math" w:eastAsia="宋体"/>
              </w:rPr>
              <m:t>max(</m:t>
            </m:r>
            <m:r>
              <m:rPr/>
              <w:rPr>
                <w:rFonts w:ascii="Cambria Math" w:hAnsi="Cambria Math" w:eastAsia="宋体"/>
              </w:rPr>
              <m:t>A</m:t>
            </m:r>
            <m:r>
              <m:rPr>
                <m:sty m:val="p"/>
              </m:rPr>
              <w:rPr>
                <w:rFonts w:ascii="Cambria Math" w:hAnsi="Cambria Math" w:eastAsia="宋体"/>
              </w:rPr>
              <m:t>)−min(</m:t>
            </m:r>
            <m:r>
              <m:rPr/>
              <w:rPr>
                <w:rFonts w:ascii="Cambria Math" w:hAnsi="Cambria Math" w:eastAsia="宋体"/>
              </w:rPr>
              <m:t>A</m:t>
            </m:r>
            <m:r>
              <m:rPr>
                <m:sty m:val="p"/>
              </m:rPr>
              <w:rPr>
                <w:rFonts w:ascii="Cambria Math" w:hAnsi="Cambria Math" w:eastAsia="宋体"/>
              </w:rPr>
              <m:t>)</m:t>
            </m:r>
            <m:ctrlPr>
              <w:rPr>
                <w:rFonts w:ascii="Cambria Math" w:hAnsi="Cambria Math" w:eastAsia="宋体"/>
              </w:rPr>
            </m:ctrlPr>
          </m:den>
        </m:f>
      </m:oMath>
      <w:r>
        <w:rPr>
          <w:rFonts w:hint="eastAsia" w:ascii="宋体" w:hAnsi="宋体" w:eastAsia="宋体"/>
        </w:rPr>
        <w:t xml:space="preserve"> </w:t>
      </w:r>
      <w:r>
        <w:rPr>
          <w:rFonts w:ascii="宋体" w:hAnsi="宋体" w:eastAsia="宋体"/>
        </w:rPr>
        <w:t>(3)</w:t>
      </w:r>
    </w:p>
    <w:p w14:paraId="634D9EC8">
      <w:pPr>
        <w:pStyle w:val="29"/>
        <w:spacing w:line="360" w:lineRule="auto"/>
        <w:ind w:firstLine="480" w:firstLineChars="200"/>
        <w:rPr>
          <w:rFonts w:ascii="宋体" w:hAnsi="宋体" w:eastAsia="宋体"/>
        </w:rPr>
      </w:pPr>
      <w:r>
        <w:rPr>
          <w:rFonts w:hint="eastAsia" w:ascii="宋体" w:hAnsi="宋体" w:eastAsia="宋体"/>
        </w:rPr>
        <w:t>然后将归一化后的分数进行加权求和，计算方式见式（4）：</w:t>
      </w:r>
    </w:p>
    <w:p w14:paraId="33D1393F">
      <w:pPr>
        <w:pStyle w:val="3"/>
        <w:spacing w:line="360" w:lineRule="auto"/>
        <w:jc w:val="center"/>
        <w:rPr>
          <w:rFonts w:ascii="宋体" w:hAnsi="宋体" w:eastAsia="宋体"/>
        </w:rPr>
      </w:pP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nor/>
                <m:sty m:val="p"/>
              </m:rPr>
              <w:rPr>
                <w:rFonts w:ascii="宋体" w:hAnsi="宋体" w:eastAsia="宋体"/>
                <w:b w:val="0"/>
                <w:i w:val="0"/>
              </w:rPr>
              <m:t>final</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r>
          <m:rPr/>
          <w:rPr>
            <w:rFonts w:ascii="Cambria Math" w:hAnsi="Cambria Math" w:eastAsia="宋体"/>
          </w:rPr>
          <m:t>α</m:t>
        </m:r>
        <m:r>
          <m:rPr>
            <m:sty m:val="p"/>
          </m:rPr>
          <w:rPr>
            <w:rFonts w:ascii="Cambria Math" w:hAnsi="Cambria Math" w:eastAsia="宋体"/>
          </w:rPr>
          <m:t>⋅</m:t>
        </m:r>
        <m:r>
          <m:rPr>
            <m:nor/>
            <m:sty m:val="p"/>
          </m:rPr>
          <w:rPr>
            <w:rFonts w:ascii="宋体" w:hAnsi="宋体" w:eastAsia="宋体"/>
            <w:b w:val="0"/>
            <w:i w:val="0"/>
          </w:rPr>
          <m:t>Normalize</m:t>
        </m:r>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r>
          <m:rPr/>
          <w:rPr>
            <w:rFonts w:ascii="Cambria Math" w:hAnsi="Cambria Math" w:eastAsia="宋体"/>
          </w:rPr>
          <m:t>1</m:t>
        </m:r>
        <m:r>
          <m:rPr>
            <m:sty m:val="p"/>
          </m:rPr>
          <w:rPr>
            <w:rFonts w:ascii="Cambria Math" w:hAnsi="Cambria Math" w:eastAsia="宋体"/>
          </w:rPr>
          <m:t>−</m:t>
        </m:r>
        <m:r>
          <m:rPr/>
          <w:rPr>
            <w:rFonts w:ascii="Cambria Math" w:hAnsi="Cambria Math" w:eastAsia="宋体"/>
          </w:rPr>
          <m:t>α</m:t>
        </m:r>
        <m:r>
          <m:rPr>
            <m:sty m:val="p"/>
          </m:rPr>
          <w:rPr>
            <w:rFonts w:ascii="Cambria Math" w:hAnsi="Cambria Math" w:eastAsia="宋体"/>
          </w:rPr>
          <m:t>)⋅</m:t>
        </m:r>
        <m:r>
          <m:rPr>
            <m:nor/>
            <m:sty m:val="p"/>
          </m:rPr>
          <w:rPr>
            <w:rFonts w:ascii="宋体" w:hAnsi="宋体" w:eastAsia="宋体"/>
            <w:b w:val="0"/>
            <w:i w:val="0"/>
          </w:rPr>
          <m:t>Normalize</m:t>
        </m:r>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W</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oMath>
      <w:r>
        <w:rPr>
          <w:rFonts w:hint="eastAsia" w:ascii="宋体" w:hAnsi="宋体" w:eastAsia="宋体"/>
        </w:rPr>
        <w:t xml:space="preserve"> </w:t>
      </w:r>
      <w:r>
        <w:rPr>
          <w:rFonts w:ascii="宋体" w:hAnsi="宋体" w:eastAsia="宋体"/>
        </w:rPr>
        <w:t>(4)</w:t>
      </w:r>
    </w:p>
    <w:p w14:paraId="7C8DF083">
      <w:pPr>
        <w:pStyle w:val="29"/>
        <w:spacing w:line="360" w:lineRule="auto"/>
        <w:rPr>
          <w:rFonts w:ascii="宋体" w:hAnsi="宋体" w:eastAsia="宋体"/>
        </w:rPr>
      </w:pPr>
      <w:r>
        <w:rPr>
          <w:rFonts w:hint="eastAsia" w:ascii="宋体" w:hAnsi="宋体" w:eastAsia="宋体"/>
        </w:rPr>
        <w:t>其中</w:t>
      </w:r>
      <w:r>
        <w:rPr>
          <w:rFonts w:hint="eastAsia" w:ascii="宋体" w:hAnsi="宋体" w:eastAsia="宋体"/>
          <w:lang w:eastAsia="zh-CN"/>
        </w:rPr>
        <w:t>：</w:t>
      </w:r>
      <m:oMath>
        <m:r>
          <m:rPr/>
          <w:rPr>
            <w:rFonts w:ascii="Cambria Math" w:hAnsi="Cambria Math" w:eastAsia="宋体"/>
          </w:rPr>
          <m:t>α</m:t>
        </m:r>
        <m:r>
          <m:rPr>
            <m:sty m:val="p"/>
          </m:rPr>
          <w:rPr>
            <w:rFonts w:ascii="Cambria Math" w:hAnsi="Cambria Math" w:eastAsia="宋体"/>
          </w:rPr>
          <m:t>∈[</m:t>
        </m:r>
        <m:r>
          <m:rPr/>
          <w:rPr>
            <w:rFonts w:ascii="Cambria Math" w:hAnsi="Cambria Math" w:eastAsia="宋体"/>
          </w:rPr>
          <m:t>0</m:t>
        </m:r>
        <m:r>
          <m:rPr>
            <m:sty m:val="p"/>
          </m:rPr>
          <w:rPr>
            <w:rFonts w:ascii="Cambria Math" w:hAnsi="Cambria Math" w:eastAsia="宋体"/>
          </w:rPr>
          <m:t>,</m:t>
        </m:r>
        <m:r>
          <m:rPr/>
          <w:rPr>
            <w:rFonts w:ascii="Cambria Math" w:hAnsi="Cambria Math" w:eastAsia="宋体"/>
          </w:rPr>
          <m:t>1</m:t>
        </m:r>
        <m:r>
          <m:rPr>
            <m:sty m:val="p"/>
          </m:rPr>
          <w:rPr>
            <w:rFonts w:ascii="Cambria Math" w:hAnsi="Cambria Math" w:eastAsia="宋体"/>
          </w:rPr>
          <m:t>]</m:t>
        </m:r>
      </m:oMath>
      <w:r>
        <w:rPr>
          <w:rFonts w:ascii="宋体" w:hAnsi="宋体" w:eastAsia="宋体"/>
        </w:rPr>
        <w:t xml:space="preserve"> </w:t>
      </w:r>
      <w:r>
        <w:rPr>
          <w:rFonts w:hint="eastAsia" w:ascii="宋体" w:hAnsi="宋体" w:eastAsia="宋体"/>
        </w:rPr>
        <w:t>是权重超参数。较高的</w:t>
      </w:r>
      <w:r>
        <w:rPr>
          <w:rFonts w:ascii="宋体" w:hAnsi="宋体" w:eastAsia="宋体"/>
        </w:rPr>
        <w:t xml:space="preserve"> </w:t>
      </w:r>
      <m:oMath>
        <m:r>
          <m:rPr/>
          <w:rPr>
            <w:rFonts w:ascii="Cambria Math" w:hAnsi="Cambria Math" w:eastAsia="宋体"/>
          </w:rPr>
          <m:t>α</m:t>
        </m:r>
      </m:oMath>
      <w:r>
        <w:rPr>
          <w:rFonts w:ascii="宋体" w:hAnsi="宋体" w:eastAsia="宋体"/>
        </w:rPr>
        <w:t xml:space="preserve"> </w:t>
      </w:r>
      <w:r>
        <w:rPr>
          <w:rFonts w:hint="eastAsia" w:ascii="宋体" w:hAnsi="宋体" w:eastAsia="宋体"/>
        </w:rPr>
        <w:t>值侧重于全局点异常检测（KNN），较低的值则侧重于时序上下文异常检测（GRU-AE）。</w:t>
      </w:r>
    </w:p>
    <w:p w14:paraId="6C50CE7E">
      <w:pPr>
        <w:pStyle w:val="3"/>
        <w:spacing w:line="360" w:lineRule="auto"/>
        <w:ind w:firstLine="480" w:firstLineChars="200"/>
        <w:rPr>
          <w:rFonts w:ascii="宋体" w:hAnsi="宋体" w:eastAsia="宋体"/>
        </w:rPr>
      </w:pPr>
      <w:r>
        <w:rPr>
          <w:rFonts w:hint="eastAsia" w:ascii="宋体" w:hAnsi="宋体" w:eastAsia="宋体"/>
        </w:rPr>
        <w:t>最终的异常决策</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m:nor/>
                <m:sty m:val="p"/>
              </m:rPr>
              <w:rPr>
                <w:rFonts w:ascii="宋体" w:hAnsi="宋体" w:eastAsia="宋体"/>
                <w:b w:val="0"/>
                <w:i w:val="0"/>
              </w:rPr>
              <m:t>final</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是通过将融合分数</w:t>
      </w:r>
      <w:r>
        <w:rPr>
          <w:rFonts w:ascii="宋体" w:hAnsi="宋体" w:eastAsia="宋体"/>
        </w:rPr>
        <w:t xml:space="preserve"> </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nor/>
                <m:sty m:val="p"/>
              </m:rPr>
              <w:rPr>
                <w:rFonts w:ascii="宋体" w:hAnsi="宋体" w:eastAsia="宋体"/>
                <w:b w:val="0"/>
                <w:i w:val="0"/>
              </w:rPr>
              <m:t>final</m:t>
            </m:r>
            <m:ctrlPr>
              <w:rPr>
                <w:rFonts w:ascii="Cambria Math" w:hAnsi="Cambria Math" w:eastAsia="宋体"/>
              </w:rPr>
            </m:ctrlPr>
          </m:sub>
        </m:sSub>
      </m:oMath>
      <w:r>
        <w:rPr>
          <w:rFonts w:ascii="宋体" w:hAnsi="宋体" w:eastAsia="宋体"/>
        </w:rPr>
        <w:t xml:space="preserve"> </w:t>
      </w:r>
      <w:r>
        <w:rPr>
          <w:rFonts w:hint="eastAsia" w:ascii="宋体" w:hAnsi="宋体" w:eastAsia="宋体"/>
        </w:rPr>
        <w:t>与动态阈值</w:t>
      </w:r>
      <w:r>
        <w:rPr>
          <w:rFonts w:ascii="宋体" w:hAnsi="宋体" w:eastAsia="宋体"/>
        </w:rPr>
        <w:t xml:space="preserve"> </w:t>
      </w:r>
      <m:oMath>
        <m:r>
          <m:rPr/>
          <w:rPr>
            <w:rFonts w:ascii="Cambria Math" w:hAnsi="Cambria Math" w:eastAsia="宋体"/>
          </w:rPr>
          <m:t>ϕ</m:t>
        </m:r>
      </m:oMath>
      <w:r>
        <w:rPr>
          <w:rFonts w:ascii="宋体" w:hAnsi="宋体" w:eastAsia="宋体"/>
        </w:rPr>
        <w:t xml:space="preserve"> </w:t>
      </w:r>
      <w:r>
        <w:rPr>
          <w:rFonts w:hint="eastAsia" w:ascii="宋体" w:hAnsi="宋体" w:eastAsia="宋体"/>
        </w:rPr>
        <w:t>进行比较来确定的，计算方式见式（</w:t>
      </w:r>
      <w:r>
        <w:rPr>
          <w:rFonts w:ascii="宋体" w:hAnsi="宋体" w:eastAsia="宋体"/>
        </w:rPr>
        <w:t>5</w:t>
      </w:r>
      <w:r>
        <w:rPr>
          <w:rFonts w:hint="eastAsia" w:ascii="宋体" w:hAnsi="宋体" w:eastAsia="宋体"/>
        </w:rPr>
        <w:t>）：</w:t>
      </w:r>
    </w:p>
    <w:p w14:paraId="730EB02E">
      <w:pPr>
        <w:pStyle w:val="3"/>
        <w:spacing w:line="360" w:lineRule="auto"/>
        <w:jc w:val="center"/>
        <w:rPr>
          <w:rFonts w:ascii="宋体" w:hAnsi="宋体" w:eastAsia="宋体"/>
        </w:rPr>
      </w:pP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m:nor/>
                <m:sty m:val="p"/>
              </m:rPr>
              <w:rPr>
                <w:rFonts w:ascii="宋体" w:hAnsi="宋体" w:eastAsia="宋体"/>
                <w:b w:val="0"/>
                <w:i w:val="0"/>
              </w:rPr>
              <m:t>final</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d>
          <m:dPr>
            <m:begChr m:val="{"/>
            <m:endChr m:val=""/>
            <m:ctrlPr>
              <w:rPr>
                <w:rFonts w:ascii="Cambria Math" w:hAnsi="Cambria Math" w:eastAsia="宋体"/>
              </w:rPr>
            </m:ctrlPr>
          </m:dPr>
          <m:e>
            <m:m>
              <m:mPr>
                <m:mcs>
                  <m:mc>
                    <m:mcPr>
                      <m:count m:val="2"/>
                      <m:mcJc m:val="left"/>
                    </m:mcPr>
                  </m:mc>
                </m:mcs>
                <m:plcHide m:val="1"/>
                <m:ctrlPr>
                  <w:rPr>
                    <w:rFonts w:ascii="Cambria Math" w:hAnsi="Cambria Math" w:eastAsia="宋体"/>
                  </w:rPr>
                </m:ctrlPr>
              </m:mPr>
              <m:mr>
                <m:e>
                  <m:r>
                    <m:rPr/>
                    <w:rPr>
                      <w:rFonts w:ascii="Cambria Math" w:hAnsi="Cambria Math" w:eastAsia="宋体"/>
                    </w:rPr>
                    <m:t>1</m:t>
                  </m:r>
                  <m:ctrlPr>
                    <w:rPr>
                      <w:rFonts w:ascii="Cambria Math" w:hAnsi="Cambria Math" w:eastAsia="宋体"/>
                    </w:rPr>
                  </m:ctrlPr>
                </m:e>
                <m:e>
                  <m:r>
                    <m:rPr>
                      <m:nor/>
                      <m:sty m:val="p"/>
                    </m:rPr>
                    <w:rPr>
                      <w:rFonts w:ascii="宋体" w:hAnsi="宋体" w:eastAsia="宋体"/>
                      <w:b w:val="0"/>
                      <w:i w:val="0"/>
                    </w:rPr>
                    <m:t xml:space="preserve">if </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nor/>
                          <m:sty m:val="p"/>
                        </m:rPr>
                        <w:rPr>
                          <w:rFonts w:ascii="宋体" w:hAnsi="宋体" w:eastAsia="宋体"/>
                          <w:b w:val="0"/>
                          <w:i w:val="0"/>
                        </w:rPr>
                        <m:t>final</m:t>
                      </m:r>
                      <m:ctrlPr>
                        <w:rPr>
                          <w:rFonts w:ascii="Cambria Math" w:hAnsi="Cambria Math" w:eastAsia="宋体"/>
                        </w:rPr>
                      </m:ctrlPr>
                    </m:sub>
                  </m:sSub>
                  <m:r>
                    <m:rPr>
                      <m:sty m:val="p"/>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m:t>
                  </m:r>
                  <m:r>
                    <m:rPr/>
                    <w:rPr>
                      <w:rFonts w:ascii="Cambria Math" w:hAnsi="Cambria Math" w:eastAsia="宋体"/>
                    </w:rPr>
                    <m:t>ϕ</m:t>
                  </m:r>
                  <m:ctrlPr>
                    <w:rPr>
                      <w:rFonts w:ascii="Cambria Math" w:hAnsi="Cambria Math" w:eastAsia="宋体"/>
                    </w:rPr>
                  </m:ctrlPr>
                </m:e>
              </m:mr>
              <m:mr>
                <m:e>
                  <m:r>
                    <m:rPr/>
                    <w:rPr>
                      <w:rFonts w:ascii="Cambria Math" w:hAnsi="Cambria Math" w:eastAsia="宋体"/>
                    </w:rPr>
                    <m:t>0</m:t>
                  </m:r>
                  <m:ctrlPr>
                    <w:rPr>
                      <w:rFonts w:ascii="Cambria Math" w:hAnsi="Cambria Math" w:eastAsia="宋体"/>
                    </w:rPr>
                  </m:ctrlPr>
                </m:e>
                <m:e>
                  <m:r>
                    <m:rPr>
                      <m:nor/>
                      <m:sty m:val="p"/>
                    </m:rPr>
                    <w:rPr>
                      <w:rFonts w:ascii="宋体" w:hAnsi="宋体" w:eastAsia="宋体"/>
                      <w:b w:val="0"/>
                      <w:i w:val="0"/>
                    </w:rPr>
                    <m:t>otherwise</m:t>
                  </m:r>
                  <m:ctrlPr>
                    <w:rPr>
                      <w:rFonts w:ascii="Cambria Math" w:hAnsi="Cambria Math" w:eastAsia="宋体"/>
                    </w:rPr>
                  </m:ctrlPr>
                </m:e>
              </m:mr>
            </m:m>
            <m:ctrlPr>
              <w:rPr>
                <w:rFonts w:ascii="Cambria Math" w:hAnsi="Cambria Math" w:eastAsia="宋体"/>
              </w:rPr>
            </m:ctrlPr>
          </m:e>
        </m:d>
      </m:oMath>
      <w:r>
        <w:rPr>
          <w:rFonts w:hint="eastAsia" w:ascii="宋体" w:hAnsi="宋体" w:eastAsia="宋体"/>
        </w:rPr>
        <w:t xml:space="preserve"> </w:t>
      </w:r>
      <w:r>
        <w:rPr>
          <w:rFonts w:ascii="宋体" w:hAnsi="宋体" w:eastAsia="宋体"/>
        </w:rPr>
        <w:t>(5)</w:t>
      </w:r>
    </w:p>
    <w:p w14:paraId="1589D105">
      <w:pPr>
        <w:pStyle w:val="3"/>
        <w:spacing w:line="360" w:lineRule="auto"/>
        <w:rPr>
          <w:rFonts w:ascii="宋体" w:hAnsi="宋体" w:eastAsia="宋体"/>
        </w:rPr>
      </w:pPr>
      <w:r>
        <w:rPr>
          <w:rFonts w:hint="eastAsia" w:ascii="宋体" w:hAnsi="宋体" w:eastAsia="宋体"/>
        </w:rPr>
        <w:t>阈值</w:t>
      </w:r>
      <w:r>
        <w:rPr>
          <w:rFonts w:ascii="宋体" w:hAnsi="宋体" w:eastAsia="宋体"/>
        </w:rPr>
        <w:t xml:space="preserve"> </w:t>
      </w:r>
      <m:oMath>
        <m:r>
          <m:rPr/>
          <w:rPr>
            <w:rFonts w:ascii="Cambria Math" w:hAnsi="Cambria Math" w:eastAsia="宋体"/>
          </w:rPr>
          <m:t>ϕ</m:t>
        </m:r>
      </m:oMath>
      <w:r>
        <w:rPr>
          <w:rFonts w:ascii="宋体" w:hAnsi="宋体" w:eastAsia="宋体"/>
        </w:rPr>
        <w:t xml:space="preserve"> </w:t>
      </w:r>
      <w:r>
        <w:rPr>
          <w:rFonts w:hint="eastAsia" w:ascii="宋体" w:hAnsi="宋体" w:eastAsia="宋体"/>
        </w:rPr>
        <w:t>可以根据训练集上的异常分布（例如，使用</w:t>
      </w:r>
      <w:r>
        <w:rPr>
          <w:rFonts w:ascii="宋体" w:hAnsi="宋体" w:eastAsia="宋体"/>
        </w:rPr>
        <w:t xml:space="preserve"> </w:t>
      </w:r>
      <m:oMath>
        <m:r>
          <m:rPr/>
          <w:rPr>
            <w:rFonts w:ascii="Cambria Math" w:hAnsi="Cambria Math" w:eastAsia="宋体"/>
          </w:rPr>
          <m:t>3σ</m:t>
        </m:r>
      </m:oMath>
      <w:r>
        <w:rPr>
          <w:rFonts w:ascii="宋体" w:hAnsi="宋体" w:eastAsia="宋体"/>
        </w:rPr>
        <w:t xml:space="preserve"> </w:t>
      </w:r>
      <w:r>
        <w:rPr>
          <w:rFonts w:hint="eastAsia" w:ascii="宋体" w:hAnsi="宋体" w:eastAsia="宋体"/>
        </w:rPr>
        <w:t>原则或基于污染率</w:t>
      </w:r>
      <w:r>
        <w:rPr>
          <w:rFonts w:ascii="宋体" w:hAnsi="宋体" w:eastAsia="宋体"/>
        </w:rPr>
        <w:t xml:space="preserve"> </w:t>
      </w:r>
      <m:oMath>
        <m:r>
          <m:rPr/>
          <w:rPr>
            <w:rFonts w:ascii="Cambria Math" w:hAnsi="Cambria Math" w:eastAsia="宋体"/>
          </w:rPr>
          <m:t>r</m:t>
        </m:r>
      </m:oMath>
      <w:r>
        <w:rPr>
          <w:rFonts w:ascii="宋体" w:hAnsi="宋体" w:eastAsia="宋体"/>
        </w:rPr>
        <w:t xml:space="preserve"> </w:t>
      </w:r>
      <w:r>
        <w:rPr>
          <w:rFonts w:hint="eastAsia" w:ascii="宋体" w:hAnsi="宋体" w:eastAsia="宋体"/>
        </w:rPr>
        <w:t>的百分位数）来自动确定。</w:t>
      </w:r>
      <w:bookmarkEnd w:id="25"/>
      <w:bookmarkStart w:id="26" w:name="实现框架总结"/>
    </w:p>
    <w:p w14:paraId="2C909679">
      <w:pPr>
        <w:pStyle w:val="3"/>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rPr>
      </w:pPr>
      <w:r>
        <w:rPr>
          <w:rFonts w:hint="eastAsia" w:ascii="宋体" w:hAnsi="宋体" w:eastAsia="宋体"/>
        </w:rPr>
        <w:t>这个集成策略将KNN这种经典机器学习方法（速度较快，适用于初筛）与基于</w:t>
      </w:r>
      <w:r>
        <w:rPr>
          <w:rFonts w:ascii="宋体" w:hAnsi="宋体" w:eastAsia="宋体"/>
        </w:rPr>
        <w:t xml:space="preserve"> GRU </w:t>
      </w:r>
      <w:r>
        <w:rPr>
          <w:rFonts w:hint="eastAsia" w:ascii="宋体" w:hAnsi="宋体" w:eastAsia="宋体"/>
        </w:rPr>
        <w:t>的深度学习模型（擅长建模时序复杂性）相结合，有效应对金融运营数据中存在的多种异常类型，在当前时间序列异常检测研究中被广泛认可</w:t>
      </w:r>
      <w:commentRangeStart w:id="16"/>
      <w:r>
        <w:rPr>
          <w:rFonts w:ascii="宋体" w:hAnsi="宋体" w:eastAsia="宋体"/>
          <w:vertAlign w:val="superscript"/>
        </w:rPr>
        <w:t>[7][8]</w:t>
      </w:r>
      <w:commentRangeEnd w:id="16"/>
      <w:r>
        <w:commentReference w:id="16"/>
      </w:r>
      <w:r>
        <w:rPr>
          <w:rFonts w:hint="eastAsia" w:ascii="宋体" w:hAnsi="宋体" w:eastAsia="宋体"/>
        </w:rPr>
        <w:t>，能够提供比单一算法更加有效的性能。</w:t>
      </w:r>
    </w:p>
    <w:bookmarkEnd w:id="22"/>
    <w:bookmarkEnd w:id="26"/>
    <w:p w14:paraId="0788D829">
      <w:pPr>
        <w:pStyle w:val="3"/>
        <w:spacing w:line="360" w:lineRule="auto"/>
        <w:rPr>
          <w:rFonts w:ascii="宋体" w:hAnsi="宋体" w:eastAsia="宋体"/>
          <w:b/>
          <w:sz w:val="28"/>
          <w:szCs w:val="28"/>
        </w:rPr>
      </w:pPr>
      <w:bookmarkStart w:id="27" w:name="算法分析总结"/>
      <w:r>
        <w:rPr>
          <w:rFonts w:ascii="宋体" w:hAnsi="宋体" w:eastAsia="宋体"/>
          <w:b/>
          <w:sz w:val="28"/>
          <w:szCs w:val="28"/>
        </w:rPr>
        <w:t xml:space="preserve">4.3 </w:t>
      </w:r>
      <w:r>
        <w:rPr>
          <w:rFonts w:hint="eastAsia" w:ascii="宋体" w:hAnsi="宋体" w:eastAsia="宋体"/>
          <w:b/>
          <w:sz w:val="28"/>
          <w:szCs w:val="28"/>
        </w:rPr>
        <w:t>算法分析</w:t>
      </w:r>
    </w:p>
    <w:p w14:paraId="5765D8C0">
      <w:pPr>
        <w:pStyle w:val="29"/>
        <w:spacing w:line="360" w:lineRule="auto"/>
        <w:ind w:firstLine="480" w:firstLineChars="200"/>
        <w:rPr>
          <w:rFonts w:ascii="宋体" w:hAnsi="宋体" w:eastAsia="宋体"/>
        </w:rPr>
      </w:pPr>
      <w:r>
        <w:rPr>
          <w:rFonts w:hint="eastAsia" w:ascii="宋体" w:hAnsi="宋体" w:eastAsia="宋体"/>
        </w:rPr>
        <w:t>我们在公开数据集上验证了</w:t>
      </w:r>
      <w:bookmarkStart w:id="28" w:name="OLE_LINK44"/>
      <w:bookmarkStart w:id="29" w:name="OLE_LINK43"/>
      <w:r>
        <w:rPr>
          <w:rFonts w:ascii="宋体" w:hAnsi="宋体" w:eastAsia="宋体"/>
        </w:rPr>
        <w:t xml:space="preserve">IForest+CNN-LSTM </w:t>
      </w:r>
      <w:r>
        <w:rPr>
          <w:rFonts w:hint="eastAsia" w:ascii="宋体" w:hAnsi="宋体" w:eastAsia="宋体"/>
        </w:rPr>
        <w:t>和</w:t>
      </w:r>
      <w:r>
        <w:rPr>
          <w:rFonts w:ascii="宋体" w:hAnsi="宋体" w:eastAsia="宋体"/>
        </w:rPr>
        <w:t xml:space="preserve"> KNN+GRU</w:t>
      </w:r>
      <w:r>
        <w:rPr>
          <w:rFonts w:hint="eastAsia" w:ascii="宋体" w:hAnsi="宋体" w:eastAsia="宋体"/>
        </w:rPr>
        <w:t>这两组组合策略</w:t>
      </w:r>
      <w:bookmarkEnd w:id="28"/>
      <w:bookmarkEnd w:id="29"/>
      <w:r>
        <w:rPr>
          <w:rFonts w:hint="eastAsia" w:ascii="宋体" w:hAnsi="宋体" w:eastAsia="宋体"/>
        </w:rPr>
        <w:t>的有效性。实验数据包含</w:t>
      </w:r>
      <w:r>
        <w:rPr>
          <w:rFonts w:ascii="宋体" w:hAnsi="宋体" w:eastAsia="宋体"/>
        </w:rPr>
        <w:t xml:space="preserve">15 </w:t>
      </w:r>
      <w:r>
        <w:rPr>
          <w:rFonts w:hint="eastAsia" w:ascii="宋体" w:hAnsi="宋体" w:eastAsia="宋体"/>
        </w:rPr>
        <w:t>维特征、</w:t>
      </w:r>
      <w:r>
        <w:rPr>
          <w:rFonts w:ascii="宋体" w:hAnsi="宋体" w:eastAsia="宋体"/>
        </w:rPr>
        <w:t xml:space="preserve"> 4981 </w:t>
      </w:r>
      <w:r>
        <w:rPr>
          <w:rFonts w:hint="eastAsia" w:ascii="宋体" w:hAnsi="宋体" w:eastAsia="宋体"/>
        </w:rPr>
        <w:t>个样本点，其中</w:t>
      </w:r>
      <w:r>
        <w:rPr>
          <w:rFonts w:ascii="宋体" w:hAnsi="宋体" w:eastAsia="宋体"/>
        </w:rPr>
        <w:t xml:space="preserve"> 73 </w:t>
      </w:r>
      <w:r>
        <w:rPr>
          <w:rFonts w:hint="eastAsia" w:ascii="宋体" w:hAnsi="宋体" w:eastAsia="宋体"/>
        </w:rPr>
        <w:t>个异常点，占比约</w:t>
      </w:r>
      <w:r>
        <w:rPr>
          <w:rFonts w:ascii="宋体" w:hAnsi="宋体" w:eastAsia="宋体"/>
        </w:rPr>
        <w:t xml:space="preserve"> 1.5%</w:t>
      </w:r>
      <w:r>
        <w:rPr>
          <w:rFonts w:hint="eastAsia" w:ascii="宋体" w:hAnsi="宋体" w:eastAsia="宋体"/>
        </w:rPr>
        <w:t>。滑动窗口设置为</w:t>
      </w:r>
      <w:r>
        <w:rPr>
          <w:rFonts w:ascii="宋体" w:hAnsi="宋体" w:eastAsia="宋体"/>
        </w:rPr>
        <w:t xml:space="preserve"> 20</w:t>
      </w:r>
      <w:r>
        <w:rPr>
          <w:rFonts w:hint="eastAsia" w:ascii="宋体" w:hAnsi="宋体" w:eastAsia="宋体"/>
        </w:rPr>
        <w:t>，权重参数</w:t>
      </w:r>
      <w:r>
        <w:rPr>
          <w:rFonts w:ascii="宋体" w:hAnsi="宋体" w:eastAsia="宋体"/>
        </w:rPr>
        <w:t xml:space="preserve"> Alpha=Beta=0.5</w:t>
      </w:r>
      <w:r>
        <w:rPr>
          <w:rFonts w:hint="eastAsia" w:ascii="宋体" w:hAnsi="宋体" w:eastAsia="宋体"/>
        </w:rPr>
        <w:t>。</w:t>
      </w:r>
      <w:r>
        <w:rPr>
          <w:rFonts w:ascii="宋体" w:hAnsi="宋体" w:eastAsia="宋体"/>
        </w:rPr>
        <w:commentReference w:id="17"/>
      </w:r>
    </w:p>
    <w:p w14:paraId="793929DE">
      <w:pPr>
        <w:spacing w:line="360" w:lineRule="auto"/>
        <w:jc w:val="center"/>
        <w:rPr>
          <w:rFonts w:ascii="宋体" w:hAnsi="宋体" w:eastAsia="宋体"/>
          <w:b/>
        </w:rPr>
      </w:pPr>
      <w:r>
        <w:rPr>
          <w:rFonts w:hint="eastAsia" w:ascii="宋体" w:hAnsi="宋体" w:eastAsia="宋体"/>
          <w:b/>
        </w:rPr>
        <w:t>表2    组合策略训练时间与模型性能比较</w:t>
      </w:r>
    </w:p>
    <w:p w14:paraId="51D87AE7">
      <w:pPr>
        <w:spacing w:line="360" w:lineRule="auto"/>
        <w:jc w:val="center"/>
        <w:rPr>
          <w:rFonts w:ascii="宋体" w:hAnsi="宋体" w:eastAsia="宋体"/>
        </w:rPr>
      </w:pPr>
      <w:r>
        <w:rPr>
          <w:rFonts w:hint="eastAsia" w:ascii="宋体" w:hAnsi="宋体" w:eastAsia="宋体"/>
          <w:b/>
        </w:rPr>
        <w:t xml:space="preserve">Tab.2   </w:t>
      </w:r>
      <w:r>
        <w:rPr>
          <w:rFonts w:ascii="宋体" w:hAnsi="宋体" w:eastAsia="宋体" w:cs="宋体"/>
          <w:b/>
          <w:lang w:bidi="ar"/>
        </w:rPr>
        <w:t>Comparison of Training Time and Model Performance for Hybrid Strategies</w:t>
      </w:r>
    </w:p>
    <w:tbl>
      <w:tblPr>
        <w:tblStyle w:val="22"/>
        <w:tblW w:w="0" w:type="auto"/>
        <w:tblInd w:w="160" w:type="dxa"/>
        <w:tblLayout w:type="autofit"/>
        <w:tblCellMar>
          <w:top w:w="105" w:type="dxa"/>
          <w:left w:w="105" w:type="dxa"/>
          <w:bottom w:w="105" w:type="dxa"/>
          <w:right w:w="105" w:type="dxa"/>
        </w:tblCellMar>
      </w:tblPr>
      <w:tblGrid>
        <w:gridCol w:w="1398"/>
        <w:gridCol w:w="1991"/>
        <w:gridCol w:w="2323"/>
        <w:gridCol w:w="1323"/>
        <w:gridCol w:w="1655"/>
      </w:tblGrid>
      <w:tr w14:paraId="0559D993">
        <w:tblPrEx>
          <w:tblCellMar>
            <w:top w:w="105" w:type="dxa"/>
            <w:left w:w="105" w:type="dxa"/>
            <w:bottom w:w="105" w:type="dxa"/>
            <w:right w:w="105" w:type="dxa"/>
          </w:tblCellMar>
        </w:tblPrEx>
        <w:trPr>
          <w:tblHeader/>
        </w:trPr>
        <w:tc>
          <w:tcPr>
            <w:tcW w:w="0" w:type="auto"/>
            <w:tcBorders>
              <w:top w:val="single" w:color="auto" w:sz="4" w:space="0"/>
              <w:left w:val="nil"/>
              <w:bottom w:val="single" w:color="auto" w:sz="4" w:space="0"/>
              <w:right w:val="nil"/>
            </w:tcBorders>
            <w:shd w:val="clear" w:color="auto" w:fill="auto"/>
            <w:noWrap/>
            <w:tcMar>
              <w:top w:w="105" w:type="dxa"/>
              <w:left w:w="105" w:type="dxa"/>
              <w:bottom w:w="105" w:type="dxa"/>
              <w:right w:w="105" w:type="dxa"/>
            </w:tcMar>
            <w:vAlign w:val="center"/>
          </w:tcPr>
          <w:p w14:paraId="78EFDAC3">
            <w:pPr>
              <w:spacing w:line="360" w:lineRule="auto"/>
              <w:jc w:val="center"/>
              <w:textAlignment w:val="center"/>
              <w:rPr>
                <w:rFonts w:ascii="宋体" w:hAnsi="宋体" w:eastAsia="宋体"/>
                <w:b/>
                <w:bCs/>
              </w:rPr>
            </w:pPr>
            <w:r>
              <w:rPr>
                <w:rFonts w:ascii="宋体" w:hAnsi="宋体" w:eastAsia="宋体" w:cs="宋体"/>
                <w:b/>
                <w:bCs/>
                <w:lang w:bidi="ar"/>
              </w:rPr>
              <w:t>Feature / Metric</w:t>
            </w:r>
          </w:p>
        </w:tc>
        <w:tc>
          <w:tcPr>
            <w:tcW w:w="0" w:type="auto"/>
            <w:tcBorders>
              <w:top w:val="single" w:color="auto" w:sz="4" w:space="0"/>
              <w:left w:val="nil"/>
              <w:bottom w:val="single" w:color="auto" w:sz="4" w:space="0"/>
              <w:right w:val="nil"/>
            </w:tcBorders>
            <w:shd w:val="clear" w:color="auto" w:fill="auto"/>
            <w:noWrap/>
            <w:tcMar>
              <w:top w:w="105" w:type="dxa"/>
              <w:left w:w="105" w:type="dxa"/>
              <w:bottom w:w="105" w:type="dxa"/>
              <w:right w:w="105" w:type="dxa"/>
            </w:tcMar>
            <w:vAlign w:val="center"/>
          </w:tcPr>
          <w:p w14:paraId="24A86BCB">
            <w:pPr>
              <w:spacing w:line="360" w:lineRule="auto"/>
              <w:jc w:val="center"/>
              <w:textAlignment w:val="center"/>
              <w:rPr>
                <w:rFonts w:ascii="宋体" w:hAnsi="宋体" w:eastAsia="宋体"/>
                <w:b/>
                <w:bCs/>
              </w:rPr>
            </w:pPr>
            <w:r>
              <w:rPr>
                <w:rFonts w:ascii="宋体" w:hAnsi="宋体" w:eastAsia="宋体" w:cs="宋体"/>
                <w:b/>
                <w:bCs/>
                <w:lang w:bidi="ar"/>
              </w:rPr>
              <w:t>IForest + CNN-LSTM (CPU)</w:t>
            </w:r>
          </w:p>
        </w:tc>
        <w:tc>
          <w:tcPr>
            <w:tcW w:w="0" w:type="auto"/>
            <w:tcBorders>
              <w:top w:val="single" w:color="auto" w:sz="4" w:space="0"/>
              <w:left w:val="nil"/>
              <w:bottom w:val="single" w:color="auto" w:sz="4" w:space="0"/>
              <w:right w:val="nil"/>
            </w:tcBorders>
            <w:shd w:val="clear" w:color="auto" w:fill="auto"/>
            <w:noWrap/>
            <w:tcMar>
              <w:top w:w="105" w:type="dxa"/>
              <w:left w:w="105" w:type="dxa"/>
              <w:bottom w:w="105" w:type="dxa"/>
              <w:right w:w="105" w:type="dxa"/>
            </w:tcMar>
            <w:vAlign w:val="center"/>
          </w:tcPr>
          <w:p w14:paraId="6C3C1572">
            <w:pPr>
              <w:spacing w:line="360" w:lineRule="auto"/>
              <w:jc w:val="center"/>
              <w:textAlignment w:val="center"/>
              <w:rPr>
                <w:rFonts w:ascii="宋体" w:hAnsi="宋体" w:eastAsia="宋体"/>
                <w:b/>
                <w:bCs/>
              </w:rPr>
            </w:pPr>
            <w:r>
              <w:rPr>
                <w:rFonts w:ascii="宋体" w:hAnsi="宋体" w:eastAsia="宋体" w:cs="宋体"/>
                <w:b/>
                <w:bCs/>
                <w:lang w:bidi="ar"/>
              </w:rPr>
              <w:t>IForest + CNN-LSTM (</w:t>
            </w:r>
            <w:r>
              <w:rPr>
                <w:rFonts w:hint="eastAsia" w:ascii="宋体" w:hAnsi="宋体" w:eastAsia="宋体" w:cs="宋体"/>
                <w:b/>
                <w:bCs/>
                <w:lang w:bidi="ar"/>
              </w:rPr>
              <w:t>GPU加速</w:t>
            </w:r>
            <w:r>
              <w:rPr>
                <w:rFonts w:ascii="宋体" w:hAnsi="宋体" w:eastAsia="宋体" w:cs="宋体"/>
                <w:b/>
                <w:bCs/>
                <w:lang w:bidi="ar"/>
              </w:rPr>
              <w:t>)</w:t>
            </w:r>
          </w:p>
        </w:tc>
        <w:tc>
          <w:tcPr>
            <w:tcW w:w="0" w:type="auto"/>
            <w:tcBorders>
              <w:top w:val="single" w:color="auto" w:sz="4" w:space="0"/>
              <w:left w:val="nil"/>
              <w:bottom w:val="single" w:color="auto" w:sz="4" w:space="0"/>
              <w:right w:val="nil"/>
            </w:tcBorders>
            <w:shd w:val="clear" w:color="auto" w:fill="auto"/>
            <w:noWrap/>
            <w:tcMar>
              <w:top w:w="105" w:type="dxa"/>
              <w:left w:w="105" w:type="dxa"/>
              <w:bottom w:w="105" w:type="dxa"/>
              <w:right w:w="105" w:type="dxa"/>
            </w:tcMar>
            <w:vAlign w:val="center"/>
          </w:tcPr>
          <w:p w14:paraId="580FBA49">
            <w:pPr>
              <w:spacing w:line="360" w:lineRule="auto"/>
              <w:jc w:val="center"/>
              <w:textAlignment w:val="center"/>
              <w:rPr>
                <w:rFonts w:ascii="宋体" w:hAnsi="宋体" w:eastAsia="宋体"/>
                <w:b/>
                <w:bCs/>
              </w:rPr>
            </w:pPr>
            <w:r>
              <w:rPr>
                <w:rFonts w:ascii="宋体" w:hAnsi="宋体" w:eastAsia="宋体" w:cs="宋体"/>
                <w:b/>
                <w:bCs/>
                <w:lang w:bidi="ar"/>
              </w:rPr>
              <w:t>KNN + GRU (CPU)</w:t>
            </w:r>
          </w:p>
        </w:tc>
        <w:tc>
          <w:tcPr>
            <w:tcW w:w="0" w:type="auto"/>
            <w:tcBorders>
              <w:top w:val="single" w:color="auto" w:sz="4" w:space="0"/>
              <w:left w:val="nil"/>
              <w:bottom w:val="single" w:color="auto" w:sz="4" w:space="0"/>
              <w:right w:val="nil"/>
            </w:tcBorders>
            <w:shd w:val="clear" w:color="auto" w:fill="auto"/>
            <w:noWrap/>
            <w:tcMar>
              <w:top w:w="105" w:type="dxa"/>
              <w:left w:w="105" w:type="dxa"/>
              <w:bottom w:w="105" w:type="dxa"/>
              <w:right w:w="105" w:type="dxa"/>
            </w:tcMar>
            <w:vAlign w:val="center"/>
          </w:tcPr>
          <w:p w14:paraId="6E6A76BB">
            <w:pPr>
              <w:spacing w:line="360" w:lineRule="auto"/>
              <w:jc w:val="center"/>
              <w:textAlignment w:val="center"/>
              <w:rPr>
                <w:rFonts w:ascii="宋体" w:hAnsi="宋体" w:eastAsia="宋体"/>
                <w:b/>
                <w:bCs/>
              </w:rPr>
            </w:pPr>
            <w:r>
              <w:rPr>
                <w:rFonts w:ascii="宋体" w:hAnsi="宋体" w:eastAsia="宋体" w:cs="宋体"/>
                <w:b/>
                <w:bCs/>
                <w:lang w:bidi="ar"/>
              </w:rPr>
              <w:t>KNN + GRU (</w:t>
            </w:r>
            <w:r>
              <w:rPr>
                <w:rFonts w:hint="eastAsia" w:ascii="宋体" w:hAnsi="宋体" w:eastAsia="宋体" w:cs="宋体"/>
                <w:b/>
                <w:bCs/>
                <w:lang w:bidi="ar"/>
              </w:rPr>
              <w:t>GPU加速</w:t>
            </w:r>
            <w:r>
              <w:rPr>
                <w:rFonts w:ascii="宋体" w:hAnsi="宋体" w:eastAsia="宋体" w:cs="宋体"/>
                <w:b/>
                <w:bCs/>
                <w:lang w:bidi="ar"/>
              </w:rPr>
              <w:t>)</w:t>
            </w:r>
          </w:p>
        </w:tc>
      </w:tr>
      <w:tr w14:paraId="6B846FB2">
        <w:tblPrEx>
          <w:tblCellMar>
            <w:top w:w="105" w:type="dxa"/>
            <w:left w:w="105" w:type="dxa"/>
            <w:bottom w:w="105" w:type="dxa"/>
            <w:right w:w="105" w:type="dxa"/>
          </w:tblCellMar>
        </w:tblPrEx>
        <w:tc>
          <w:tcPr>
            <w:tcW w:w="0" w:type="auto"/>
            <w:tcBorders>
              <w:top w:val="single" w:color="auto" w:sz="4" w:space="0"/>
              <w:left w:val="nil"/>
              <w:bottom w:val="nil"/>
              <w:right w:val="nil"/>
            </w:tcBorders>
            <w:shd w:val="clear" w:color="auto" w:fill="auto"/>
            <w:noWrap/>
            <w:tcMar>
              <w:top w:w="105" w:type="dxa"/>
              <w:left w:w="105" w:type="dxa"/>
              <w:bottom w:w="105" w:type="dxa"/>
              <w:right w:w="105" w:type="dxa"/>
            </w:tcMar>
            <w:vAlign w:val="center"/>
          </w:tcPr>
          <w:p w14:paraId="62FC96C5">
            <w:pPr>
              <w:spacing w:line="360" w:lineRule="auto"/>
              <w:textAlignment w:val="center"/>
              <w:rPr>
                <w:rFonts w:ascii="宋体" w:hAnsi="宋体" w:eastAsia="宋体"/>
              </w:rPr>
            </w:pPr>
            <w:r>
              <w:rPr>
                <w:rStyle w:val="24"/>
                <w:rFonts w:hint="eastAsia" w:ascii="宋体" w:hAnsi="宋体" w:eastAsia="宋体" w:cs="宋体"/>
                <w:lang w:bidi="ar"/>
              </w:rPr>
              <w:t>阶段</w:t>
            </w:r>
            <w:r>
              <w:rPr>
                <w:rStyle w:val="24"/>
                <w:rFonts w:ascii="宋体" w:hAnsi="宋体" w:eastAsia="宋体" w:cs="宋体"/>
                <w:lang w:bidi="ar"/>
              </w:rPr>
              <w:t>1</w:t>
            </w:r>
            <w:r>
              <w:rPr>
                <w:rStyle w:val="24"/>
                <w:rFonts w:hint="eastAsia" w:ascii="宋体" w:hAnsi="宋体" w:eastAsia="宋体" w:cs="宋体"/>
                <w:lang w:bidi="ar"/>
              </w:rPr>
              <w:t>训练时间</w:t>
            </w:r>
          </w:p>
        </w:tc>
        <w:tc>
          <w:tcPr>
            <w:tcW w:w="0" w:type="auto"/>
            <w:tcBorders>
              <w:top w:val="single" w:color="auto" w:sz="4" w:space="0"/>
              <w:left w:val="nil"/>
              <w:bottom w:val="nil"/>
              <w:right w:val="nil"/>
            </w:tcBorders>
            <w:shd w:val="clear" w:color="auto" w:fill="auto"/>
            <w:noWrap/>
            <w:tcMar>
              <w:top w:w="105" w:type="dxa"/>
              <w:left w:w="105" w:type="dxa"/>
              <w:bottom w:w="105" w:type="dxa"/>
              <w:right w:w="105" w:type="dxa"/>
            </w:tcMar>
            <w:vAlign w:val="center"/>
          </w:tcPr>
          <w:p w14:paraId="0F30F084">
            <w:pPr>
              <w:spacing w:line="360" w:lineRule="auto"/>
              <w:textAlignment w:val="center"/>
              <w:rPr>
                <w:rFonts w:ascii="宋体" w:hAnsi="宋体" w:eastAsia="宋体"/>
              </w:rPr>
            </w:pPr>
            <w:r>
              <w:rPr>
                <w:rFonts w:ascii="宋体" w:hAnsi="宋体" w:eastAsia="宋体" w:cs="宋体"/>
                <w:lang w:bidi="ar"/>
              </w:rPr>
              <w:t>0.36 s (IForest)</w:t>
            </w:r>
          </w:p>
        </w:tc>
        <w:tc>
          <w:tcPr>
            <w:tcW w:w="0" w:type="auto"/>
            <w:tcBorders>
              <w:top w:val="single" w:color="auto" w:sz="4" w:space="0"/>
              <w:left w:val="nil"/>
              <w:bottom w:val="nil"/>
              <w:right w:val="nil"/>
            </w:tcBorders>
            <w:shd w:val="clear" w:color="auto" w:fill="auto"/>
            <w:noWrap/>
            <w:tcMar>
              <w:top w:w="105" w:type="dxa"/>
              <w:left w:w="105" w:type="dxa"/>
              <w:bottom w:w="105" w:type="dxa"/>
              <w:right w:w="105" w:type="dxa"/>
            </w:tcMar>
            <w:vAlign w:val="center"/>
          </w:tcPr>
          <w:p w14:paraId="6387AF79">
            <w:pPr>
              <w:spacing w:line="360" w:lineRule="auto"/>
              <w:textAlignment w:val="center"/>
              <w:rPr>
                <w:rFonts w:ascii="宋体" w:hAnsi="宋体" w:eastAsia="宋体"/>
              </w:rPr>
            </w:pPr>
            <w:r>
              <w:rPr>
                <w:rFonts w:ascii="宋体" w:hAnsi="宋体" w:eastAsia="宋体" w:cs="宋体"/>
                <w:lang w:bidi="ar"/>
              </w:rPr>
              <w:t>0.28 s (IForest)</w:t>
            </w:r>
          </w:p>
        </w:tc>
        <w:tc>
          <w:tcPr>
            <w:tcW w:w="0" w:type="auto"/>
            <w:tcBorders>
              <w:top w:val="single" w:color="auto" w:sz="4" w:space="0"/>
              <w:left w:val="nil"/>
              <w:bottom w:val="nil"/>
              <w:right w:val="nil"/>
            </w:tcBorders>
            <w:shd w:val="clear" w:color="auto" w:fill="auto"/>
            <w:noWrap/>
            <w:tcMar>
              <w:top w:w="105" w:type="dxa"/>
              <w:left w:w="105" w:type="dxa"/>
              <w:bottom w:w="105" w:type="dxa"/>
              <w:right w:w="105" w:type="dxa"/>
            </w:tcMar>
            <w:vAlign w:val="center"/>
          </w:tcPr>
          <w:p w14:paraId="6763A5A6">
            <w:pPr>
              <w:spacing w:line="360" w:lineRule="auto"/>
              <w:textAlignment w:val="center"/>
              <w:rPr>
                <w:rFonts w:ascii="宋体" w:hAnsi="宋体" w:eastAsia="宋体"/>
              </w:rPr>
            </w:pPr>
            <w:r>
              <w:rPr>
                <w:rFonts w:ascii="宋体" w:hAnsi="宋体" w:eastAsia="宋体" w:cs="宋体"/>
                <w:lang w:bidi="ar"/>
              </w:rPr>
              <w:t>1.3 s (KNN)</w:t>
            </w:r>
          </w:p>
        </w:tc>
        <w:tc>
          <w:tcPr>
            <w:tcW w:w="0" w:type="auto"/>
            <w:tcBorders>
              <w:top w:val="single" w:color="auto" w:sz="4" w:space="0"/>
              <w:left w:val="nil"/>
              <w:bottom w:val="nil"/>
              <w:right w:val="nil"/>
            </w:tcBorders>
            <w:shd w:val="clear" w:color="auto" w:fill="auto"/>
            <w:noWrap/>
            <w:tcMar>
              <w:top w:w="105" w:type="dxa"/>
              <w:left w:w="105" w:type="dxa"/>
              <w:bottom w:w="105" w:type="dxa"/>
              <w:right w:w="105" w:type="dxa"/>
            </w:tcMar>
            <w:vAlign w:val="center"/>
          </w:tcPr>
          <w:p w14:paraId="74D6B255">
            <w:pPr>
              <w:spacing w:line="360" w:lineRule="auto"/>
              <w:textAlignment w:val="center"/>
              <w:rPr>
                <w:rFonts w:ascii="宋体" w:hAnsi="宋体" w:eastAsia="宋体"/>
              </w:rPr>
            </w:pPr>
            <w:r>
              <w:rPr>
                <w:rFonts w:ascii="宋体" w:hAnsi="宋体" w:eastAsia="宋体" w:cs="宋体"/>
                <w:lang w:bidi="ar"/>
              </w:rPr>
              <w:t>0.49 s (KNN)</w:t>
            </w:r>
          </w:p>
        </w:tc>
      </w:tr>
      <w:tr w14:paraId="6B2AD83D">
        <w:tblPrEx>
          <w:tblCellMar>
            <w:top w:w="105" w:type="dxa"/>
            <w:left w:w="105" w:type="dxa"/>
            <w:bottom w:w="105" w:type="dxa"/>
            <w:right w:w="105" w:type="dxa"/>
          </w:tblCellMar>
        </w:tblPrEx>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52BDF394">
            <w:pPr>
              <w:spacing w:line="360" w:lineRule="auto"/>
              <w:textAlignment w:val="center"/>
              <w:rPr>
                <w:rFonts w:ascii="宋体" w:hAnsi="宋体" w:eastAsia="宋体"/>
              </w:rPr>
            </w:pPr>
            <w:r>
              <w:rPr>
                <w:rStyle w:val="24"/>
                <w:rFonts w:hint="eastAsia" w:ascii="宋体" w:hAnsi="宋体" w:eastAsia="宋体" w:cs="宋体"/>
                <w:lang w:bidi="ar"/>
              </w:rPr>
              <w:t>阶段2训练时间</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5C364E9A">
            <w:pPr>
              <w:spacing w:line="360" w:lineRule="auto"/>
              <w:textAlignment w:val="center"/>
              <w:rPr>
                <w:rFonts w:ascii="宋体" w:hAnsi="宋体" w:eastAsia="宋体"/>
              </w:rPr>
            </w:pPr>
            <w:r>
              <w:rPr>
                <w:rFonts w:ascii="宋体" w:hAnsi="宋体" w:eastAsia="宋体" w:cs="宋体"/>
                <w:lang w:bidi="ar"/>
              </w:rPr>
              <w:t>239.5 s (CNN-LSTM)</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2A7261FB">
            <w:pPr>
              <w:spacing w:line="360" w:lineRule="auto"/>
              <w:textAlignment w:val="center"/>
              <w:rPr>
                <w:rFonts w:ascii="宋体" w:hAnsi="宋体" w:eastAsia="宋体"/>
              </w:rPr>
            </w:pPr>
            <w:r>
              <w:rPr>
                <w:rFonts w:ascii="宋体" w:hAnsi="宋体" w:eastAsia="宋体" w:cs="宋体"/>
                <w:lang w:bidi="ar"/>
              </w:rPr>
              <w:t>22.9 s (CNN-LSTM)</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0125B394">
            <w:pPr>
              <w:spacing w:line="360" w:lineRule="auto"/>
              <w:textAlignment w:val="center"/>
              <w:rPr>
                <w:rFonts w:ascii="宋体" w:hAnsi="宋体" w:eastAsia="宋体"/>
              </w:rPr>
            </w:pPr>
            <w:r>
              <w:rPr>
                <w:rFonts w:ascii="宋体" w:hAnsi="宋体" w:eastAsia="宋体" w:cs="宋体"/>
                <w:lang w:bidi="ar"/>
              </w:rPr>
              <w:t>483.8 s (GRU)</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1E66DCA1">
            <w:pPr>
              <w:spacing w:line="360" w:lineRule="auto"/>
              <w:textAlignment w:val="center"/>
              <w:rPr>
                <w:rFonts w:ascii="宋体" w:hAnsi="宋体" w:eastAsia="宋体"/>
              </w:rPr>
            </w:pPr>
            <w:r>
              <w:rPr>
                <w:rFonts w:ascii="宋体" w:hAnsi="宋体" w:eastAsia="宋体" w:cs="宋体"/>
                <w:lang w:bidi="ar"/>
              </w:rPr>
              <w:t>22.7 s (GRU)</w:t>
            </w:r>
          </w:p>
        </w:tc>
      </w:tr>
      <w:tr w14:paraId="2133131B">
        <w:tblPrEx>
          <w:tblCellMar>
            <w:top w:w="105" w:type="dxa"/>
            <w:left w:w="105" w:type="dxa"/>
            <w:bottom w:w="105" w:type="dxa"/>
            <w:right w:w="105" w:type="dxa"/>
          </w:tblCellMar>
        </w:tblPrEx>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65B69A00">
            <w:pPr>
              <w:spacing w:line="360" w:lineRule="auto"/>
              <w:textAlignment w:val="center"/>
              <w:rPr>
                <w:rFonts w:ascii="宋体" w:hAnsi="宋体" w:eastAsia="宋体"/>
              </w:rPr>
            </w:pPr>
            <w:r>
              <w:rPr>
                <w:rStyle w:val="24"/>
                <w:rFonts w:hint="eastAsia" w:ascii="宋体" w:hAnsi="宋体" w:eastAsia="宋体" w:cs="宋体"/>
                <w:lang w:bidi="ar"/>
              </w:rPr>
              <w:t>GPU加速倍率</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293EE192">
            <w:pPr>
              <w:spacing w:line="360" w:lineRule="auto"/>
              <w:textAlignment w:val="center"/>
              <w:rPr>
                <w:rFonts w:ascii="宋体" w:hAnsi="宋体" w:eastAsia="宋体"/>
              </w:rPr>
            </w:pPr>
            <w:r>
              <w:rPr>
                <w:rFonts w:ascii="宋体" w:hAnsi="宋体" w:eastAsia="宋体" w:cs="宋体"/>
                <w:lang w:bidi="ar"/>
              </w:rPr>
              <w:t>-</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6C606345">
            <w:pPr>
              <w:spacing w:line="360" w:lineRule="auto"/>
              <w:textAlignment w:val="center"/>
              <w:rPr>
                <w:rFonts w:ascii="宋体" w:hAnsi="宋体" w:eastAsia="宋体"/>
              </w:rPr>
            </w:pPr>
            <w:r>
              <w:rPr>
                <w:rFonts w:ascii="Cambria Math" w:hAnsi="Cambria Math" w:eastAsia="宋体" w:cs="Cambria Math"/>
                <w:sz w:val="29"/>
                <w:szCs w:val="29"/>
                <w:lang w:bidi="ar"/>
              </w:rPr>
              <w:t>∼</w:t>
            </w:r>
            <w:r>
              <w:rPr>
                <w:rFonts w:ascii="宋体" w:hAnsi="宋体" w:eastAsia="宋体" w:cs="宋体"/>
                <w:lang w:bidi="ar"/>
              </w:rPr>
              <w:t>10.4x</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48CD47F9">
            <w:pPr>
              <w:spacing w:line="360" w:lineRule="auto"/>
              <w:textAlignment w:val="center"/>
              <w:rPr>
                <w:rFonts w:ascii="宋体" w:hAnsi="宋体" w:eastAsia="宋体"/>
              </w:rPr>
            </w:pPr>
            <w:r>
              <w:rPr>
                <w:rFonts w:ascii="宋体" w:hAnsi="宋体" w:eastAsia="宋体" w:cs="宋体"/>
                <w:lang w:bidi="ar"/>
              </w:rPr>
              <w:t>-</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064F09AE">
            <w:pPr>
              <w:spacing w:line="360" w:lineRule="auto"/>
              <w:textAlignment w:val="center"/>
              <w:rPr>
                <w:rFonts w:ascii="宋体" w:hAnsi="宋体" w:eastAsia="宋体"/>
              </w:rPr>
            </w:pPr>
            <w:r>
              <w:rPr>
                <w:rFonts w:ascii="Cambria Math" w:hAnsi="Cambria Math" w:eastAsia="宋体" w:cs="Cambria Math"/>
                <w:sz w:val="29"/>
                <w:szCs w:val="29"/>
                <w:lang w:bidi="ar"/>
              </w:rPr>
              <w:t>∼</w:t>
            </w:r>
            <w:r>
              <w:rPr>
                <w:rFonts w:ascii="宋体" w:hAnsi="宋体" w:eastAsia="宋体" w:cs="宋体"/>
                <w:lang w:bidi="ar"/>
              </w:rPr>
              <w:t>21.3x</w:t>
            </w:r>
          </w:p>
        </w:tc>
      </w:tr>
      <w:tr w14:paraId="4EC47BB9">
        <w:tblPrEx>
          <w:tblCellMar>
            <w:top w:w="105" w:type="dxa"/>
            <w:left w:w="105" w:type="dxa"/>
            <w:bottom w:w="105" w:type="dxa"/>
            <w:right w:w="105" w:type="dxa"/>
          </w:tblCellMar>
        </w:tblPrEx>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3F70C3CE">
            <w:pPr>
              <w:spacing w:line="360" w:lineRule="auto"/>
              <w:textAlignment w:val="center"/>
              <w:rPr>
                <w:rFonts w:ascii="宋体" w:hAnsi="宋体" w:eastAsia="宋体"/>
              </w:rPr>
            </w:pPr>
            <w:r>
              <w:rPr>
                <w:rStyle w:val="24"/>
                <w:rFonts w:ascii="宋体" w:hAnsi="宋体" w:eastAsia="宋体" w:cs="宋体"/>
                <w:lang w:bidi="ar"/>
              </w:rPr>
              <w:t>AUC-ROC</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64149D3C">
            <w:pPr>
              <w:spacing w:line="360" w:lineRule="auto"/>
              <w:textAlignment w:val="center"/>
              <w:rPr>
                <w:rFonts w:ascii="宋体" w:hAnsi="宋体" w:eastAsia="宋体"/>
              </w:rPr>
            </w:pPr>
            <w:r>
              <w:rPr>
                <w:rFonts w:ascii="宋体" w:hAnsi="宋体" w:eastAsia="宋体" w:cs="宋体"/>
                <w:lang w:bidi="ar"/>
              </w:rPr>
              <w:t>0.8762</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05E0FA1E">
            <w:pPr>
              <w:spacing w:line="360" w:lineRule="auto"/>
              <w:textAlignment w:val="center"/>
              <w:rPr>
                <w:rFonts w:ascii="宋体" w:hAnsi="宋体" w:eastAsia="宋体"/>
              </w:rPr>
            </w:pPr>
            <w:r>
              <w:rPr>
                <w:rFonts w:ascii="宋体" w:hAnsi="宋体" w:eastAsia="宋体" w:cs="宋体"/>
                <w:lang w:bidi="ar"/>
              </w:rPr>
              <w:t>0.8694</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22E7F2EB">
            <w:pPr>
              <w:spacing w:line="360" w:lineRule="auto"/>
              <w:textAlignment w:val="center"/>
              <w:rPr>
                <w:rFonts w:ascii="宋体" w:hAnsi="宋体" w:eastAsia="宋体"/>
              </w:rPr>
            </w:pPr>
            <w:r>
              <w:rPr>
                <w:rFonts w:ascii="宋体" w:hAnsi="宋体" w:eastAsia="宋体" w:cs="宋体"/>
                <w:lang w:bidi="ar"/>
              </w:rPr>
              <w:t>0.7636</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375EE6AE">
            <w:pPr>
              <w:spacing w:line="360" w:lineRule="auto"/>
              <w:textAlignment w:val="center"/>
              <w:rPr>
                <w:rFonts w:ascii="宋体" w:hAnsi="宋体" w:eastAsia="宋体"/>
              </w:rPr>
            </w:pPr>
            <w:r>
              <w:rPr>
                <w:rFonts w:ascii="宋体" w:hAnsi="宋体" w:eastAsia="宋体" w:cs="宋体"/>
                <w:lang w:bidi="ar"/>
              </w:rPr>
              <w:t>0.8117</w:t>
            </w:r>
          </w:p>
        </w:tc>
      </w:tr>
      <w:tr w14:paraId="1E795DE8">
        <w:tblPrEx>
          <w:tblCellMar>
            <w:top w:w="105" w:type="dxa"/>
            <w:left w:w="105" w:type="dxa"/>
            <w:bottom w:w="105" w:type="dxa"/>
            <w:right w:w="105" w:type="dxa"/>
          </w:tblCellMar>
        </w:tblPrEx>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62CB523B">
            <w:pPr>
              <w:spacing w:line="360" w:lineRule="auto"/>
              <w:textAlignment w:val="center"/>
              <w:rPr>
                <w:rFonts w:ascii="宋体" w:hAnsi="宋体" w:eastAsia="宋体"/>
              </w:rPr>
            </w:pPr>
            <w:r>
              <w:rPr>
                <w:rStyle w:val="24"/>
                <w:rFonts w:ascii="宋体" w:hAnsi="宋体" w:eastAsia="宋体" w:cs="宋体"/>
                <w:lang w:bidi="ar"/>
              </w:rPr>
              <w:t>F1-Score</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2D1E7C19">
            <w:pPr>
              <w:spacing w:line="360" w:lineRule="auto"/>
              <w:textAlignment w:val="center"/>
              <w:rPr>
                <w:rFonts w:ascii="宋体" w:hAnsi="宋体" w:eastAsia="宋体"/>
              </w:rPr>
            </w:pPr>
            <w:r>
              <w:rPr>
                <w:rFonts w:ascii="宋体" w:hAnsi="宋体" w:eastAsia="宋体" w:cs="宋体"/>
                <w:lang w:bidi="ar"/>
              </w:rPr>
              <w:t>0.1494</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058B9CAF">
            <w:pPr>
              <w:spacing w:line="360" w:lineRule="auto"/>
              <w:textAlignment w:val="center"/>
              <w:rPr>
                <w:rFonts w:ascii="宋体" w:hAnsi="宋体" w:eastAsia="宋体"/>
              </w:rPr>
            </w:pPr>
            <w:r>
              <w:rPr>
                <w:rFonts w:ascii="宋体" w:hAnsi="宋体" w:eastAsia="宋体" w:cs="宋体"/>
                <w:lang w:bidi="ar"/>
              </w:rPr>
              <w:t>0.1457</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580691A2">
            <w:pPr>
              <w:spacing w:line="360" w:lineRule="auto"/>
              <w:textAlignment w:val="center"/>
              <w:rPr>
                <w:rFonts w:ascii="宋体" w:hAnsi="宋体" w:eastAsia="宋体"/>
              </w:rPr>
            </w:pPr>
            <w:r>
              <w:rPr>
                <w:rFonts w:ascii="宋体" w:hAnsi="宋体" w:eastAsia="宋体" w:cs="宋体"/>
                <w:lang w:bidi="ar"/>
              </w:rPr>
              <w:t>0.4509</w:t>
            </w:r>
          </w:p>
        </w:tc>
        <w:tc>
          <w:tcPr>
            <w:tcW w:w="0" w:type="auto"/>
            <w:tcBorders>
              <w:top w:val="nil"/>
              <w:left w:val="nil"/>
              <w:bottom w:val="nil"/>
              <w:right w:val="nil"/>
            </w:tcBorders>
            <w:shd w:val="clear" w:color="auto" w:fill="auto"/>
            <w:noWrap/>
            <w:tcMar>
              <w:top w:w="105" w:type="dxa"/>
              <w:left w:w="105" w:type="dxa"/>
              <w:bottom w:w="105" w:type="dxa"/>
              <w:right w:w="105" w:type="dxa"/>
            </w:tcMar>
            <w:vAlign w:val="center"/>
          </w:tcPr>
          <w:p w14:paraId="0F0DC633">
            <w:pPr>
              <w:spacing w:line="360" w:lineRule="auto"/>
              <w:textAlignment w:val="center"/>
              <w:rPr>
                <w:rFonts w:ascii="宋体" w:hAnsi="宋体" w:eastAsia="宋体"/>
              </w:rPr>
            </w:pPr>
            <w:r>
              <w:rPr>
                <w:rFonts w:ascii="宋体" w:hAnsi="宋体" w:eastAsia="宋体" w:cs="宋体"/>
                <w:lang w:bidi="ar"/>
              </w:rPr>
              <w:t>0.4740</w:t>
            </w:r>
          </w:p>
        </w:tc>
      </w:tr>
      <w:tr w14:paraId="26328982">
        <w:tblPrEx>
          <w:tblCellMar>
            <w:top w:w="105" w:type="dxa"/>
            <w:left w:w="105" w:type="dxa"/>
            <w:bottom w:w="105" w:type="dxa"/>
            <w:right w:w="105" w:type="dxa"/>
          </w:tblCellMar>
        </w:tblPrEx>
        <w:tc>
          <w:tcPr>
            <w:tcW w:w="0" w:type="auto"/>
            <w:tcBorders>
              <w:top w:val="nil"/>
              <w:left w:val="nil"/>
              <w:right w:val="nil"/>
            </w:tcBorders>
            <w:shd w:val="clear" w:color="auto" w:fill="auto"/>
            <w:noWrap/>
            <w:tcMar>
              <w:top w:w="105" w:type="dxa"/>
              <w:left w:w="105" w:type="dxa"/>
              <w:bottom w:w="105" w:type="dxa"/>
              <w:right w:w="105" w:type="dxa"/>
            </w:tcMar>
            <w:vAlign w:val="center"/>
          </w:tcPr>
          <w:p w14:paraId="31145CC8">
            <w:pPr>
              <w:spacing w:line="360" w:lineRule="auto"/>
              <w:textAlignment w:val="center"/>
              <w:rPr>
                <w:rFonts w:ascii="宋体" w:hAnsi="宋体" w:eastAsia="宋体"/>
              </w:rPr>
            </w:pPr>
            <w:r>
              <w:rPr>
                <w:rStyle w:val="24"/>
                <w:rFonts w:ascii="宋体" w:hAnsi="宋体" w:eastAsia="宋体" w:cs="宋体"/>
                <w:lang w:bidi="ar"/>
              </w:rPr>
              <w:t>Precision</w:t>
            </w:r>
          </w:p>
        </w:tc>
        <w:tc>
          <w:tcPr>
            <w:tcW w:w="0" w:type="auto"/>
            <w:tcBorders>
              <w:top w:val="nil"/>
              <w:left w:val="nil"/>
              <w:right w:val="nil"/>
            </w:tcBorders>
            <w:shd w:val="clear" w:color="auto" w:fill="auto"/>
            <w:noWrap/>
            <w:tcMar>
              <w:top w:w="105" w:type="dxa"/>
              <w:left w:w="105" w:type="dxa"/>
              <w:bottom w:w="105" w:type="dxa"/>
              <w:right w:w="105" w:type="dxa"/>
            </w:tcMar>
            <w:vAlign w:val="center"/>
          </w:tcPr>
          <w:p w14:paraId="753833C7">
            <w:pPr>
              <w:spacing w:line="360" w:lineRule="auto"/>
              <w:textAlignment w:val="center"/>
              <w:rPr>
                <w:rFonts w:ascii="宋体" w:hAnsi="宋体" w:eastAsia="宋体"/>
              </w:rPr>
            </w:pPr>
            <w:r>
              <w:rPr>
                <w:rFonts w:ascii="宋体" w:hAnsi="宋体" w:eastAsia="宋体" w:cs="宋体"/>
                <w:lang w:bidi="ar"/>
              </w:rPr>
              <w:t>0.0816</w:t>
            </w:r>
          </w:p>
        </w:tc>
        <w:tc>
          <w:tcPr>
            <w:tcW w:w="0" w:type="auto"/>
            <w:tcBorders>
              <w:top w:val="nil"/>
              <w:left w:val="nil"/>
              <w:right w:val="nil"/>
            </w:tcBorders>
            <w:shd w:val="clear" w:color="auto" w:fill="auto"/>
            <w:noWrap/>
            <w:tcMar>
              <w:top w:w="105" w:type="dxa"/>
              <w:left w:w="105" w:type="dxa"/>
              <w:bottom w:w="105" w:type="dxa"/>
              <w:right w:w="105" w:type="dxa"/>
            </w:tcMar>
            <w:vAlign w:val="center"/>
          </w:tcPr>
          <w:p w14:paraId="0827524E">
            <w:pPr>
              <w:spacing w:line="360" w:lineRule="auto"/>
              <w:textAlignment w:val="center"/>
              <w:rPr>
                <w:rFonts w:ascii="宋体" w:hAnsi="宋体" w:eastAsia="宋体"/>
              </w:rPr>
            </w:pPr>
            <w:r>
              <w:rPr>
                <w:rFonts w:ascii="宋体" w:hAnsi="宋体" w:eastAsia="宋体" w:cs="宋体"/>
                <w:lang w:bidi="ar"/>
              </w:rPr>
              <w:t>0.0791</w:t>
            </w:r>
          </w:p>
        </w:tc>
        <w:tc>
          <w:tcPr>
            <w:tcW w:w="0" w:type="auto"/>
            <w:tcBorders>
              <w:top w:val="nil"/>
              <w:left w:val="nil"/>
              <w:right w:val="nil"/>
            </w:tcBorders>
            <w:shd w:val="clear" w:color="auto" w:fill="auto"/>
            <w:noWrap/>
            <w:tcMar>
              <w:top w:w="105" w:type="dxa"/>
              <w:left w:w="105" w:type="dxa"/>
              <w:bottom w:w="105" w:type="dxa"/>
              <w:right w:w="105" w:type="dxa"/>
            </w:tcMar>
            <w:vAlign w:val="center"/>
          </w:tcPr>
          <w:p w14:paraId="678D3B4C">
            <w:pPr>
              <w:spacing w:line="360" w:lineRule="auto"/>
              <w:textAlignment w:val="center"/>
              <w:rPr>
                <w:rFonts w:ascii="宋体" w:hAnsi="宋体" w:eastAsia="宋体"/>
              </w:rPr>
            </w:pPr>
            <w:r>
              <w:rPr>
                <w:rFonts w:ascii="宋体" w:hAnsi="宋体" w:eastAsia="宋体" w:cs="宋体"/>
                <w:lang w:bidi="ar"/>
              </w:rPr>
              <w:t>0.3900</w:t>
            </w:r>
          </w:p>
        </w:tc>
        <w:tc>
          <w:tcPr>
            <w:tcW w:w="0" w:type="auto"/>
            <w:tcBorders>
              <w:top w:val="nil"/>
              <w:left w:val="nil"/>
              <w:right w:val="nil"/>
            </w:tcBorders>
            <w:shd w:val="clear" w:color="auto" w:fill="auto"/>
            <w:noWrap/>
            <w:tcMar>
              <w:top w:w="105" w:type="dxa"/>
              <w:left w:w="105" w:type="dxa"/>
              <w:bottom w:w="105" w:type="dxa"/>
              <w:right w:w="105" w:type="dxa"/>
            </w:tcMar>
            <w:vAlign w:val="center"/>
          </w:tcPr>
          <w:p w14:paraId="3028BEF5">
            <w:pPr>
              <w:spacing w:line="360" w:lineRule="auto"/>
              <w:textAlignment w:val="center"/>
              <w:rPr>
                <w:rFonts w:ascii="宋体" w:hAnsi="宋体" w:eastAsia="宋体"/>
              </w:rPr>
            </w:pPr>
            <w:r>
              <w:rPr>
                <w:rFonts w:ascii="宋体" w:hAnsi="宋体" w:eastAsia="宋体" w:cs="宋体"/>
                <w:lang w:bidi="ar"/>
              </w:rPr>
              <w:t>0.4100</w:t>
            </w:r>
          </w:p>
        </w:tc>
      </w:tr>
      <w:tr w14:paraId="6E69F80C">
        <w:tblPrEx>
          <w:tblCellMar>
            <w:top w:w="105" w:type="dxa"/>
            <w:left w:w="105" w:type="dxa"/>
            <w:bottom w:w="105" w:type="dxa"/>
            <w:right w:w="105" w:type="dxa"/>
          </w:tblCellMar>
        </w:tblPrEx>
        <w:tc>
          <w:tcPr>
            <w:tcW w:w="0" w:type="auto"/>
            <w:tcBorders>
              <w:top w:val="nil"/>
              <w:left w:val="nil"/>
              <w:bottom w:val="single" w:color="auto" w:sz="4" w:space="0"/>
              <w:right w:val="nil"/>
            </w:tcBorders>
            <w:shd w:val="clear" w:color="auto" w:fill="auto"/>
            <w:noWrap/>
            <w:tcMar>
              <w:top w:w="105" w:type="dxa"/>
              <w:left w:w="105" w:type="dxa"/>
              <w:bottom w:w="105" w:type="dxa"/>
              <w:right w:w="105" w:type="dxa"/>
            </w:tcMar>
            <w:vAlign w:val="center"/>
          </w:tcPr>
          <w:p w14:paraId="7BD20528">
            <w:pPr>
              <w:spacing w:line="360" w:lineRule="auto"/>
              <w:textAlignment w:val="center"/>
              <w:rPr>
                <w:rFonts w:ascii="宋体" w:hAnsi="宋体" w:eastAsia="宋体"/>
              </w:rPr>
            </w:pPr>
            <w:r>
              <w:rPr>
                <w:rStyle w:val="24"/>
                <w:rFonts w:ascii="宋体" w:hAnsi="宋体" w:eastAsia="宋体" w:cs="宋体"/>
                <w:lang w:bidi="ar"/>
              </w:rPr>
              <w:t>Recall</w:t>
            </w:r>
          </w:p>
        </w:tc>
        <w:tc>
          <w:tcPr>
            <w:tcW w:w="0" w:type="auto"/>
            <w:tcBorders>
              <w:top w:val="nil"/>
              <w:left w:val="nil"/>
              <w:bottom w:val="single" w:color="auto" w:sz="4" w:space="0"/>
              <w:right w:val="nil"/>
            </w:tcBorders>
            <w:shd w:val="clear" w:color="auto" w:fill="auto"/>
            <w:noWrap/>
            <w:tcMar>
              <w:top w:w="105" w:type="dxa"/>
              <w:left w:w="105" w:type="dxa"/>
              <w:bottom w:w="105" w:type="dxa"/>
              <w:right w:w="105" w:type="dxa"/>
            </w:tcMar>
            <w:vAlign w:val="center"/>
          </w:tcPr>
          <w:p w14:paraId="431CD3EE">
            <w:pPr>
              <w:spacing w:line="360" w:lineRule="auto"/>
              <w:textAlignment w:val="center"/>
              <w:rPr>
                <w:rFonts w:ascii="宋体" w:hAnsi="宋体" w:eastAsia="宋体"/>
              </w:rPr>
            </w:pPr>
            <w:r>
              <w:rPr>
                <w:rFonts w:ascii="宋体" w:hAnsi="宋体" w:eastAsia="宋体" w:cs="宋体"/>
                <w:lang w:bidi="ar"/>
              </w:rPr>
              <w:t>0.8904</w:t>
            </w:r>
          </w:p>
        </w:tc>
        <w:tc>
          <w:tcPr>
            <w:tcW w:w="0" w:type="auto"/>
            <w:tcBorders>
              <w:top w:val="nil"/>
              <w:left w:val="nil"/>
              <w:bottom w:val="single" w:color="auto" w:sz="4" w:space="0"/>
              <w:right w:val="nil"/>
            </w:tcBorders>
            <w:shd w:val="clear" w:color="auto" w:fill="auto"/>
            <w:noWrap/>
            <w:tcMar>
              <w:top w:w="105" w:type="dxa"/>
              <w:left w:w="105" w:type="dxa"/>
              <w:bottom w:w="105" w:type="dxa"/>
              <w:right w:w="105" w:type="dxa"/>
            </w:tcMar>
            <w:vAlign w:val="center"/>
          </w:tcPr>
          <w:p w14:paraId="43FB29CD">
            <w:pPr>
              <w:spacing w:line="360" w:lineRule="auto"/>
              <w:textAlignment w:val="center"/>
              <w:rPr>
                <w:rFonts w:ascii="宋体" w:hAnsi="宋体" w:eastAsia="宋体"/>
              </w:rPr>
            </w:pPr>
            <w:r>
              <w:rPr>
                <w:rFonts w:ascii="宋体" w:hAnsi="宋体" w:eastAsia="宋体" w:cs="宋体"/>
                <w:lang w:bidi="ar"/>
              </w:rPr>
              <w:t>0.9178</w:t>
            </w:r>
          </w:p>
        </w:tc>
        <w:tc>
          <w:tcPr>
            <w:tcW w:w="0" w:type="auto"/>
            <w:tcBorders>
              <w:top w:val="nil"/>
              <w:left w:val="nil"/>
              <w:bottom w:val="single" w:color="auto" w:sz="4" w:space="0"/>
              <w:right w:val="nil"/>
            </w:tcBorders>
            <w:shd w:val="clear" w:color="auto" w:fill="auto"/>
            <w:noWrap/>
            <w:tcMar>
              <w:top w:w="105" w:type="dxa"/>
              <w:left w:w="105" w:type="dxa"/>
              <w:bottom w:w="105" w:type="dxa"/>
              <w:right w:w="105" w:type="dxa"/>
            </w:tcMar>
            <w:vAlign w:val="center"/>
          </w:tcPr>
          <w:p w14:paraId="157F7D3C">
            <w:pPr>
              <w:spacing w:line="360" w:lineRule="auto"/>
              <w:textAlignment w:val="center"/>
              <w:rPr>
                <w:rFonts w:ascii="宋体" w:hAnsi="宋体" w:eastAsia="宋体"/>
              </w:rPr>
            </w:pPr>
            <w:r>
              <w:rPr>
                <w:rFonts w:ascii="宋体" w:hAnsi="宋体" w:eastAsia="宋体" w:cs="宋体"/>
                <w:lang w:bidi="ar"/>
              </w:rPr>
              <w:t>0.5342</w:t>
            </w:r>
          </w:p>
        </w:tc>
        <w:tc>
          <w:tcPr>
            <w:tcW w:w="0" w:type="auto"/>
            <w:tcBorders>
              <w:top w:val="nil"/>
              <w:left w:val="nil"/>
              <w:bottom w:val="single" w:color="auto" w:sz="4" w:space="0"/>
              <w:right w:val="nil"/>
            </w:tcBorders>
            <w:shd w:val="clear" w:color="auto" w:fill="auto"/>
            <w:noWrap/>
            <w:tcMar>
              <w:top w:w="105" w:type="dxa"/>
              <w:left w:w="105" w:type="dxa"/>
              <w:bottom w:w="105" w:type="dxa"/>
              <w:right w:w="105" w:type="dxa"/>
            </w:tcMar>
            <w:vAlign w:val="center"/>
          </w:tcPr>
          <w:p w14:paraId="56F41F84">
            <w:pPr>
              <w:spacing w:line="360" w:lineRule="auto"/>
              <w:textAlignment w:val="center"/>
              <w:rPr>
                <w:rFonts w:ascii="宋体" w:hAnsi="宋体" w:eastAsia="宋体"/>
              </w:rPr>
            </w:pPr>
            <w:r>
              <w:rPr>
                <w:rFonts w:ascii="宋体" w:hAnsi="宋体" w:eastAsia="宋体" w:cs="宋体"/>
                <w:lang w:bidi="ar"/>
              </w:rPr>
              <w:t>0.5616</w:t>
            </w:r>
          </w:p>
        </w:tc>
      </w:tr>
    </w:tbl>
    <w:p w14:paraId="14085D3D">
      <w:pPr>
        <w:pStyle w:val="3"/>
        <w:spacing w:line="360" w:lineRule="auto"/>
        <w:rPr>
          <w:rFonts w:ascii="宋体" w:hAnsi="宋体" w:eastAsia="宋体"/>
        </w:rPr>
      </w:pPr>
    </w:p>
    <w:p w14:paraId="1FEDAFA0">
      <w:pPr>
        <w:pStyle w:val="3"/>
        <w:spacing w:line="360" w:lineRule="auto"/>
        <w:ind w:firstLine="480" w:firstLineChars="200"/>
        <w:rPr>
          <w:rFonts w:ascii="宋体" w:hAnsi="宋体" w:eastAsia="宋体"/>
        </w:rPr>
      </w:pPr>
      <w:r>
        <w:rPr>
          <w:rFonts w:ascii="宋体" w:hAnsi="宋体" w:eastAsia="宋体"/>
        </w:rPr>
        <w:t xml:space="preserve">IForest+CNN-LSTM </w:t>
      </w:r>
      <w:r>
        <w:rPr>
          <w:rFonts w:hint="eastAsia" w:ascii="宋体" w:hAnsi="宋体" w:eastAsia="宋体"/>
        </w:rPr>
        <w:t>组合的核心优势在于快速全局筛选。iForest</w:t>
      </w:r>
      <w:r>
        <w:rPr>
          <w:rFonts w:ascii="宋体" w:hAnsi="宋体" w:eastAsia="宋体"/>
        </w:rPr>
        <w:t xml:space="preserve"> </w:t>
      </w:r>
      <w:r>
        <w:rPr>
          <w:rFonts w:hint="eastAsia" w:ascii="宋体" w:hAnsi="宋体" w:eastAsia="宋体"/>
        </w:rPr>
        <w:t>在</w:t>
      </w:r>
      <w:r>
        <w:rPr>
          <w:rFonts w:ascii="宋体" w:hAnsi="宋体" w:eastAsia="宋体"/>
        </w:rPr>
        <w:t xml:space="preserve"> 0.36 </w:t>
      </w:r>
      <w:r>
        <w:rPr>
          <w:rFonts w:ascii="宋体" w:hAnsi="宋体" w:eastAsia="宋体"/>
        </w:rPr>
        <w:commentReference w:id="18"/>
      </w:r>
      <w:r>
        <w:rPr>
          <w:rFonts w:ascii="宋体" w:hAnsi="宋体" w:eastAsia="宋体"/>
        </w:rPr>
        <w:t>s</w:t>
      </w:r>
      <w:r>
        <w:rPr>
          <w:rFonts w:hint="eastAsia" w:ascii="宋体" w:hAnsi="宋体" w:eastAsia="宋体"/>
        </w:rPr>
        <w:t>内完成训练和评分，迅速识别出空间上孤立的点异常。CNN-LSTM</w:t>
      </w:r>
      <w:r>
        <w:rPr>
          <w:rFonts w:ascii="宋体" w:hAnsi="宋体" w:eastAsia="宋体"/>
        </w:rPr>
        <w:t xml:space="preserve"> </w:t>
      </w:r>
      <w:r>
        <w:rPr>
          <w:rFonts w:hint="eastAsia" w:ascii="宋体" w:hAnsi="宋体" w:eastAsia="宋体"/>
        </w:rPr>
        <w:t>自编码器训练耗时约</w:t>
      </w:r>
      <w:r>
        <w:rPr>
          <w:rFonts w:ascii="宋体" w:hAnsi="宋体" w:eastAsia="宋体"/>
        </w:rPr>
        <w:t xml:space="preserve"> 2</w:t>
      </w:r>
      <w:r>
        <w:rPr>
          <w:rFonts w:hint="eastAsia" w:ascii="宋体" w:hAnsi="宋体" w:eastAsia="宋体"/>
        </w:rPr>
        <w:t>39.5</w:t>
      </w:r>
      <w:r>
        <w:rPr>
          <w:rFonts w:ascii="宋体" w:hAnsi="宋体" w:eastAsia="宋体"/>
        </w:rPr>
        <w:t xml:space="preserve"> s (CPU) </w:t>
      </w:r>
      <w:r>
        <w:rPr>
          <w:rFonts w:hint="eastAsia" w:ascii="宋体" w:hAnsi="宋体" w:eastAsia="宋体"/>
        </w:rPr>
        <w:t>或</w:t>
      </w:r>
      <w:r>
        <w:rPr>
          <w:rFonts w:ascii="宋体" w:hAnsi="宋体" w:eastAsia="宋体"/>
        </w:rPr>
        <w:t xml:space="preserve"> </w:t>
      </w:r>
      <w:r>
        <w:rPr>
          <w:rFonts w:hint="eastAsia" w:ascii="宋体" w:hAnsi="宋体" w:eastAsia="宋体"/>
        </w:rPr>
        <w:t>22.9</w:t>
      </w:r>
      <w:r>
        <w:rPr>
          <w:rFonts w:ascii="宋体" w:hAnsi="宋体" w:eastAsia="宋体"/>
        </w:rPr>
        <w:t xml:space="preserve"> s </w:t>
      </w:r>
      <w:r>
        <w:rPr>
          <w:rFonts w:hint="eastAsia" w:ascii="宋体" w:hAnsi="宋体" w:eastAsia="宋体"/>
        </w:rPr>
        <w:t>(GPU)，通过卷积层提取局部时序特征，LSTM</w:t>
      </w:r>
      <w:r>
        <w:rPr>
          <w:rFonts w:ascii="宋体" w:hAnsi="宋体" w:eastAsia="宋体"/>
        </w:rPr>
        <w:t xml:space="preserve"> </w:t>
      </w:r>
      <w:r>
        <w:rPr>
          <w:rFonts w:hint="eastAsia" w:ascii="宋体" w:hAnsi="宋体" w:eastAsia="宋体"/>
        </w:rPr>
        <w:t>层捕捉长期依赖关系。</w:t>
      </w:r>
      <w:commentRangeStart w:id="19"/>
      <w:r>
        <w:rPr>
          <w:rFonts w:hint="eastAsia" w:ascii="宋体" w:hAnsi="宋体" w:eastAsia="宋体"/>
        </w:rPr>
        <w:t>该组合在</w:t>
      </w:r>
      <w:r>
        <w:rPr>
          <w:rFonts w:ascii="宋体" w:hAnsi="宋体" w:eastAsia="宋体"/>
        </w:rPr>
        <w:t xml:space="preserve"> GPU </w:t>
      </w:r>
      <w:r>
        <w:rPr>
          <w:rFonts w:hint="eastAsia" w:ascii="宋体" w:hAnsi="宋体" w:eastAsia="宋体"/>
        </w:rPr>
        <w:t>加速下取得</w:t>
      </w:r>
      <w:r>
        <w:rPr>
          <w:rFonts w:ascii="宋体" w:hAnsi="宋体" w:eastAsia="宋体"/>
        </w:rPr>
        <w:t xml:space="preserve"> AUC-ROC=</w:t>
      </w:r>
      <w:r>
        <w:rPr>
          <w:rFonts w:hint="eastAsia" w:ascii="宋体" w:hAnsi="宋体" w:eastAsia="宋体"/>
        </w:rPr>
        <w:t>0.87，召回率</w:t>
      </w:r>
      <w:r>
        <w:rPr>
          <w:rFonts w:ascii="宋体" w:hAnsi="宋体" w:eastAsia="宋体"/>
        </w:rPr>
        <w:t>=0.92</w:t>
      </w:r>
      <w:commentRangeEnd w:id="19"/>
      <w:r>
        <w:rPr>
          <w:rFonts w:ascii="宋体" w:hAnsi="宋体" w:eastAsia="宋体"/>
        </w:rPr>
        <w:commentReference w:id="19"/>
      </w:r>
      <w:r>
        <w:rPr>
          <w:rFonts w:hint="eastAsia" w:ascii="宋体" w:hAnsi="宋体" w:eastAsia="宋体"/>
        </w:rPr>
        <w:t>，适合对漏报率敏感的场景。但精确率仅为</w:t>
      </w:r>
      <w:r>
        <w:rPr>
          <w:rFonts w:ascii="宋体" w:hAnsi="宋体" w:eastAsia="宋体"/>
        </w:rPr>
        <w:t xml:space="preserve"> </w:t>
      </w:r>
      <w:r>
        <w:rPr>
          <w:rFonts w:hint="eastAsia" w:ascii="宋体" w:hAnsi="宋体" w:eastAsia="宋体"/>
        </w:rPr>
        <w:t>0.08，意味着高误报率给日常运行维护工作带来负担。</w:t>
      </w:r>
    </w:p>
    <w:p w14:paraId="7C774505">
      <w:pPr>
        <w:pStyle w:val="3"/>
        <w:spacing w:line="360" w:lineRule="auto"/>
        <w:ind w:firstLine="480" w:firstLineChars="200"/>
        <w:rPr>
          <w:rFonts w:ascii="宋体" w:hAnsi="宋体" w:eastAsia="宋体"/>
        </w:rPr>
      </w:pPr>
      <w:r>
        <w:rPr>
          <w:rFonts w:ascii="宋体" w:hAnsi="宋体" w:eastAsia="宋体"/>
        </w:rPr>
        <w:t xml:space="preserve">KNN+GRU </w:t>
      </w:r>
      <w:r>
        <w:rPr>
          <w:rFonts w:hint="eastAsia" w:ascii="宋体" w:hAnsi="宋体" w:eastAsia="宋体"/>
        </w:rPr>
        <w:t>组合采用</w:t>
      </w:r>
      <w:r>
        <w:rPr>
          <w:rFonts w:ascii="宋体" w:hAnsi="宋体" w:eastAsia="宋体"/>
        </w:rPr>
        <w:t xml:space="preserve"> KNN </w:t>
      </w:r>
      <w:r>
        <w:rPr>
          <w:rFonts w:hint="eastAsia" w:ascii="宋体" w:hAnsi="宋体" w:eastAsia="宋体"/>
        </w:rPr>
        <w:t>近邻距离作为初步分辨，训练耗时</w:t>
      </w:r>
      <w:r>
        <w:rPr>
          <w:rFonts w:ascii="宋体" w:hAnsi="宋体" w:eastAsia="宋体"/>
        </w:rPr>
        <w:t xml:space="preserve"> 1.3 s</w:t>
      </w:r>
      <w:r>
        <w:rPr>
          <w:rFonts w:hint="eastAsia" w:ascii="宋体" w:hAnsi="宋体" w:eastAsia="宋体"/>
        </w:rPr>
        <w:t>。GRU</w:t>
      </w:r>
      <w:r>
        <w:rPr>
          <w:rFonts w:ascii="宋体" w:hAnsi="宋体" w:eastAsia="宋体"/>
        </w:rPr>
        <w:t xml:space="preserve"> </w:t>
      </w:r>
      <w:r>
        <w:rPr>
          <w:rFonts w:hint="eastAsia" w:ascii="宋体" w:hAnsi="宋体" w:eastAsia="宋体"/>
        </w:rPr>
        <w:t>自编码器相比</w:t>
      </w:r>
      <w:r>
        <w:rPr>
          <w:rFonts w:ascii="宋体" w:hAnsi="宋体" w:eastAsia="宋体"/>
        </w:rPr>
        <w:t xml:space="preserve"> LSTM </w:t>
      </w:r>
      <w:r>
        <w:rPr>
          <w:rFonts w:hint="eastAsia" w:ascii="宋体" w:hAnsi="宋体" w:eastAsia="宋体"/>
        </w:rPr>
        <w:t>结构更简洁，训练时间为</w:t>
      </w:r>
      <w:r>
        <w:rPr>
          <w:rFonts w:ascii="宋体" w:hAnsi="宋体" w:eastAsia="宋体"/>
        </w:rPr>
        <w:t xml:space="preserve"> 484 s (CPU) </w:t>
      </w:r>
      <w:r>
        <w:rPr>
          <w:rFonts w:hint="eastAsia" w:ascii="宋体" w:hAnsi="宋体" w:eastAsia="宋体"/>
        </w:rPr>
        <w:t>或</w:t>
      </w:r>
      <w:r>
        <w:rPr>
          <w:rFonts w:ascii="宋体" w:hAnsi="宋体" w:eastAsia="宋体"/>
        </w:rPr>
        <w:t xml:space="preserve"> 23 </w:t>
      </w:r>
      <w:r>
        <w:rPr>
          <w:rFonts w:hint="eastAsia" w:ascii="宋体" w:hAnsi="宋体" w:eastAsia="宋体"/>
        </w:rPr>
        <w:t>s</w:t>
      </w:r>
      <w:r>
        <w:rPr>
          <w:rFonts w:ascii="宋体" w:hAnsi="宋体" w:eastAsia="宋体"/>
        </w:rPr>
        <w:t xml:space="preserve"> (GPU)。GPU </w:t>
      </w:r>
      <w:r>
        <w:rPr>
          <w:rFonts w:hint="eastAsia" w:ascii="宋体" w:hAnsi="宋体" w:eastAsia="宋体"/>
        </w:rPr>
        <w:t>加速版本表现最佳：</w:t>
      </w:r>
      <w:commentRangeStart w:id="20"/>
      <w:r>
        <w:rPr>
          <w:rFonts w:hint="eastAsia" w:ascii="宋体" w:hAnsi="宋体" w:eastAsia="宋体"/>
        </w:rPr>
        <w:t>AUC-ROC</w:t>
      </w:r>
      <w:r>
        <w:rPr>
          <w:rFonts w:ascii="宋体" w:hAnsi="宋体" w:eastAsia="宋体"/>
        </w:rPr>
        <w:t xml:space="preserve"> </w:t>
      </w:r>
      <w:r>
        <w:rPr>
          <w:rFonts w:hint="eastAsia" w:ascii="宋体" w:hAnsi="宋体" w:eastAsia="宋体"/>
        </w:rPr>
        <w:t>达到</w:t>
      </w:r>
      <w:r>
        <w:rPr>
          <w:rFonts w:ascii="宋体" w:hAnsi="宋体" w:eastAsia="宋体"/>
        </w:rPr>
        <w:t xml:space="preserve"> 0.81、</w:t>
      </w:r>
      <w:r>
        <w:rPr>
          <w:rFonts w:ascii="宋体" w:hAnsi="宋体" w:eastAsia="宋体"/>
          <w:i/>
        </w:rPr>
        <w:t>F</w:t>
      </w:r>
      <w:r>
        <w:rPr>
          <w:rFonts w:ascii="宋体" w:hAnsi="宋体" w:eastAsia="宋体"/>
        </w:rPr>
        <w:t xml:space="preserve">1 </w:t>
      </w:r>
      <w:r>
        <w:rPr>
          <w:rFonts w:hint="eastAsia" w:ascii="宋体" w:hAnsi="宋体" w:eastAsia="宋体"/>
        </w:rPr>
        <w:t>值为0.47、精确率为0.41、召回率为0.56。这组指标明显优于</w:t>
      </w:r>
      <w:r>
        <w:rPr>
          <w:rFonts w:ascii="宋体" w:hAnsi="宋体" w:eastAsia="宋体"/>
        </w:rPr>
        <w:t xml:space="preserve"> iForest+CNN-LSTM </w:t>
      </w:r>
      <w:r>
        <w:rPr>
          <w:rFonts w:hint="eastAsia" w:ascii="宋体" w:hAnsi="宋体" w:eastAsia="宋体"/>
        </w:rPr>
        <w:t>的</w:t>
      </w:r>
      <w:r>
        <w:rPr>
          <w:rFonts w:ascii="宋体" w:hAnsi="宋体" w:eastAsia="宋体"/>
        </w:rPr>
        <w:t xml:space="preserve"> </w:t>
      </w:r>
      <w:r>
        <w:rPr>
          <w:rFonts w:ascii="宋体" w:hAnsi="宋体" w:eastAsia="宋体"/>
          <w:i/>
        </w:rPr>
        <w:t>F</w:t>
      </w:r>
      <w:r>
        <w:rPr>
          <w:rFonts w:ascii="宋体" w:hAnsi="宋体" w:eastAsia="宋体"/>
        </w:rPr>
        <w:t xml:space="preserve">1 </w:t>
      </w:r>
      <w:r>
        <w:rPr>
          <w:rFonts w:hint="eastAsia" w:ascii="宋体" w:hAnsi="宋体" w:eastAsia="宋体"/>
        </w:rPr>
        <w:t>值</w:t>
      </w:r>
      <w:r>
        <w:rPr>
          <w:rFonts w:ascii="宋体" w:hAnsi="宋体" w:eastAsia="宋体"/>
        </w:rPr>
        <w:t xml:space="preserve"> 0.15 </w:t>
      </w:r>
      <w:r>
        <w:rPr>
          <w:rFonts w:hint="eastAsia" w:ascii="宋体" w:hAnsi="宋体" w:eastAsia="宋体"/>
        </w:rPr>
        <w:t>和精确率</w:t>
      </w:r>
      <w:r>
        <w:rPr>
          <w:rFonts w:ascii="宋体" w:hAnsi="宋体" w:eastAsia="宋体"/>
        </w:rPr>
        <w:t xml:space="preserve"> </w:t>
      </w:r>
      <w:r>
        <w:rPr>
          <w:rFonts w:hint="eastAsia" w:ascii="宋体" w:hAnsi="宋体" w:eastAsia="宋体"/>
        </w:rPr>
        <w:t>0.08，</w:t>
      </w:r>
      <w:commentRangeEnd w:id="20"/>
      <w:r>
        <w:rPr>
          <w:rFonts w:ascii="宋体" w:hAnsi="宋体" w:eastAsia="宋体"/>
        </w:rPr>
        <w:commentReference w:id="20"/>
      </w:r>
      <w:r>
        <w:rPr>
          <w:rFonts w:hint="eastAsia" w:ascii="宋体" w:hAnsi="宋体" w:eastAsia="宋体"/>
        </w:rPr>
        <w:t>证明</w:t>
      </w:r>
      <w:r>
        <w:rPr>
          <w:rFonts w:ascii="宋体" w:hAnsi="宋体" w:eastAsia="宋体"/>
        </w:rPr>
        <w:t xml:space="preserve"> KNN+GRU </w:t>
      </w:r>
      <w:r>
        <w:rPr>
          <w:rFonts w:hint="eastAsia" w:ascii="宋体" w:hAnsi="宋体" w:eastAsia="宋体"/>
        </w:rPr>
        <w:t>在精确率和召回率之间取得了更好的平衡。可视化结果显示，KNN</w:t>
      </w:r>
      <w:r>
        <w:rPr>
          <w:rFonts w:ascii="宋体" w:hAnsi="宋体" w:eastAsia="宋体"/>
        </w:rPr>
        <w:t xml:space="preserve"> </w:t>
      </w:r>
      <w:r>
        <w:rPr>
          <w:rFonts w:hint="eastAsia" w:ascii="宋体" w:hAnsi="宋体" w:eastAsia="宋体"/>
        </w:rPr>
        <w:t>在第一阶段对突变点敏感，GRU</w:t>
      </w:r>
      <w:r>
        <w:rPr>
          <w:rFonts w:ascii="宋体" w:hAnsi="宋体" w:eastAsia="宋体"/>
        </w:rPr>
        <w:t xml:space="preserve"> </w:t>
      </w:r>
      <w:r>
        <w:rPr>
          <w:rFonts w:hint="eastAsia" w:ascii="宋体" w:hAnsi="宋体" w:eastAsia="宋体"/>
        </w:rPr>
        <w:t>在第二阶段对缓慢漂移和周期性偏离有较强捕捉能力。</w:t>
      </w:r>
    </w:p>
    <w:p w14:paraId="069FBDFE">
      <w:pPr>
        <w:pStyle w:val="3"/>
        <w:spacing w:line="360" w:lineRule="auto"/>
        <w:ind w:firstLine="480" w:firstLineChars="200"/>
        <w:rPr>
          <w:rFonts w:ascii="宋体" w:hAnsi="宋体" w:eastAsia="宋体"/>
        </w:rPr>
      </w:pPr>
      <w:r>
        <w:rPr>
          <w:rFonts w:hint="eastAsia" w:ascii="宋体" w:hAnsi="宋体" w:eastAsia="宋体"/>
        </w:rPr>
        <w:t>深度学习模型使GPU训练速度提升了</w:t>
      </w:r>
      <w:r>
        <w:rPr>
          <w:rFonts w:ascii="宋体" w:hAnsi="宋体" w:eastAsia="宋体"/>
        </w:rPr>
        <w:t xml:space="preserve"> 10-21 </w:t>
      </w:r>
      <w:r>
        <w:rPr>
          <w:rFonts w:hint="eastAsia" w:ascii="宋体" w:hAnsi="宋体" w:eastAsia="宋体"/>
        </w:rPr>
        <w:t>倍，使得反覆</w:t>
      </w:r>
      <w:bookmarkStart w:id="30" w:name="OLE_LINK2"/>
      <w:bookmarkStart w:id="31" w:name="OLE_LINK1"/>
      <w:r>
        <w:rPr>
          <w:rFonts w:hint="eastAsia" w:ascii="宋体" w:hAnsi="宋体" w:eastAsia="宋体"/>
        </w:rPr>
        <w:t>调参</w:t>
      </w:r>
      <w:bookmarkEnd w:id="30"/>
      <w:bookmarkEnd w:id="31"/>
      <w:r>
        <w:rPr>
          <w:rFonts w:hint="eastAsia" w:ascii="宋体" w:hAnsi="宋体" w:eastAsia="宋体"/>
        </w:rPr>
        <w:t>和模型迭代成为可能。值得注意的是，KNN+GRU</w:t>
      </w:r>
      <w:r>
        <w:rPr>
          <w:rFonts w:ascii="宋体" w:hAnsi="宋体" w:eastAsia="宋体"/>
        </w:rPr>
        <w:t xml:space="preserve"> </w:t>
      </w:r>
      <w:r>
        <w:rPr>
          <w:rFonts w:hint="eastAsia" w:ascii="宋体" w:hAnsi="宋体" w:eastAsia="宋体"/>
        </w:rPr>
        <w:t>在</w:t>
      </w:r>
      <w:r>
        <w:rPr>
          <w:rFonts w:ascii="宋体" w:hAnsi="宋体" w:eastAsia="宋体"/>
        </w:rPr>
        <w:t xml:space="preserve"> GPU </w:t>
      </w:r>
      <w:r>
        <w:rPr>
          <w:rFonts w:hint="eastAsia" w:ascii="宋体" w:hAnsi="宋体" w:eastAsia="宋体"/>
        </w:rPr>
        <w:t>环境下各项指标均有提升,相比CPU版本AUC-ROC从</w:t>
      </w:r>
      <w:r>
        <w:rPr>
          <w:rFonts w:ascii="宋体" w:hAnsi="宋体" w:eastAsia="宋体"/>
        </w:rPr>
        <w:t xml:space="preserve"> 0.76 </w:t>
      </w:r>
      <w:r>
        <w:rPr>
          <w:rFonts w:hint="eastAsia" w:ascii="宋体" w:hAnsi="宋体" w:eastAsia="宋体"/>
        </w:rPr>
        <w:t>升至</w:t>
      </w:r>
      <w:r>
        <w:rPr>
          <w:rFonts w:ascii="宋体" w:hAnsi="宋体" w:eastAsia="宋体"/>
        </w:rPr>
        <w:t xml:space="preserve"> </w:t>
      </w:r>
      <w:r>
        <w:rPr>
          <w:rFonts w:hint="eastAsia" w:ascii="宋体" w:hAnsi="宋体" w:eastAsia="宋体"/>
        </w:rPr>
        <w:t>0.81，可能是因为更快的训练允许模型在相同</w:t>
      </w:r>
      <w:r>
        <w:rPr>
          <w:rFonts w:ascii="宋体" w:hAnsi="宋体" w:eastAsia="宋体"/>
        </w:rPr>
        <w:t xml:space="preserve"> epoch </w:t>
      </w:r>
      <w:r>
        <w:rPr>
          <w:rFonts w:hint="eastAsia" w:ascii="宋体" w:hAnsi="宋体" w:eastAsia="宋体"/>
        </w:rPr>
        <w:t>内达到更优的收敛状态。</w:t>
      </w:r>
    </w:p>
    <w:p w14:paraId="1D0C7E95">
      <w:pPr>
        <w:pStyle w:val="3"/>
        <w:spacing w:line="360" w:lineRule="auto"/>
        <w:ind w:firstLine="480" w:firstLineChars="200"/>
        <w:rPr>
          <w:rFonts w:ascii="宋体" w:hAnsi="宋体" w:eastAsia="宋体"/>
        </w:rPr>
      </w:pPr>
      <w:r>
        <w:rPr>
          <w:rFonts w:hint="eastAsia" w:ascii="宋体" w:hAnsi="宋体" w:eastAsia="宋体"/>
        </w:rPr>
        <w:t>在实际业务项目中，技术团队会根据业务复杂度选择模型，对于核心交易系统监控，可以接受较高误报率但不能遗漏真实故障，iForest+CNN-LSTM</w:t>
      </w:r>
      <w:r>
        <w:rPr>
          <w:rFonts w:ascii="宋体" w:hAnsi="宋体" w:eastAsia="宋体"/>
        </w:rPr>
        <w:t xml:space="preserve"> </w:t>
      </w:r>
      <w:r>
        <w:rPr>
          <w:rFonts w:hint="eastAsia" w:ascii="宋体" w:hAnsi="宋体" w:eastAsia="宋体"/>
        </w:rPr>
        <w:t>的高召回率更合适。对于一般运营监控场景，KNN+GRU</w:t>
      </w:r>
      <w:r>
        <w:rPr>
          <w:rFonts w:ascii="宋体" w:hAnsi="宋体" w:eastAsia="宋体"/>
        </w:rPr>
        <w:t xml:space="preserve"> </w:t>
      </w:r>
      <w:r>
        <w:rPr>
          <w:rFonts w:hint="eastAsia" w:ascii="宋体" w:hAnsi="宋体" w:eastAsia="宋体"/>
        </w:rPr>
        <w:t>的均衡性能在有限的人力下提供更高的告警质量。权重参数</w:t>
      </w:r>
      <w:r>
        <w:rPr>
          <w:rFonts w:ascii="宋体" w:hAnsi="宋体" w:eastAsia="宋体"/>
        </w:rPr>
        <w:t xml:space="preserve"> </w:t>
      </w:r>
      <w:r>
        <w:rPr>
          <w:rFonts w:hint="eastAsia" w:ascii="宋体" w:hAnsi="宋体" w:eastAsia="宋体"/>
        </w:rPr>
        <w:t>和</w:t>
      </w:r>
      <w:r>
        <w:rPr>
          <w:rFonts w:ascii="宋体" w:hAnsi="宋体" w:eastAsia="宋体"/>
        </w:rPr>
        <w:t xml:space="preserve"> </w:t>
      </w:r>
      <w:r>
        <w:rPr>
          <w:rFonts w:hint="eastAsia" w:ascii="宋体" w:hAnsi="宋体" w:eastAsia="宋体"/>
        </w:rPr>
        <w:t>需根据需要衡量历史数据动态调整。</w:t>
      </w:r>
    </w:p>
    <w:bookmarkEnd w:id="27"/>
    <w:p w14:paraId="28812A72">
      <w:pPr>
        <w:pStyle w:val="3"/>
        <w:spacing w:line="360" w:lineRule="auto"/>
        <w:rPr>
          <w:rFonts w:ascii="宋体" w:hAnsi="宋体" w:eastAsia="宋体"/>
          <w:b/>
          <w:sz w:val="28"/>
          <w:szCs w:val="28"/>
        </w:rPr>
      </w:pPr>
      <w:bookmarkStart w:id="32" w:name="异常检测监控平台搭建"/>
      <w:r>
        <w:rPr>
          <w:rFonts w:ascii="宋体" w:hAnsi="宋体" w:eastAsia="宋体"/>
          <w:b/>
          <w:sz w:val="28"/>
          <w:szCs w:val="28"/>
        </w:rPr>
        <w:t xml:space="preserve">4.4 </w:t>
      </w:r>
      <w:r>
        <w:rPr>
          <w:rFonts w:hint="eastAsia" w:ascii="宋体" w:hAnsi="宋体" w:eastAsia="宋体"/>
          <w:b/>
          <w:sz w:val="28"/>
          <w:szCs w:val="28"/>
        </w:rPr>
        <w:t>异常检测监控平台搭建</w:t>
      </w:r>
    </w:p>
    <w:p w14:paraId="7E460F15">
      <w:pPr>
        <w:pStyle w:val="29"/>
        <w:spacing w:line="360" w:lineRule="auto"/>
        <w:ind w:firstLine="480" w:firstLineChars="200"/>
        <w:rPr>
          <w:rFonts w:ascii="宋体" w:hAnsi="宋体" w:eastAsia="宋体"/>
        </w:rPr>
      </w:pPr>
      <w:r>
        <w:rPr>
          <w:rFonts w:hint="eastAsia" w:ascii="宋体" w:hAnsi="宋体" w:eastAsia="宋体"/>
        </w:rPr>
        <w:t>为支撑多层混合异常检测算法在生产环境的落地应用，需要构建一个端到端的异常监控平台。该平台采用Open</w:t>
      </w:r>
      <w:r>
        <w:rPr>
          <w:rFonts w:ascii="宋体" w:hAnsi="宋体" w:eastAsia="宋体"/>
        </w:rPr>
        <w:t xml:space="preserve"> </w:t>
      </w:r>
      <w:r>
        <w:rPr>
          <w:rFonts w:hint="eastAsia" w:ascii="宋体" w:hAnsi="宋体" w:eastAsia="宋体"/>
        </w:rPr>
        <w:t>Telemetry作为统一的数据采集规范，将分布式系统中的追踪、日志和指标数据标准化提取</w:t>
      </w:r>
      <w:r>
        <w:rPr>
          <w:rFonts w:ascii="宋体" w:hAnsi="宋体" w:eastAsia="宋体"/>
          <w:vertAlign w:val="superscript"/>
        </w:rPr>
        <w:t>[</w:t>
      </w:r>
      <w:r>
        <w:rPr>
          <w:rFonts w:hint="eastAsia" w:ascii="宋体" w:hAnsi="宋体" w:eastAsia="宋体"/>
          <w:vertAlign w:val="superscript"/>
        </w:rPr>
        <w:t>9</w:t>
      </w:r>
      <w:r>
        <w:rPr>
          <w:rFonts w:ascii="宋体" w:hAnsi="宋体" w:eastAsia="宋体"/>
          <w:vertAlign w:val="superscript"/>
        </w:rPr>
        <w:t>]</w:t>
      </w:r>
      <w:r>
        <w:rPr>
          <w:rFonts w:hint="eastAsia" w:ascii="宋体" w:hAnsi="宋体" w:eastAsia="宋体"/>
        </w:rPr>
        <w:t>。Open</w:t>
      </w:r>
      <w:r>
        <w:rPr>
          <w:rFonts w:ascii="宋体" w:hAnsi="宋体" w:eastAsia="宋体"/>
        </w:rPr>
        <w:t xml:space="preserve"> </w:t>
      </w:r>
      <w:r>
        <w:rPr>
          <w:rFonts w:hint="eastAsia" w:ascii="宋体" w:hAnsi="宋体" w:eastAsia="宋体"/>
        </w:rPr>
        <w:t>Telemetry提供了与语言和厂商无关的可观测性框架，能够自动捕获应用程度的运行行为，并将其转换为结构化的运营数据，通过在各个服务节点部署Open</w:t>
      </w:r>
      <w:r>
        <w:rPr>
          <w:rFonts w:ascii="宋体" w:hAnsi="宋体" w:eastAsia="宋体"/>
        </w:rPr>
        <w:t xml:space="preserve"> </w:t>
      </w:r>
      <w:r>
        <w:rPr>
          <w:rFonts w:hint="eastAsia" w:ascii="宋体" w:hAnsi="宋体" w:eastAsia="宋体"/>
        </w:rPr>
        <w:t>Telemetry</w:t>
      </w:r>
      <w:r>
        <w:rPr>
          <w:rFonts w:ascii="宋体" w:hAnsi="宋体" w:eastAsia="宋体"/>
        </w:rPr>
        <w:t xml:space="preserve"> </w:t>
      </w:r>
      <w:r>
        <w:rPr>
          <w:rFonts w:hint="eastAsia" w:ascii="宋体" w:hAnsi="宋体" w:eastAsia="宋体"/>
        </w:rPr>
        <w:t>Collector，系统可以实时收集包括请求延迟、错误率、资源利用率等在内的多维运营指标，这些指标经过标准化处理后形成了本文所使用的15维特征向量。数据采集完成后，所有运营信息汇入Kafka消息队列中同时实现解耦和缓冲。异常检测模块从Kafka消费实时数据流进行检测和报警。</w:t>
      </w:r>
    </w:p>
    <w:p w14:paraId="60BD9742">
      <w:pPr>
        <w:pStyle w:val="3"/>
        <w:spacing w:line="360" w:lineRule="auto"/>
        <w:ind w:firstLine="480" w:firstLineChars="200"/>
        <w:rPr>
          <w:rFonts w:ascii="宋体" w:hAnsi="宋体" w:eastAsia="宋体"/>
        </w:rPr>
      </w:pPr>
      <w:r>
        <w:rPr>
          <w:rFonts w:hint="eastAsia" w:ascii="宋体" w:hAnsi="宋体" w:eastAsia="宋体"/>
        </w:rPr>
        <w:t>所有经过检测的原始数据和异常评分最终持久化到数据湖（Data</w:t>
      </w:r>
      <w:r>
        <w:rPr>
          <w:rFonts w:ascii="宋体" w:hAnsi="宋体" w:eastAsia="宋体"/>
        </w:rPr>
        <w:t xml:space="preserve"> </w:t>
      </w:r>
      <w:r>
        <w:rPr>
          <w:rFonts w:hint="eastAsia" w:ascii="宋体" w:hAnsi="宋体" w:eastAsia="宋体"/>
        </w:rPr>
        <w:t>Lake）。数据湖不仅为运维团队提供了历史异常的回溯查询能力，还支持数据科学团队进行更复杂的离线分析。数据湖中的结构化数据可以直接对接商业智能工具，生成异常趋势报表、算法性能监控面板等可视化输出，为管理层的决策提供数据支撑。</w:t>
      </w:r>
    </w:p>
    <w:p w14:paraId="52B35584">
      <w:pPr>
        <w:pStyle w:val="3"/>
        <w:spacing w:line="360" w:lineRule="auto"/>
        <w:ind w:firstLine="480" w:firstLineChars="200"/>
        <w:rPr>
          <w:rFonts w:ascii="宋体" w:hAnsi="宋体" w:eastAsia="宋体"/>
        </w:rPr>
      </w:pPr>
    </w:p>
    <w:bookmarkEnd w:id="18"/>
    <w:bookmarkEnd w:id="32"/>
    <w:p w14:paraId="646097EA">
      <w:pPr>
        <w:pStyle w:val="3"/>
        <w:rPr>
          <w:rFonts w:ascii="宋体" w:hAnsi="宋体" w:eastAsia="宋体"/>
          <w:b/>
          <w:sz w:val="30"/>
          <w:szCs w:val="30"/>
        </w:rPr>
      </w:pPr>
      <w:bookmarkStart w:id="33" w:name="结论conclusion"/>
      <w:r>
        <w:rPr>
          <w:rFonts w:ascii="宋体" w:hAnsi="宋体" w:eastAsia="宋体"/>
          <w:b/>
          <w:sz w:val="30"/>
          <w:szCs w:val="30"/>
        </w:rPr>
        <w:t xml:space="preserve">5 </w:t>
      </w:r>
      <w:r>
        <w:rPr>
          <w:rFonts w:hint="eastAsia" w:ascii="宋体" w:hAnsi="宋体" w:eastAsia="宋体"/>
          <w:b/>
          <w:sz w:val="30"/>
          <w:szCs w:val="30"/>
        </w:rPr>
        <w:t>结论(Conclusion)</w:t>
      </w:r>
    </w:p>
    <w:p w14:paraId="68B0DD26">
      <w:pPr>
        <w:pStyle w:val="29"/>
        <w:spacing w:line="360" w:lineRule="auto"/>
        <w:ind w:firstLine="480" w:firstLineChars="200"/>
        <w:rPr>
          <w:rFonts w:ascii="宋体" w:hAnsi="宋体" w:eastAsia="宋体"/>
        </w:rPr>
      </w:pPr>
      <w:r>
        <w:rPr>
          <w:rFonts w:hint="eastAsia" w:ascii="宋体" w:hAnsi="宋体" w:eastAsia="宋体"/>
        </w:rPr>
        <w:t>本文针对金融运营数据的异常检测需求，系统性研究了多层混合异常检测算法在多维时间序列上的适用性和性能表现。这个算法利用了不同算法的固有特点：简单统计方法提供高效率和基本可解释性，而深度学习混合模型则专注于复杂和上下文相关的异常模式。通过融合它们的输出，可以创建一个更加鲁棒和全面的检测系统。</w:t>
      </w:r>
    </w:p>
    <w:p w14:paraId="6420DF48">
      <w:pPr>
        <w:pStyle w:val="3"/>
        <w:spacing w:line="360" w:lineRule="auto"/>
        <w:ind w:firstLine="480" w:firstLineChars="200"/>
        <w:rPr>
          <w:rFonts w:ascii="宋体" w:hAnsi="宋体" w:eastAsia="宋体"/>
        </w:rPr>
      </w:pPr>
      <w:r>
        <w:rPr>
          <w:rFonts w:hint="eastAsia" w:ascii="宋体" w:hAnsi="宋体" w:eastAsia="宋体"/>
        </w:rPr>
        <w:t>在工程实践层面，本文设计了基于open</w:t>
      </w:r>
      <w:r>
        <w:rPr>
          <w:rFonts w:ascii="宋体" w:hAnsi="宋体" w:eastAsia="宋体"/>
        </w:rPr>
        <w:t xml:space="preserve"> </w:t>
      </w:r>
      <w:r>
        <w:rPr>
          <w:rFonts w:hint="eastAsia" w:ascii="宋体" w:hAnsi="宋体" w:eastAsia="宋体"/>
        </w:rPr>
        <w:t>telemetry和Kafka事件驱动的分布式监控平台架构，通过消息驱动机制实现了数据采集，流式异常检测和数据湖存储的完整解决方案。研究成果不仅为金融运营数据的实时异常监控提供了理论基础和技术支撑，也为其他业务领域的多维时间序列异常检测提供了借鉴。</w:t>
      </w:r>
    </w:p>
    <w:p w14:paraId="1ED5B39E">
      <w:pPr>
        <w:pStyle w:val="3"/>
        <w:spacing w:line="360" w:lineRule="auto"/>
        <w:ind w:firstLine="480" w:firstLineChars="200"/>
        <w:rPr>
          <w:rFonts w:ascii="宋体" w:hAnsi="宋体" w:eastAsia="宋体"/>
        </w:rPr>
      </w:pPr>
    </w:p>
    <w:bookmarkEnd w:id="33"/>
    <w:p w14:paraId="5C22BD3F">
      <w:pPr>
        <w:pStyle w:val="3"/>
        <w:rPr>
          <w:rFonts w:ascii="宋体" w:hAnsi="宋体" w:eastAsia="宋体"/>
          <w:b/>
          <w:sz w:val="28"/>
          <w:szCs w:val="28"/>
        </w:rPr>
      </w:pPr>
      <w:bookmarkStart w:id="34" w:name="参考文献references"/>
      <w:r>
        <w:rPr>
          <w:rFonts w:hint="eastAsia" w:ascii="宋体" w:hAnsi="宋体" w:eastAsia="宋体"/>
          <w:b/>
          <w:sz w:val="28"/>
          <w:szCs w:val="28"/>
        </w:rPr>
        <w:t>参考文献(References)</w:t>
      </w:r>
    </w:p>
    <w:p w14:paraId="3BC30FE6">
      <w:pPr>
        <w:pStyle w:val="29"/>
        <w:spacing w:line="360" w:lineRule="auto"/>
        <w:ind w:left="720" w:hanging="720"/>
        <w:jc w:val="both"/>
        <w:rPr>
          <w:rFonts w:ascii="宋体" w:hAnsi="宋体" w:eastAsia="宋体" w:cs="Times New Roman"/>
          <w:bCs/>
        </w:rPr>
      </w:pPr>
      <w:bookmarkStart w:id="35" w:name="OLE_LINK46"/>
      <w:bookmarkStart w:id="36" w:name="OLE_LINK45"/>
      <w:r>
        <w:rPr>
          <w:rFonts w:ascii="宋体" w:hAnsi="宋体" w:eastAsia="宋体" w:cs="Times New Roman"/>
        </w:rPr>
        <w:t>[1]</w:t>
      </w:r>
      <w:r>
        <w:rPr>
          <w:rFonts w:ascii="宋体" w:hAnsi="宋体" w:eastAsia="宋体" w:cs="Times New Roman"/>
          <w:bCs/>
        </w:rPr>
        <w:t xml:space="preserve"> </w:t>
      </w:r>
      <w:bookmarkEnd w:id="35"/>
      <w:bookmarkEnd w:id="36"/>
      <w:r>
        <w:rPr>
          <w:rFonts w:ascii="宋体" w:hAnsi="宋体" w:eastAsia="宋体" w:cs="Times New Roman"/>
          <w:bCs/>
        </w:rPr>
        <w:tab/>
      </w:r>
      <w:r>
        <w:rPr>
          <w:rFonts w:ascii="宋体" w:hAnsi="宋体" w:eastAsia="宋体" w:cs="Times New Roman"/>
          <w:bCs/>
        </w:rPr>
        <w:t>Ponemon Institute.</w:t>
      </w:r>
      <w:r>
        <w:rPr>
          <w:rFonts w:ascii="宋体" w:hAnsi="宋体" w:eastAsia="宋体" w:cs="Times New Roman"/>
        </w:rPr>
        <w:t>Cost of Data Center Outages</w:t>
      </w:r>
      <w:r>
        <w:rPr>
          <w:rFonts w:ascii="宋体" w:hAnsi="宋体" w:eastAsia="宋体" w:cs="Times New Roman"/>
          <w:bCs/>
        </w:rPr>
        <w:t>[DB/OL].(2025-12-03)[2016-01-01].</w:t>
      </w:r>
      <w:r>
        <w:rPr>
          <w:rFonts w:ascii="宋体" w:hAnsi="宋体" w:eastAsia="宋体" w:cs="Times New Roman"/>
        </w:rPr>
        <w:t>https://www.vertiv.com/globalassets/documents/reports/2016-cost-of-data-center-outages-11-11_51190_1.pd</w:t>
      </w:r>
      <w:r>
        <w:rPr>
          <w:rFonts w:ascii="宋体" w:hAnsi="宋体" w:eastAsia="宋体" w:cs="Times New Roman"/>
        </w:rPr>
        <w:commentReference w:id="21"/>
      </w:r>
      <w:r>
        <w:rPr>
          <w:rFonts w:ascii="宋体" w:hAnsi="宋体" w:eastAsia="宋体" w:cs="Times New Roman"/>
        </w:rPr>
        <w:t>f</w:t>
      </w:r>
    </w:p>
    <w:p w14:paraId="4545C79E">
      <w:pPr>
        <w:pStyle w:val="3"/>
        <w:spacing w:line="360" w:lineRule="auto"/>
        <w:ind w:left="720" w:hanging="720"/>
        <w:jc w:val="both"/>
        <w:rPr>
          <w:rFonts w:ascii="宋体" w:hAnsi="宋体" w:eastAsia="宋体" w:cs="Times New Roman"/>
        </w:rPr>
      </w:pPr>
      <w:r>
        <w:rPr>
          <w:rFonts w:ascii="宋体" w:hAnsi="宋体" w:eastAsia="宋体" w:cs="Times New Roman"/>
        </w:rPr>
        <w:t xml:space="preserve">[2] </w:t>
      </w:r>
      <w:r>
        <w:rPr>
          <w:rFonts w:ascii="宋体" w:hAnsi="宋体" w:eastAsia="宋体" w:cs="Times New Roman"/>
        </w:rPr>
        <w:tab/>
      </w:r>
      <w:r>
        <w:rPr>
          <w:rFonts w:ascii="宋体" w:hAnsi="宋体" w:eastAsia="宋体" w:cs="Times New Roman"/>
        </w:rPr>
        <w:t>Chandola V, Banerjee A, Kumar V. Anomaly detection: a survey</w:t>
      </w:r>
      <w:r>
        <w:rPr>
          <w:rFonts w:ascii="宋体" w:hAnsi="宋体" w:eastAsia="宋体" w:cs="Times New Roman"/>
          <w:b/>
          <w:bCs/>
        </w:rPr>
        <w:t>[J].</w:t>
      </w:r>
      <w:r>
        <w:rPr>
          <w:rFonts w:ascii="宋体" w:hAnsi="宋体" w:eastAsia="宋体" w:cs="Times New Roman"/>
        </w:rPr>
        <w:t xml:space="preserve"> ACM </w:t>
      </w:r>
      <w:r>
        <w:rPr>
          <w:rFonts w:ascii="宋体" w:hAnsi="宋体" w:eastAsia="宋体" w:cs="Times New Roman"/>
          <w:b/>
          <w:bCs/>
        </w:rPr>
        <w:t>c</w:t>
      </w:r>
      <w:r>
        <w:rPr>
          <w:rFonts w:ascii="宋体" w:hAnsi="宋体" w:eastAsia="宋体" w:cs="Times New Roman"/>
        </w:rPr>
        <w:t xml:space="preserve">omputing </w:t>
      </w:r>
      <w:r>
        <w:rPr>
          <w:rFonts w:ascii="宋体" w:hAnsi="宋体" w:eastAsia="宋体" w:cs="Times New Roman"/>
          <w:b/>
          <w:bCs/>
        </w:rPr>
        <w:t>s</w:t>
      </w:r>
      <w:r>
        <w:rPr>
          <w:rFonts w:ascii="宋体" w:hAnsi="宋体" w:eastAsia="宋体" w:cs="Times New Roman"/>
        </w:rPr>
        <w:t>urv</w:t>
      </w:r>
      <w:r>
        <w:rPr>
          <w:rFonts w:ascii="宋体" w:hAnsi="宋体" w:eastAsia="宋体" w:cs="Times New Roman"/>
          <w:b/>
          <w:bCs/>
        </w:rPr>
        <w:t>y</w:t>
      </w:r>
      <w:r>
        <w:rPr>
          <w:rFonts w:ascii="宋体" w:hAnsi="宋体" w:eastAsia="宋体" w:cs="Times New Roman"/>
        </w:rPr>
        <w:t>, 2009, 41</w:t>
      </w:r>
      <w:r>
        <w:rPr>
          <w:rFonts w:ascii="宋体" w:hAnsi="宋体" w:eastAsia="宋体" w:cs="Times New Roman"/>
          <w:b/>
          <w:bCs/>
        </w:rPr>
        <w:t>（3）</w:t>
      </w:r>
      <w:r>
        <w:rPr>
          <w:rFonts w:ascii="宋体" w:hAnsi="宋体" w:eastAsia="宋体" w:cs="Times New Roman"/>
        </w:rPr>
        <w:t>: 1–58</w:t>
      </w:r>
      <w:r>
        <w:rPr>
          <w:rFonts w:ascii="宋体" w:hAnsi="宋体" w:eastAsia="宋体" w:cs="Times New Roman"/>
          <w:b/>
          <w:bCs/>
        </w:rPr>
        <w:t>.</w:t>
      </w:r>
      <w:r>
        <w:rPr>
          <w:rFonts w:ascii="宋体" w:hAnsi="宋体" w:eastAsia="宋体" w:cs="Times New Roman"/>
        </w:rPr>
        <w:commentReference w:id="22"/>
      </w:r>
    </w:p>
    <w:p w14:paraId="2107C2CE">
      <w:pPr>
        <w:spacing w:line="360" w:lineRule="auto"/>
        <w:ind w:left="716" w:hanging="716"/>
        <w:jc w:val="both"/>
        <w:rPr>
          <w:rFonts w:ascii="宋体" w:hAnsi="宋体" w:eastAsia="宋体"/>
        </w:rPr>
      </w:pPr>
      <w:r>
        <w:rPr>
          <w:rFonts w:ascii="宋体" w:hAnsi="宋体" w:eastAsia="宋体"/>
        </w:rPr>
        <w:t>[3]</w:t>
      </w:r>
      <w:r>
        <w:rPr>
          <w:rFonts w:ascii="宋体" w:hAnsi="宋体" w:eastAsia="宋体"/>
        </w:rPr>
        <w:tab/>
      </w:r>
      <w:r>
        <w:rPr>
          <w:rFonts w:hint="eastAsia" w:ascii="宋体" w:hAnsi="宋体" w:eastAsia="宋体"/>
        </w:rPr>
        <w:t>付钰菲,汪明艳.深度学习在金融领域的应用研究综述[J].软件工程,2022,25(3):1-4.</w:t>
      </w:r>
    </w:p>
    <w:p w14:paraId="41C91A79">
      <w:pPr>
        <w:spacing w:line="360" w:lineRule="auto"/>
        <w:ind w:left="720" w:hanging="720"/>
        <w:jc w:val="both"/>
        <w:rPr>
          <w:rFonts w:ascii="宋体" w:hAnsi="宋体" w:eastAsia="宋体"/>
        </w:rPr>
      </w:pPr>
      <w:r>
        <w:rPr>
          <w:rFonts w:ascii="宋体" w:hAnsi="宋体" w:eastAsia="宋体"/>
        </w:rPr>
        <w:t>[4]</w:t>
      </w:r>
      <w:r>
        <w:rPr>
          <w:rFonts w:ascii="宋体" w:hAnsi="宋体" w:eastAsia="宋体"/>
        </w:rPr>
        <w:tab/>
      </w:r>
      <w:r>
        <w:rPr>
          <w:rFonts w:ascii="宋体" w:hAnsi="宋体" w:eastAsia="宋体"/>
        </w:rPr>
        <w:t xml:space="preserve">Song, X.P., Hu, Z.H., Du, J.G., et al. (2014) Application of Machine Learning Methods to Risk Assessment of Financial Statement Fraud: Evidence from China. Journal of Forecasting, 33, 611-626.  </w:t>
      </w:r>
    </w:p>
    <w:p w14:paraId="5B09724A">
      <w:pPr>
        <w:spacing w:line="360" w:lineRule="auto"/>
        <w:ind w:left="720" w:hanging="720"/>
        <w:jc w:val="both"/>
        <w:rPr>
          <w:rFonts w:ascii="宋体" w:hAnsi="宋体" w:eastAsia="宋体"/>
        </w:rPr>
      </w:pPr>
      <w:bookmarkStart w:id="37" w:name="OLE_LINK36"/>
      <w:bookmarkStart w:id="38" w:name="OLE_LINK37"/>
      <w:r>
        <w:rPr>
          <w:rFonts w:ascii="宋体" w:hAnsi="宋体" w:eastAsia="宋体"/>
        </w:rPr>
        <w:t>[5]</w:t>
      </w:r>
      <w:bookmarkEnd w:id="37"/>
      <w:bookmarkEnd w:id="38"/>
      <w:r>
        <w:rPr>
          <w:rFonts w:ascii="宋体" w:hAnsi="宋体" w:eastAsia="宋体"/>
        </w:rPr>
        <w:tab/>
      </w:r>
      <w:r>
        <w:rPr>
          <w:rFonts w:ascii="宋体" w:hAnsi="宋体" w:eastAsia="宋体"/>
        </w:rPr>
        <w:t xml:space="preserve">Hajek, P. and Henriques, R. (2017) Mining Corporate Annual Reports for Intelligent Detection of Financial Statement Fraud—A Comparative Study of Machine Learning Methods. Knowledge-Based Systems, 128, 139-152. </w:t>
      </w:r>
    </w:p>
    <w:p w14:paraId="14727506">
      <w:pPr>
        <w:spacing w:line="360" w:lineRule="auto"/>
        <w:ind w:left="716" w:hanging="716"/>
        <w:jc w:val="both"/>
        <w:rPr>
          <w:rFonts w:ascii="宋体" w:hAnsi="宋体" w:eastAsia="宋体"/>
        </w:rPr>
      </w:pPr>
      <w:r>
        <w:rPr>
          <w:rFonts w:ascii="宋体" w:hAnsi="宋体" w:eastAsia="宋体"/>
        </w:rPr>
        <w:t>[6]</w:t>
      </w:r>
      <w:r>
        <w:rPr>
          <w:rFonts w:ascii="宋体" w:hAnsi="宋体" w:eastAsia="宋体"/>
        </w:rPr>
        <w:tab/>
      </w:r>
      <w:r>
        <w:rPr>
          <w:rFonts w:hint="eastAsia" w:ascii="宋体" w:hAnsi="宋体" w:eastAsia="宋体"/>
        </w:rPr>
        <w:t>邵世宽, 张宏钧, 肖钦锋, 王晶, 刘晓辉, 林友芳. 基于无监督对抗学习的时间序列异常检测. 南京大学学报（自然科学）[J], 2021, 57(6): 1042-1052 doi:10.13232/j.cnki.jnju.2021.06.013</w:t>
      </w:r>
    </w:p>
    <w:bookmarkEnd w:id="34"/>
    <w:p w14:paraId="0DCF12E5">
      <w:pPr>
        <w:spacing w:line="360" w:lineRule="auto"/>
        <w:ind w:left="716" w:hanging="716"/>
        <w:jc w:val="both"/>
        <w:rPr>
          <w:rFonts w:ascii="宋体" w:hAnsi="宋体" w:eastAsia="宋体"/>
        </w:rPr>
      </w:pPr>
      <w:r>
        <w:rPr>
          <w:rFonts w:ascii="宋体" w:hAnsi="宋体" w:eastAsia="宋体"/>
        </w:rPr>
        <w:t xml:space="preserve">[7] </w:t>
      </w:r>
      <w:r>
        <w:rPr>
          <w:rFonts w:ascii="宋体" w:hAnsi="宋体" w:eastAsia="宋体"/>
        </w:rPr>
        <w:tab/>
      </w:r>
      <w:r>
        <w:rPr>
          <w:rFonts w:ascii="宋体" w:hAnsi="宋体" w:eastAsia="宋体"/>
        </w:rPr>
        <w:t>毛远宏，孙琛琛，徐鲁豫，等．基于深度学习的时间序列预测方法综述[J]. 微电子学与计算机，2023，40（4）：8-17. DOI: 10.19304/J.ISSN1000-7180.2022.0725</w:t>
      </w:r>
    </w:p>
    <w:p w14:paraId="74C023CE">
      <w:pPr>
        <w:spacing w:line="360" w:lineRule="auto"/>
        <w:ind w:left="716" w:hanging="716"/>
        <w:jc w:val="both"/>
        <w:rPr>
          <w:rFonts w:ascii="宋体" w:hAnsi="宋体" w:eastAsia="宋体"/>
        </w:rPr>
      </w:pPr>
      <w:r>
        <w:rPr>
          <w:rFonts w:ascii="宋体" w:hAnsi="宋体" w:eastAsia="宋体"/>
        </w:rPr>
        <w:t>[8]</w:t>
      </w:r>
      <w:r>
        <w:rPr>
          <w:rFonts w:ascii="宋体" w:hAnsi="宋体" w:eastAsia="宋体"/>
        </w:rPr>
        <w:tab/>
      </w:r>
      <w:r>
        <w:rPr>
          <w:rFonts w:ascii="宋体" w:hAnsi="宋体" w:eastAsia="宋体"/>
        </w:rPr>
        <w:t>次必聪, 张品一. 基于ARIMA-LSTM模型的金融时间序列预测[J]. 统计与决策,2022,38(11): 145-149. DOI: 10.13546/j.cnki.tjyjc.2022.11.029.</w:t>
      </w:r>
    </w:p>
    <w:p w14:paraId="613BC411">
      <w:pPr>
        <w:spacing w:line="360" w:lineRule="auto"/>
        <w:ind w:left="716" w:hanging="716"/>
        <w:jc w:val="both"/>
        <w:rPr>
          <w:rFonts w:ascii="宋体" w:hAnsi="宋体" w:eastAsia="宋体"/>
        </w:rPr>
      </w:pPr>
      <w:r>
        <w:rPr>
          <w:rFonts w:ascii="宋体" w:hAnsi="宋体" w:eastAsia="宋体"/>
        </w:rPr>
        <w:t>[</w:t>
      </w:r>
      <w:r>
        <w:rPr>
          <w:rFonts w:hint="eastAsia" w:ascii="宋体" w:hAnsi="宋体" w:eastAsia="宋体"/>
        </w:rPr>
        <w:t>9</w:t>
      </w:r>
      <w:r>
        <w:rPr>
          <w:rFonts w:ascii="宋体" w:hAnsi="宋体" w:eastAsia="宋体"/>
        </w:rPr>
        <w:t>]</w:t>
      </w:r>
      <w:r>
        <w:rPr>
          <w:rFonts w:ascii="宋体" w:hAnsi="宋体" w:eastAsia="宋体"/>
        </w:rPr>
        <w:tab/>
      </w:r>
      <w:r>
        <w:rPr>
          <w:rFonts w:ascii="宋体" w:hAnsi="宋体" w:eastAsia="宋体"/>
        </w:rPr>
        <w:t>罗健飞, 吴飞, 邢亚东, 张卫庆, 夏代江, 吴仲城. 智能终端海量数据采集与实时分析设计和应用研究[J]. 计算机科学与应用, 2021, 11(6): 1689-1697.</w:t>
      </w:r>
      <w:bookmarkEnd w:id="0"/>
      <w:bookmarkEnd w:id="1"/>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ecilia" w:date="2025-12-03T10:20:00Z" w:initials="">
    <w:p w14:paraId="629CC153">
      <w:pPr>
        <w:pStyle w:val="13"/>
      </w:pPr>
      <w:r>
        <w:rPr>
          <w:rFonts w:hint="eastAsia"/>
        </w:rPr>
        <w:t>作者你好，文章需要耐心修改，</w:t>
      </w:r>
      <w:r>
        <w:rPr>
          <w:rFonts w:hint="eastAsia"/>
          <w:b/>
          <w:bCs/>
          <w:color w:val="215F9A" w:themeColor="text2" w:themeTint="BF"/>
          <w14:textFill>
            <w14:solidFill>
              <w14:schemeClr w14:val="tx2">
                <w14:lumMod w14:val="75000"/>
                <w14:lumOff w14:val="25000"/>
              </w14:schemeClr>
            </w14:solidFill>
          </w14:textFill>
        </w:rPr>
        <w:t>具体出现问题的地方在其对应位置处有批注</w:t>
      </w:r>
      <w:r>
        <w:rPr>
          <w:rFonts w:hint="eastAsia"/>
        </w:rPr>
        <w:t>，请参照批注修改。主要问题如下：</w:t>
      </w:r>
    </w:p>
    <w:p w14:paraId="7EF201EF">
      <w:pPr>
        <w:pStyle w:val="13"/>
        <w:rPr>
          <w:b/>
          <w:bCs/>
          <w:color w:val="215F9A" w:themeColor="text2" w:themeTint="BF"/>
          <w14:textFill>
            <w14:solidFill>
              <w14:schemeClr w14:val="tx2">
                <w14:lumMod w14:val="75000"/>
                <w14:lumOff w14:val="25000"/>
              </w14:schemeClr>
            </w14:solidFill>
          </w14:textFill>
        </w:rPr>
      </w:pPr>
      <w:r>
        <w:rPr>
          <w:rFonts w:hint="eastAsia"/>
          <w:color w:val="FF0000"/>
        </w:rPr>
        <w:t>1.</w:t>
      </w:r>
      <w:bookmarkStart w:id="39" w:name="OLE_LINK29"/>
      <w:bookmarkStart w:id="40" w:name="OLE_LINK28"/>
      <w:r>
        <w:rPr>
          <w:rFonts w:hint="eastAsia"/>
          <w:color w:val="FF0000"/>
        </w:rPr>
        <w:t>摘要是文章的灵魂，需要在摘要中介绍文章使用的主要方法、获取的数据结果、结论。</w:t>
      </w:r>
      <w:r>
        <w:rPr>
          <w:rFonts w:hint="eastAsia"/>
          <w:b/>
          <w:bCs/>
          <w:color w:val="FF0000"/>
        </w:rPr>
        <w:t>而这个摘要缺少具体方法、结果（数据类型的）、结论（应用及展望</w:t>
      </w:r>
      <w:r>
        <w:rPr>
          <w:rFonts w:hint="eastAsia"/>
          <w:color w:val="FF0000"/>
        </w:rPr>
        <w:t>）</w:t>
      </w:r>
      <w:bookmarkEnd w:id="39"/>
      <w:bookmarkEnd w:id="40"/>
      <w:r>
        <w:rPr>
          <w:rFonts w:hint="eastAsia"/>
          <w:color w:val="FF0000"/>
        </w:rPr>
        <w:t>。</w:t>
      </w:r>
      <w:bookmarkStart w:id="41" w:name="OLE_LINK31"/>
      <w:bookmarkStart w:id="42" w:name="OLE_LINK30"/>
      <w:r>
        <w:rPr>
          <w:rFonts w:hint="eastAsia"/>
          <w:b/>
          <w:bCs/>
          <w:color w:val="FF0000"/>
        </w:rPr>
        <w:t>摘要关键词再补充1个。</w:t>
      </w:r>
      <w:bookmarkEnd w:id="41"/>
      <w:bookmarkEnd w:id="42"/>
    </w:p>
    <w:p w14:paraId="4486064C">
      <w:pPr>
        <w:pStyle w:val="13"/>
        <w:rPr>
          <w:b/>
          <w:bCs/>
          <w:color w:val="215F9A" w:themeColor="text2" w:themeTint="BF"/>
          <w14:textFill>
            <w14:solidFill>
              <w14:schemeClr w14:val="tx2">
                <w14:lumMod w14:val="75000"/>
                <w14:lumOff w14:val="25000"/>
              </w14:schemeClr>
            </w14:solidFill>
          </w14:textFill>
        </w:rPr>
      </w:pPr>
      <w:r>
        <w:rPr>
          <w:rFonts w:hint="eastAsia"/>
        </w:rPr>
        <w:t>2.文章的排版问题。标题是宋体加黑小3号，名字和单位宋体加黑小四号字。</w:t>
      </w:r>
      <w:r>
        <w:rPr>
          <w:rFonts w:hint="eastAsia"/>
          <w:b/>
          <w:bCs/>
          <w:color w:val="215F9A" w:themeColor="text2" w:themeTint="BF"/>
          <w14:textFill>
            <w14:solidFill>
              <w14:schemeClr w14:val="tx2">
                <w14:lumMod w14:val="75000"/>
                <w14:lumOff w14:val="25000"/>
              </w14:schemeClr>
            </w14:solidFill>
          </w14:textFill>
        </w:rPr>
        <w:t>全文用宋体正文，小四号字，行距1.25倍。英文用Times New Roman。两端对齐。</w:t>
      </w:r>
    </w:p>
    <w:p w14:paraId="6A0D4E59">
      <w:pPr>
        <w:pStyle w:val="13"/>
      </w:pPr>
      <w:r>
        <w:rPr>
          <w:rFonts w:hint="eastAsia"/>
        </w:rPr>
        <w:t>3.标题、图、表要有英文翻译；</w:t>
      </w:r>
    </w:p>
    <w:p w14:paraId="0339992A">
      <w:pPr>
        <w:pStyle w:val="13"/>
      </w:pPr>
      <w:r>
        <w:rPr>
          <w:rFonts w:hint="eastAsia"/>
          <w:color w:val="FF0000"/>
        </w:rPr>
        <w:t>4.图绘制的不符合标准，具体意见见图相应位置</w:t>
      </w:r>
      <w:r>
        <w:rPr>
          <w:rFonts w:hint="eastAsia"/>
        </w:rPr>
        <w:t>；</w:t>
      </w:r>
    </w:p>
    <w:p w14:paraId="68B6305F">
      <w:pPr>
        <w:pStyle w:val="13"/>
      </w:pPr>
      <w:r>
        <w:rPr>
          <w:rFonts w:hint="eastAsia"/>
        </w:rPr>
        <w:t>5.序号问题：图和公式，参考文献都要有序号；</w:t>
      </w:r>
    </w:p>
    <w:p w14:paraId="6DA6F42A">
      <w:pPr>
        <w:pStyle w:val="13"/>
        <w:rPr>
          <w:rFonts w:ascii="微软雅黑" w:hAnsi="微软雅黑" w:eastAsia="微软雅黑" w:cs="微软雅黑"/>
        </w:rPr>
      </w:pPr>
      <w:r>
        <w:rPr>
          <w:rFonts w:hint="eastAsia"/>
        </w:rPr>
        <w:t>6.书写问题，序号用（1）（2）等，不要用</w:t>
      </w:r>
      <w:r>
        <w:rPr>
          <w:rFonts w:hint="eastAsia" w:ascii="宋体" w:hAnsi="宋体" w:eastAsia="宋体" w:cs="宋体"/>
        </w:rPr>
        <w:t>·</w:t>
      </w:r>
      <w:r>
        <w:rPr>
          <w:rFonts w:hint="eastAsia" w:ascii="微软雅黑" w:hAnsi="微软雅黑" w:eastAsia="微软雅黑" w:cs="微软雅黑"/>
        </w:rPr>
        <w:t>。</w:t>
      </w:r>
    </w:p>
    <w:p w14:paraId="21A35C1B">
      <w:pPr>
        <w:pStyle w:val="13"/>
        <w:rPr>
          <w:b/>
          <w:bCs/>
          <w:color w:val="215F9A" w:themeColor="text2" w:themeTint="BF"/>
          <w14:textFill>
            <w14:solidFill>
              <w14:schemeClr w14:val="tx2">
                <w14:lumMod w14:val="75000"/>
                <w14:lumOff w14:val="25000"/>
              </w14:schemeClr>
            </w14:solidFill>
          </w14:textFill>
        </w:rPr>
      </w:pPr>
      <w:r>
        <w:rPr>
          <w:rFonts w:hint="eastAsia"/>
          <w:color w:val="FF0000"/>
        </w:rPr>
        <w:t>7.</w:t>
      </w:r>
      <w:bookmarkStart w:id="43" w:name="OLE_LINK33"/>
      <w:bookmarkStart w:id="44" w:name="OLE_LINK32"/>
      <w:r>
        <w:rPr>
          <w:rFonts w:hint="eastAsia"/>
          <w:color w:val="FF0000"/>
        </w:rPr>
        <w:t>参考文献建议</w:t>
      </w:r>
      <w:r>
        <w:rPr>
          <w:rFonts w:hint="eastAsia"/>
          <w:b/>
          <w:bCs/>
          <w:color w:val="FF0000"/>
        </w:rPr>
        <w:t>用</w:t>
      </w:r>
      <w:bookmarkStart w:id="45" w:name="OLE_LINK8"/>
      <w:bookmarkStart w:id="46" w:name="OLE_LINK7"/>
      <w:r>
        <w:rPr>
          <w:rFonts w:hint="eastAsia"/>
          <w:b/>
          <w:bCs/>
          <w:color w:val="FF0000"/>
        </w:rPr>
        <w:t>[J]类文献</w:t>
      </w:r>
      <w:bookmarkEnd w:id="45"/>
      <w:bookmarkEnd w:id="46"/>
      <w:r>
        <w:rPr>
          <w:rFonts w:hint="eastAsia"/>
          <w:b/>
          <w:bCs/>
          <w:color w:val="FF0000"/>
        </w:rPr>
        <w:t>，尽量不用网址类引用文献。正文中要有引用文献的痕迹。</w:t>
      </w:r>
      <w:bookmarkEnd w:id="43"/>
      <w:bookmarkEnd w:id="44"/>
    </w:p>
    <w:p w14:paraId="4A8F240F">
      <w:pPr>
        <w:pStyle w:val="13"/>
      </w:pPr>
    </w:p>
  </w:comment>
  <w:comment w:id="1" w:author="cecilia" w:date="2025-12-03T08:47:00Z" w:initials="">
    <w:p w14:paraId="3AD3346E">
      <w:pPr>
        <w:pStyle w:val="13"/>
      </w:pPr>
      <w:r>
        <w:rPr>
          <w:rFonts w:hint="eastAsia"/>
        </w:rPr>
        <w:t>此处缺作者邮箱</w:t>
      </w:r>
    </w:p>
  </w:comment>
  <w:comment w:id="2" w:author="cecilia" w:date="2025-12-03T08:56:00Z" w:initials="">
    <w:p w14:paraId="00152750">
      <w:pPr>
        <w:pStyle w:val="3"/>
      </w:pPr>
      <w:r>
        <w:rPr>
          <w:rFonts w:hint="eastAsia"/>
        </w:rPr>
        <w:t>中图分类号：TP391    文献标识码：A</w:t>
      </w:r>
    </w:p>
    <w:p w14:paraId="4691CE6D">
      <w:pPr>
        <w:pStyle w:val="13"/>
      </w:pPr>
    </w:p>
  </w:comment>
  <w:comment w:id="3" w:author="cecilia" w:date="2025-12-03T09:00:00Z" w:initials="">
    <w:p w14:paraId="39DD2FE5">
      <w:pPr>
        <w:pStyle w:val="13"/>
      </w:pPr>
      <w:r>
        <w:rPr>
          <w:rFonts w:hint="eastAsia"/>
        </w:rPr>
        <w:t>此处补充邮箱</w:t>
      </w:r>
    </w:p>
  </w:comment>
  <w:comment w:id="4" w:author="cecilia" w:date="2025-12-03T09:00:00Z" w:initials="">
    <w:p w14:paraId="00500207">
      <w:pPr>
        <w:pStyle w:val="13"/>
      </w:pPr>
      <w:r>
        <w:rPr>
          <w:rFonts w:hint="eastAsia"/>
        </w:rPr>
        <w:t>《软件工程》从0引言（Introduction）开始排号，章节标题需要英文标题，全文查后改</w:t>
      </w:r>
    </w:p>
  </w:comment>
  <w:comment w:id="5" w:author="cecilia" w:date="2025-12-03T09:07:00Z" w:initials="">
    <w:p w14:paraId="06EA66D3">
      <w:pPr>
        <w:pStyle w:val="13"/>
      </w:pPr>
      <w:r>
        <w:t xml:space="preserve"> (Financial Operational Data)</w:t>
      </w:r>
      <w:r>
        <w:rPr>
          <w:rFonts w:hint="eastAsia"/>
        </w:rPr>
        <w:t>改为</w:t>
      </w:r>
      <w:r>
        <w:t xml:space="preserve"> (Financial Operational Data</w:t>
      </w:r>
      <w:r>
        <w:rPr>
          <w:rFonts w:hint="eastAsia"/>
        </w:rPr>
        <w:t>，FOD</w:t>
      </w:r>
      <w:r>
        <w:t>)</w:t>
      </w:r>
      <w:r>
        <w:rPr>
          <w:rFonts w:hint="eastAsia"/>
        </w:rPr>
        <w:t>；</w:t>
      </w:r>
      <w:r>
        <w:t xml:space="preserve">(Transactional </w:t>
      </w:r>
      <w:r>
        <w:rPr>
          <w:rFonts w:hint="eastAsia"/>
        </w:rPr>
        <w:t>Data)改为</w:t>
      </w:r>
      <w:r>
        <w:t xml:space="preserve">(Transactional </w:t>
      </w:r>
      <w:r>
        <w:rPr>
          <w:rFonts w:hint="eastAsia"/>
        </w:rPr>
        <w:t>Data，TD)</w:t>
      </w:r>
    </w:p>
    <w:p w14:paraId="7DDAAE09">
      <w:pPr>
        <w:pStyle w:val="13"/>
      </w:pPr>
      <w:r>
        <w:rPr>
          <w:rFonts w:hint="eastAsia"/>
        </w:rPr>
        <w:t>全文类似这种查后修改</w:t>
      </w:r>
    </w:p>
  </w:comment>
  <w:comment w:id="6" w:author="cecilia" w:date="2025-12-03T09:26:00Z" w:initials="">
    <w:p w14:paraId="74EF2F66">
      <w:pPr>
        <w:pStyle w:val="13"/>
      </w:pPr>
      <w:r>
        <w:rPr>
          <w:rFonts w:hint="eastAsia"/>
        </w:rPr>
        <w:t>三改成3，阿拉伯数字要正常使用</w:t>
      </w:r>
    </w:p>
  </w:comment>
  <w:comment w:id="7" w:author="cecilia" w:date="2025-12-03T09:26:00Z" w:initials="">
    <w:p w14:paraId="6AAB687E">
      <w:pPr>
        <w:pStyle w:val="13"/>
      </w:pPr>
      <w:r>
        <w:rPr>
          <w:rFonts w:hint="eastAsia"/>
        </w:rPr>
        <w:t>前面加（1）</w:t>
      </w:r>
    </w:p>
  </w:comment>
  <w:comment w:id="8" w:author="cecilia" w:date="2025-12-03T09:26:00Z" w:initials="">
    <w:p w14:paraId="1330B325">
      <w:pPr>
        <w:pStyle w:val="13"/>
      </w:pPr>
      <w:r>
        <w:rPr>
          <w:rFonts w:hint="eastAsia"/>
        </w:rPr>
        <w:t>前面加（2）</w:t>
      </w:r>
    </w:p>
  </w:comment>
  <w:comment w:id="9" w:author="cecilia" w:date="2025-12-03T09:27:00Z" w:initials="">
    <w:p w14:paraId="6DA47B8F">
      <w:pPr>
        <w:pStyle w:val="13"/>
      </w:pPr>
      <w:r>
        <w:rPr>
          <w:rFonts w:hint="eastAsia"/>
        </w:rPr>
        <w:t>前面加（3）</w:t>
      </w:r>
    </w:p>
  </w:comment>
  <w:comment w:id="10" w:author="cecilia" w:date="2025-12-03T09:28:00Z" w:initials="">
    <w:p w14:paraId="06002F7D">
      <w:pPr>
        <w:pStyle w:val="13"/>
      </w:pPr>
      <w:r>
        <w:rPr>
          <w:rFonts w:hint="eastAsia"/>
        </w:rPr>
        <w:t xml:space="preserve">在这个位置补充  </w:t>
      </w:r>
      <w:bookmarkStart w:id="47" w:name="OLE_LINK19"/>
      <w:bookmarkStart w:id="48" w:name="OLE_LINK18"/>
      <w:r>
        <w:rPr>
          <w:rFonts w:hint="eastAsia"/>
        </w:rPr>
        <w:t xml:space="preserve">  “，计算方式见式（1）”</w:t>
      </w:r>
      <w:bookmarkEnd w:id="47"/>
      <w:bookmarkEnd w:id="48"/>
    </w:p>
  </w:comment>
  <w:comment w:id="11" w:author="cecilia" w:date="2025-12-03T09:29:00Z" w:initials="">
    <w:p w14:paraId="502A8CC0">
      <w:pPr>
        <w:pStyle w:val="13"/>
      </w:pPr>
      <w:r>
        <w:rPr>
          <w:rFonts w:hint="eastAsia"/>
        </w:rPr>
        <w:t>公式要按序号排列，这个公式后面加（1）</w:t>
      </w:r>
    </w:p>
  </w:comment>
  <w:comment w:id="12" w:author="cecilia" w:date="2025-12-03T09:30:00Z" w:initials="">
    <w:p w14:paraId="0B668063">
      <w:pPr>
        <w:pStyle w:val="13"/>
      </w:pPr>
      <w:r>
        <w:rPr>
          <w:rFonts w:hint="eastAsia"/>
        </w:rPr>
        <w:t>其中顶格，后面加冒号。，用于考虑特征间的协方差从括号中摘出来</w:t>
      </w:r>
    </w:p>
  </w:comment>
  <w:comment w:id="13" w:author="cecilia" w:date="2025-12-03T09:31:00Z" w:initials="">
    <w:p w14:paraId="7658193F">
      <w:pPr>
        <w:pStyle w:val="13"/>
      </w:pPr>
      <w:r>
        <w:rPr>
          <w:rFonts w:hint="eastAsia"/>
        </w:rPr>
        <w:t>c和h要加黑，向量在国标里要黑体</w:t>
      </w:r>
    </w:p>
  </w:comment>
  <w:comment w:id="14" w:author="cecilia" w:date="2025-12-03T09:31:00Z" w:initials="">
    <w:p w14:paraId="2CCD8A70">
      <w:pPr>
        <w:pStyle w:val="13"/>
      </w:pPr>
      <w:r>
        <w:rPr>
          <w:rFonts w:hint="eastAsia"/>
        </w:rPr>
        <w:t>这个改为</w:t>
      </w:r>
      <w:r>
        <w:rPr>
          <w:rStyle w:val="54"/>
          <w:rFonts w:hint="eastAsia"/>
        </w:rPr>
        <w:t>S</w:t>
      </w:r>
      <w:r>
        <w:rPr>
          <w:rStyle w:val="54"/>
        </w:rPr>
        <w:t>igmoid</w:t>
      </w:r>
    </w:p>
  </w:comment>
  <w:comment w:id="15" w:author="cecilia" w:date="2025-12-03T09:33:00Z" w:initials="">
    <w:p w14:paraId="6444AA99">
      <w:pPr>
        <w:pStyle w:val="13"/>
      </w:pPr>
      <w:r>
        <w:rPr>
          <w:rFonts w:hint="eastAsia"/>
        </w:rPr>
        <w:t>公式要排号，以后不赘述，全文查后改</w:t>
      </w:r>
    </w:p>
  </w:comment>
  <w:comment w:id="16" w:author="cecilia [2]" w:date="2025-12-12T10:46:55Z" w:initials="">
    <w:p w14:paraId="74E8D0B3">
      <w:pPr>
        <w:pStyle w:val="13"/>
        <w:rPr>
          <w:rFonts w:hint="eastAsia" w:eastAsiaTheme="minorEastAsia"/>
          <w:lang w:eastAsia="zh-CN"/>
        </w:rPr>
      </w:pPr>
      <w:r>
        <w:rPr>
          <w:rFonts w:hint="eastAsia"/>
          <w:lang w:eastAsia="zh-CN"/>
        </w:rPr>
        <w:t>【</w:t>
      </w:r>
      <w:r>
        <w:rPr>
          <w:rFonts w:hint="eastAsia"/>
          <w:lang w:val="en-US" w:eastAsia="zh-CN"/>
        </w:rPr>
        <w:t>7-8</w:t>
      </w:r>
      <w:r>
        <w:rPr>
          <w:rFonts w:hint="eastAsia"/>
          <w:lang w:eastAsia="zh-CN"/>
        </w:rPr>
        <w:t>】</w:t>
      </w:r>
    </w:p>
  </w:comment>
  <w:comment w:id="17" w:author="cecilia" w:date="2025-12-03T09:35:00Z" w:initials="">
    <w:p w14:paraId="3951AD76">
      <w:pPr>
        <w:pStyle w:val="13"/>
        <w:rPr>
          <w:color w:val="FF0000"/>
        </w:rPr>
      </w:pPr>
      <w:r>
        <w:rPr>
          <w:rFonts w:hint="eastAsia"/>
          <w:color w:val="FF0000"/>
        </w:rPr>
        <w:t>把括号中的文字拿出来，用流畅的语言表示出来.</w:t>
      </w:r>
    </w:p>
    <w:p w14:paraId="0D7867B4">
      <w:pPr>
        <w:pStyle w:val="29"/>
        <w:ind w:firstLine="480" w:firstLineChars="200"/>
        <w:rPr>
          <w:color w:val="FF0000"/>
        </w:rPr>
      </w:pPr>
    </w:p>
    <w:p w14:paraId="5F2F2414">
      <w:pPr>
        <w:pStyle w:val="29"/>
        <w:ind w:firstLine="480" w:firstLineChars="200"/>
      </w:pPr>
      <w:r>
        <w:rPr>
          <w:rFonts w:hint="eastAsia"/>
          <w:color w:val="FF0000"/>
        </w:rPr>
        <w:t>如：</w:t>
      </w:r>
      <w:bookmarkStart w:id="49" w:name="OLE_LINK20"/>
      <w:bookmarkStart w:id="50" w:name="OLE_LINK21"/>
      <w:r>
        <w:rPr>
          <w:rFonts w:hint="eastAsia"/>
          <w:color w:val="FF0000"/>
        </w:rPr>
        <w:t>我们在公开数据集上验证了IForest+CNN-LSTM</w:t>
      </w:r>
      <w:r>
        <w:rPr>
          <w:color w:val="FF0000"/>
        </w:rPr>
        <w:t xml:space="preserve"> </w:t>
      </w:r>
      <w:r>
        <w:rPr>
          <w:rFonts w:hint="eastAsia"/>
          <w:color w:val="FF0000"/>
        </w:rPr>
        <w:t>和</w:t>
      </w:r>
      <w:r>
        <w:rPr>
          <w:color w:val="FF0000"/>
        </w:rPr>
        <w:t xml:space="preserve"> </w:t>
      </w:r>
      <w:r>
        <w:rPr>
          <w:rFonts w:hint="eastAsia"/>
          <w:color w:val="FF0000"/>
        </w:rPr>
        <w:t>KNN+GRU这两组组合策略的有效性。实验数据包含15</w:t>
      </w:r>
      <w:r>
        <w:rPr>
          <w:color w:val="FF0000"/>
        </w:rPr>
        <w:t xml:space="preserve"> </w:t>
      </w:r>
      <w:r>
        <w:rPr>
          <w:rFonts w:hint="eastAsia"/>
          <w:color w:val="FF0000"/>
        </w:rPr>
        <w:t>维特征、</w:t>
      </w:r>
      <w:r>
        <w:rPr>
          <w:color w:val="FF0000"/>
        </w:rPr>
        <w:t xml:space="preserve"> 4981 </w:t>
      </w:r>
      <w:r>
        <w:rPr>
          <w:rFonts w:hint="eastAsia"/>
          <w:color w:val="FF0000"/>
        </w:rPr>
        <w:t>个样本点，其中</w:t>
      </w:r>
      <w:r>
        <w:rPr>
          <w:color w:val="FF0000"/>
        </w:rPr>
        <w:t xml:space="preserve"> 73 </w:t>
      </w:r>
      <w:r>
        <w:rPr>
          <w:rFonts w:hint="eastAsia"/>
          <w:color w:val="FF0000"/>
        </w:rPr>
        <w:t>个异常点，占比约</w:t>
      </w:r>
      <w:r>
        <w:rPr>
          <w:color w:val="FF0000"/>
        </w:rPr>
        <w:t xml:space="preserve"> </w:t>
      </w:r>
      <w:r>
        <w:rPr>
          <w:rFonts w:hint="eastAsia"/>
          <w:color w:val="FF0000"/>
        </w:rPr>
        <w:t>1.5%。滑动窗口设置为</w:t>
      </w:r>
      <w:r>
        <w:rPr>
          <w:color w:val="FF0000"/>
        </w:rPr>
        <w:t xml:space="preserve"> </w:t>
      </w:r>
      <w:r>
        <w:rPr>
          <w:rFonts w:hint="eastAsia"/>
          <w:color w:val="FF0000"/>
        </w:rPr>
        <w:t>20，权重参数</w:t>
      </w:r>
      <w:r>
        <w:rPr>
          <w:color w:val="FF0000"/>
        </w:rPr>
        <w:t xml:space="preserve"> </w:t>
      </w:r>
      <w:r>
        <w:rPr>
          <w:rFonts w:hint="eastAsia"/>
          <w:color w:val="FF0000"/>
        </w:rPr>
        <w:t>Alpha</w:t>
      </w:r>
      <w:r>
        <w:rPr>
          <w:color w:val="FF0000"/>
        </w:rPr>
        <w:t>=</w:t>
      </w:r>
      <w:r>
        <w:rPr>
          <w:rFonts w:hint="eastAsia"/>
          <w:color w:val="FF0000"/>
        </w:rPr>
        <w:t>Beta=0.5</w:t>
      </w:r>
      <w:r>
        <w:rPr>
          <w:color w:val="FF0000"/>
        </w:rPr>
        <w:t>。</w:t>
      </w:r>
      <w:bookmarkEnd w:id="49"/>
      <w:bookmarkEnd w:id="50"/>
    </w:p>
    <w:p w14:paraId="2E87FC3E">
      <w:pPr>
        <w:pStyle w:val="13"/>
      </w:pPr>
    </w:p>
  </w:comment>
  <w:comment w:id="18" w:author="cecilia" w:date="2025-12-03T09:38:00Z" w:initials="">
    <w:p w14:paraId="31E49C5C">
      <w:pPr>
        <w:pStyle w:val="13"/>
      </w:pPr>
      <w:r>
        <w:rPr>
          <w:rFonts w:hint="eastAsia"/>
        </w:rPr>
        <w:t>秒的国标是小写的s</w:t>
      </w:r>
    </w:p>
  </w:comment>
  <w:comment w:id="19" w:author="cecilia" w:date="2025-12-03T09:39:00Z" w:initials="">
    <w:p w14:paraId="2A4F33FD">
      <w:pPr>
        <w:pStyle w:val="13"/>
      </w:pPr>
      <w:r>
        <w:t xml:space="preserve">AUC-ROC </w:t>
      </w:r>
      <w:r>
        <w:rPr>
          <w:rFonts w:hint="eastAsia"/>
        </w:rPr>
        <w:t>=0.87，召回率=0.92</w:t>
      </w:r>
    </w:p>
  </w:comment>
  <w:comment w:id="20" w:author="cecilia" w:date="2025-12-03T09:40:00Z" w:initials="">
    <w:p w14:paraId="3B8A3E16">
      <w:pPr>
        <w:pStyle w:val="13"/>
      </w:pPr>
      <w:r>
        <w:rPr>
          <w:i/>
          <w:iCs/>
        </w:rPr>
        <w:t>F</w:t>
      </w:r>
      <w:r>
        <w:t xml:space="preserve">1 </w:t>
      </w:r>
      <w:r>
        <w:rPr>
          <w:rFonts w:hint="eastAsia"/>
        </w:rPr>
        <w:t>值F斜体。这段话要捋顺。</w:t>
      </w:r>
      <w:r>
        <w:rPr>
          <w:i/>
          <w:iCs/>
        </w:rPr>
        <w:t>F</w:t>
      </w:r>
      <w:r>
        <w:t xml:space="preserve">1 </w:t>
      </w:r>
      <w:r>
        <w:rPr>
          <w:rFonts w:hint="eastAsia"/>
        </w:rPr>
        <w:t>值为</w:t>
      </w:r>
      <w:r>
        <w:t xml:space="preserve"> </w:t>
      </w:r>
      <w:r>
        <w:rPr>
          <w:rFonts w:hint="eastAsia"/>
        </w:rPr>
        <w:t>0.47、精确率</w:t>
      </w:r>
      <w:r>
        <w:t xml:space="preserve"> </w:t>
      </w:r>
      <w:r>
        <w:rPr>
          <w:rFonts w:hint="eastAsia"/>
        </w:rPr>
        <w:t>为0.41、召回率</w:t>
      </w:r>
      <w:r>
        <w:t xml:space="preserve"> </w:t>
      </w:r>
      <w:r>
        <w:rPr>
          <w:rFonts w:hint="eastAsia"/>
        </w:rPr>
        <w:t>为0.56</w:t>
      </w:r>
    </w:p>
  </w:comment>
  <w:comment w:id="21" w:author="cecilia" w:date="2025-12-03T10:10:00Z" w:initials="">
    <w:p w14:paraId="417CAF47">
      <w:pPr>
        <w:pStyle w:val="13"/>
      </w:pPr>
      <w:r>
        <w:t>Cost of Data Center Outages: https://www.vertiv.com/globalassets/documents/reports/2016-cost-of-data-center-outages-11-11_51190_1.pdf</w:t>
      </w:r>
      <w:r>
        <w:rPr>
          <w:rFonts w:hint="eastAsia"/>
        </w:rPr>
        <w:t>改为</w:t>
      </w:r>
    </w:p>
    <w:p w14:paraId="675D161A">
      <w:pPr>
        <w:pStyle w:val="13"/>
      </w:pPr>
      <w:r>
        <w:rPr>
          <w:rFonts w:hint="eastAsia"/>
        </w:rPr>
        <w:t>[1]</w:t>
      </w:r>
      <w:bookmarkStart w:id="51" w:name="OLE_LINK22"/>
      <w:bookmarkStart w:id="52" w:name="OLE_LINK23"/>
      <w:bookmarkStart w:id="53" w:name="OLE_LINK25"/>
      <w:bookmarkStart w:id="54" w:name="OLE_LINK24"/>
      <w:r>
        <w:rPr>
          <w:rFonts w:ascii="Times New Roman" w:hAnsi="Times New Roman" w:eastAsia="宋体" w:cs="Times New Roman"/>
          <w:bCs/>
          <w:color w:val="215F9A" w:themeColor="text2" w:themeTint="BF"/>
          <w14:textFill>
            <w14:solidFill>
              <w14:schemeClr w14:val="tx2">
                <w14:lumMod w14:val="75000"/>
                <w14:lumOff w14:val="25000"/>
              </w14:schemeClr>
            </w14:solidFill>
          </w14:textFill>
        </w:rPr>
        <w:t>Ponemon Institute</w:t>
      </w:r>
      <w:bookmarkEnd w:id="51"/>
      <w:bookmarkEnd w:id="52"/>
      <w:r>
        <w:rPr>
          <w:rFonts w:ascii="Times New Roman" w:hAnsi="Times New Roman" w:eastAsia="宋体" w:cs="Times New Roman"/>
          <w:bCs/>
          <w:color w:val="215F9A" w:themeColor="text2" w:themeTint="BF"/>
          <w14:textFill>
            <w14:solidFill>
              <w14:schemeClr w14:val="tx2">
                <w14:lumMod w14:val="75000"/>
                <w14:lumOff w14:val="25000"/>
              </w14:schemeClr>
            </w14:solidFill>
          </w14:textFill>
        </w:rPr>
        <w:t>.</w:t>
      </w:r>
      <w:r>
        <w:t>Cost of Data Center Outages</w:t>
      </w:r>
      <w:r>
        <w:rPr>
          <w:rFonts w:hint="eastAsia"/>
          <w:bCs/>
          <w:color w:val="215F9A" w:themeColor="text2" w:themeTint="BF"/>
          <w14:textFill>
            <w14:solidFill>
              <w14:schemeClr w14:val="tx2">
                <w14:lumMod w14:val="75000"/>
                <w14:lumOff w14:val="25000"/>
              </w14:schemeClr>
            </w14:solidFill>
          </w14:textFill>
        </w:rPr>
        <w:t>[DB/OL].(2025-12-03)[2016-01-01].</w:t>
      </w:r>
      <w:r>
        <w:t>https://www.vertiv.com/globalassets/documents/reports/2016-cost-of-data-center-outages-11-11_51190_1.pd</w:t>
      </w:r>
      <w:bookmarkEnd w:id="53"/>
      <w:bookmarkEnd w:id="54"/>
    </w:p>
  </w:comment>
  <w:comment w:id="22" w:author="cecilia" w:date="2025-12-03T09:54:00Z" w:initials="">
    <w:p w14:paraId="7925BF14">
      <w:pPr>
        <w:pStyle w:val="3"/>
      </w:pPr>
      <w:r>
        <w:t>Chandola V, Banerjee A, Kumar V. Anomaly detection: a survey. ACM Comput Surv, 2009, 41: 1–58</w:t>
      </w:r>
      <w:r>
        <w:rPr>
          <w:rFonts w:hint="eastAsia"/>
        </w:rPr>
        <w:t>改为如下形式标蓝处是错的地方。</w:t>
      </w:r>
    </w:p>
    <w:p w14:paraId="38206817">
      <w:pPr>
        <w:pStyle w:val="3"/>
      </w:pPr>
      <w:bookmarkStart w:id="55" w:name="OLE_LINK26"/>
      <w:bookmarkStart w:id="56" w:name="OLE_LINK27"/>
      <w:r>
        <w:t>Chandola V, Banerjee A, Kumar V. Anomaly detection: a survey</w:t>
      </w:r>
      <w:r>
        <w:rPr>
          <w:rFonts w:hint="eastAsia"/>
          <w:b/>
          <w:bCs/>
          <w:color w:val="215F9A" w:themeColor="text2" w:themeTint="BF"/>
          <w14:textFill>
            <w14:solidFill>
              <w14:schemeClr w14:val="tx2">
                <w14:lumMod w14:val="75000"/>
                <w14:lumOff w14:val="25000"/>
              </w14:schemeClr>
            </w14:solidFill>
          </w14:textFill>
        </w:rPr>
        <w:t>[J]</w:t>
      </w:r>
      <w:r>
        <w:rPr>
          <w:b/>
          <w:bCs/>
          <w:color w:val="215F9A" w:themeColor="text2" w:themeTint="BF"/>
          <w14:textFill>
            <w14:solidFill>
              <w14:schemeClr w14:val="tx2">
                <w14:lumMod w14:val="75000"/>
                <w14:lumOff w14:val="25000"/>
              </w14:schemeClr>
            </w14:solidFill>
          </w14:textFill>
        </w:rPr>
        <w:t>.</w:t>
      </w:r>
      <w:r>
        <w:t xml:space="preserve"> ACM </w:t>
      </w:r>
      <w:r>
        <w:rPr>
          <w:rFonts w:hint="eastAsia"/>
          <w:b/>
          <w:bCs/>
          <w:color w:val="215F9A" w:themeColor="text2" w:themeTint="BF"/>
          <w14:textFill>
            <w14:solidFill>
              <w14:schemeClr w14:val="tx2">
                <w14:lumMod w14:val="75000"/>
                <w14:lumOff w14:val="25000"/>
              </w14:schemeClr>
            </w14:solidFill>
          </w14:textFill>
        </w:rPr>
        <w:t>c</w:t>
      </w:r>
      <w:r>
        <w:t>ompu</w:t>
      </w:r>
      <w:r>
        <w:rPr>
          <w:color w:val="215F9A" w:themeColor="text2" w:themeTint="BF"/>
          <w14:textFill>
            <w14:solidFill>
              <w14:schemeClr w14:val="tx2">
                <w14:lumMod w14:val="75000"/>
                <w14:lumOff w14:val="25000"/>
              </w14:schemeClr>
            </w14:solidFill>
          </w14:textFill>
        </w:rPr>
        <w:t>t</w:t>
      </w:r>
      <w:r>
        <w:rPr>
          <w:rFonts w:hint="eastAsia"/>
          <w:color w:val="215F9A" w:themeColor="text2" w:themeTint="BF"/>
          <w14:textFill>
            <w14:solidFill>
              <w14:schemeClr w14:val="tx2">
                <w14:lumMod w14:val="75000"/>
                <w14:lumOff w14:val="25000"/>
              </w14:schemeClr>
            </w14:solidFill>
          </w14:textFill>
        </w:rPr>
        <w:t>ing</w:t>
      </w:r>
      <w:r>
        <w:t xml:space="preserve"> </w:t>
      </w:r>
      <w:r>
        <w:rPr>
          <w:rFonts w:hint="eastAsia"/>
          <w:b/>
          <w:bCs/>
          <w:color w:val="215F9A" w:themeColor="text2" w:themeTint="BF"/>
          <w14:textFill>
            <w14:solidFill>
              <w14:schemeClr w14:val="tx2">
                <w14:lumMod w14:val="75000"/>
                <w14:lumOff w14:val="25000"/>
              </w14:schemeClr>
            </w14:solidFill>
          </w14:textFill>
        </w:rPr>
        <w:t>s</w:t>
      </w:r>
      <w:r>
        <w:t>urv</w:t>
      </w:r>
      <w:r>
        <w:rPr>
          <w:rFonts w:hint="eastAsia"/>
          <w:b/>
          <w:bCs/>
          <w:color w:val="215F9A" w:themeColor="text2" w:themeTint="BF"/>
          <w14:textFill>
            <w14:solidFill>
              <w14:schemeClr w14:val="tx2">
                <w14:lumMod w14:val="75000"/>
                <w14:lumOff w14:val="25000"/>
              </w14:schemeClr>
            </w14:solidFill>
          </w14:textFill>
        </w:rPr>
        <w:t>y</w:t>
      </w:r>
      <w:r>
        <w:t>, 2009, 41</w:t>
      </w:r>
      <w:r>
        <w:rPr>
          <w:rFonts w:hint="eastAsia"/>
          <w:b/>
          <w:bCs/>
          <w:color w:val="215F9A" w:themeColor="text2" w:themeTint="BF"/>
          <w14:textFill>
            <w14:solidFill>
              <w14:schemeClr w14:val="tx2">
                <w14:lumMod w14:val="75000"/>
                <w14:lumOff w14:val="25000"/>
              </w14:schemeClr>
            </w14:solidFill>
          </w14:textFill>
        </w:rPr>
        <w:t>（3）</w:t>
      </w:r>
      <w:r>
        <w:t>: 1–58</w:t>
      </w:r>
      <w:r>
        <w:rPr>
          <w:rFonts w:hint="eastAsia"/>
          <w:b/>
          <w:bCs/>
          <w:color w:val="215F9A" w:themeColor="text2" w:themeTint="BF"/>
          <w14:textFill>
            <w14:solidFill>
              <w14:schemeClr w14:val="tx2">
                <w14:lumMod w14:val="75000"/>
                <w14:lumOff w14:val="25000"/>
              </w14:schemeClr>
            </w14:solidFill>
          </w14:textFill>
        </w:rPr>
        <w:t>.</w:t>
      </w:r>
      <w:bookmarkEnd w:id="55"/>
      <w:bookmarkEnd w:id="56"/>
    </w:p>
    <w:p w14:paraId="4E45FDB7">
      <w:pPr>
        <w:pStyle w:val="1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F240F" w15:done="0"/>
  <w15:commentEx w15:paraId="3AD3346E" w15:done="0"/>
  <w15:commentEx w15:paraId="4691CE6D" w15:done="0"/>
  <w15:commentEx w15:paraId="39DD2FE5" w15:done="0"/>
  <w15:commentEx w15:paraId="00500207" w15:done="0"/>
  <w15:commentEx w15:paraId="7DDAAE09" w15:done="0"/>
  <w15:commentEx w15:paraId="74EF2F66" w15:done="0"/>
  <w15:commentEx w15:paraId="6AAB687E" w15:done="0"/>
  <w15:commentEx w15:paraId="1330B325" w15:done="0"/>
  <w15:commentEx w15:paraId="6DA47B8F" w15:done="0"/>
  <w15:commentEx w15:paraId="06002F7D" w15:done="0"/>
  <w15:commentEx w15:paraId="502A8CC0" w15:done="0"/>
  <w15:commentEx w15:paraId="0B668063" w15:done="0"/>
  <w15:commentEx w15:paraId="7658193F" w15:done="0"/>
  <w15:commentEx w15:paraId="2CCD8A70" w15:done="0"/>
  <w15:commentEx w15:paraId="6444AA99" w15:done="0"/>
  <w15:commentEx w15:paraId="74E8D0B3" w15:done="0"/>
  <w15:commentEx w15:paraId="2E87FC3E" w15:done="0"/>
  <w15:commentEx w15:paraId="31E49C5C" w15:done="0"/>
  <w15:commentEx w15:paraId="2A4F33FD" w15:done="0"/>
  <w15:commentEx w15:paraId="3B8A3E16" w15:done="0"/>
  <w15:commentEx w15:paraId="675D161A" w15:done="0"/>
  <w15:commentEx w15:paraId="4E45FDB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ecilia">
    <w15:presenceInfo w15:providerId="None" w15:userId="cecilia"/>
  </w15:person>
  <w15:person w15:author="cecilia [2]">
    <w15:presenceInfo w15:providerId="WPS Office" w15:userId="551942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noPunctuationKerning w:val="1"/>
  <w:characterSpacingControl w:val="doNotCompress"/>
  <w:footnotePr>
    <w:numRestart w:val="eachSect"/>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E6F"/>
    <w:rsid w:val="00003CDF"/>
    <w:rsid w:val="00016078"/>
    <w:rsid w:val="00025C9A"/>
    <w:rsid w:val="00026815"/>
    <w:rsid w:val="00082B20"/>
    <w:rsid w:val="00092F9C"/>
    <w:rsid w:val="000C6053"/>
    <w:rsid w:val="0010025C"/>
    <w:rsid w:val="001A0186"/>
    <w:rsid w:val="001A1921"/>
    <w:rsid w:val="001A42E8"/>
    <w:rsid w:val="001A5013"/>
    <w:rsid w:val="001B065D"/>
    <w:rsid w:val="001E06F4"/>
    <w:rsid w:val="001F11A3"/>
    <w:rsid w:val="00206157"/>
    <w:rsid w:val="00235120"/>
    <w:rsid w:val="00244707"/>
    <w:rsid w:val="00252B8A"/>
    <w:rsid w:val="00274692"/>
    <w:rsid w:val="002963C1"/>
    <w:rsid w:val="002A0B2E"/>
    <w:rsid w:val="002E134D"/>
    <w:rsid w:val="0030665E"/>
    <w:rsid w:val="003163E1"/>
    <w:rsid w:val="00332CBF"/>
    <w:rsid w:val="00334337"/>
    <w:rsid w:val="00384C2A"/>
    <w:rsid w:val="0038763A"/>
    <w:rsid w:val="00394114"/>
    <w:rsid w:val="003B0C62"/>
    <w:rsid w:val="003E2698"/>
    <w:rsid w:val="00414210"/>
    <w:rsid w:val="00415D5D"/>
    <w:rsid w:val="00417464"/>
    <w:rsid w:val="00451DE0"/>
    <w:rsid w:val="00486232"/>
    <w:rsid w:val="00494E2A"/>
    <w:rsid w:val="004A2AF3"/>
    <w:rsid w:val="004C7EF8"/>
    <w:rsid w:val="004D7D8E"/>
    <w:rsid w:val="004E12DB"/>
    <w:rsid w:val="004F47A2"/>
    <w:rsid w:val="005701DB"/>
    <w:rsid w:val="00583DB4"/>
    <w:rsid w:val="005A1FC5"/>
    <w:rsid w:val="005A53A9"/>
    <w:rsid w:val="005B6ADB"/>
    <w:rsid w:val="005C2E6F"/>
    <w:rsid w:val="005D01DA"/>
    <w:rsid w:val="005E4472"/>
    <w:rsid w:val="006051E5"/>
    <w:rsid w:val="006179DC"/>
    <w:rsid w:val="0062320C"/>
    <w:rsid w:val="00624AE9"/>
    <w:rsid w:val="00646246"/>
    <w:rsid w:val="00682926"/>
    <w:rsid w:val="00696927"/>
    <w:rsid w:val="006C426A"/>
    <w:rsid w:val="006E1530"/>
    <w:rsid w:val="006F6D43"/>
    <w:rsid w:val="00735B44"/>
    <w:rsid w:val="007723B1"/>
    <w:rsid w:val="00776453"/>
    <w:rsid w:val="007D2C15"/>
    <w:rsid w:val="007D7D55"/>
    <w:rsid w:val="007E669A"/>
    <w:rsid w:val="00820CB9"/>
    <w:rsid w:val="00861196"/>
    <w:rsid w:val="00891CA8"/>
    <w:rsid w:val="00921FA9"/>
    <w:rsid w:val="0092753A"/>
    <w:rsid w:val="00936FB3"/>
    <w:rsid w:val="009732A2"/>
    <w:rsid w:val="009979AA"/>
    <w:rsid w:val="009D024A"/>
    <w:rsid w:val="009F1300"/>
    <w:rsid w:val="00A83B02"/>
    <w:rsid w:val="00AD51EF"/>
    <w:rsid w:val="00AE7EDC"/>
    <w:rsid w:val="00B174A3"/>
    <w:rsid w:val="00B26876"/>
    <w:rsid w:val="00B35319"/>
    <w:rsid w:val="00B75D7D"/>
    <w:rsid w:val="00BC3C10"/>
    <w:rsid w:val="00C51176"/>
    <w:rsid w:val="00C56F6C"/>
    <w:rsid w:val="00C74C43"/>
    <w:rsid w:val="00CD3527"/>
    <w:rsid w:val="00CE0C03"/>
    <w:rsid w:val="00D17047"/>
    <w:rsid w:val="00D30F37"/>
    <w:rsid w:val="00D35FB5"/>
    <w:rsid w:val="00D5454B"/>
    <w:rsid w:val="00D61FA4"/>
    <w:rsid w:val="00D73DCE"/>
    <w:rsid w:val="00DA288B"/>
    <w:rsid w:val="00DC6F5F"/>
    <w:rsid w:val="00DC7376"/>
    <w:rsid w:val="00E10205"/>
    <w:rsid w:val="00E318A0"/>
    <w:rsid w:val="00E42587"/>
    <w:rsid w:val="00E45863"/>
    <w:rsid w:val="00E526D1"/>
    <w:rsid w:val="00E77D7F"/>
    <w:rsid w:val="00EB32A4"/>
    <w:rsid w:val="00EE354C"/>
    <w:rsid w:val="00EF3FFF"/>
    <w:rsid w:val="00EF5133"/>
    <w:rsid w:val="00F17AD6"/>
    <w:rsid w:val="00F93D8F"/>
    <w:rsid w:val="00FD3AB9"/>
    <w:rsid w:val="00FE1B8F"/>
    <w:rsid w:val="146204B7"/>
    <w:rsid w:val="213E495F"/>
    <w:rsid w:val="2FEDEF2F"/>
    <w:rsid w:val="44F22734"/>
    <w:rsid w:val="5B704FF7"/>
    <w:rsid w:val="7F2500AC"/>
    <w:rsid w:val="BEFFBC03"/>
    <w:rsid w:val="F7EA3FC2"/>
    <w:rsid w:val="FEDF4EC3"/>
    <w:rsid w:val="FF72E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4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6"/>
    <w:qFormat/>
    <w:uiPriority w:val="0"/>
    <w:pPr>
      <w:spacing w:after="120"/>
    </w:pPr>
    <w:rPr>
      <w:i/>
    </w:rPr>
  </w:style>
  <w:style w:type="paragraph" w:styleId="13">
    <w:name w:val="annotation text"/>
    <w:basedOn w:val="1"/>
    <w:link w:val="90"/>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31"/>
    <w:qFormat/>
    <w:uiPriority w:val="10"/>
    <w:pPr>
      <w:spacing w:after="80"/>
      <w:contextualSpacing/>
      <w:jc w:val="center"/>
    </w:pPr>
    <w:rPr>
      <w:rFonts w:asciiTheme="majorHAnsi" w:hAnsiTheme="majorHAnsi" w:eastAsiaTheme="majorEastAsia" w:cstheme="majorBidi"/>
      <w:sz w:val="56"/>
      <w:szCs w:val="56"/>
    </w:rPr>
  </w:style>
  <w:style w:type="paragraph" w:styleId="17">
    <w:name w:val="Balloon Text"/>
    <w:basedOn w:val="1"/>
    <w:link w:val="89"/>
    <w:qFormat/>
    <w:uiPriority w:val="0"/>
    <w:pPr>
      <w:spacing w:after="0"/>
    </w:pPr>
    <w:rPr>
      <w:sz w:val="18"/>
      <w:szCs w:val="18"/>
    </w:rPr>
  </w:style>
  <w:style w:type="paragraph" w:styleId="18">
    <w:name w:val="Subtitle"/>
    <w:basedOn w:val="16"/>
    <w:next w:val="3"/>
    <w:link w:val="32"/>
    <w:qFormat/>
    <w:uiPriority w:val="11"/>
    <w:rPr>
      <w:spacing w:val="15"/>
      <w:sz w:val="28"/>
      <w:szCs w:val="28"/>
    </w:rPr>
  </w:style>
  <w:style w:type="paragraph" w:styleId="19">
    <w:name w:val="footnote text"/>
    <w:basedOn w:val="1"/>
    <w:unhideWhenUsed/>
    <w:qFormat/>
    <w:uiPriority w:val="9"/>
  </w:style>
  <w:style w:type="paragraph" w:styleId="20">
    <w:name w:val="Normal (Web)"/>
    <w:basedOn w:val="1"/>
    <w:qFormat/>
    <w:uiPriority w:val="0"/>
    <w:pPr>
      <w:spacing w:beforeAutospacing="1" w:after="0" w:afterAutospacing="1"/>
    </w:pPr>
    <w:rPr>
      <w:rFonts w:cs="Times New Roman"/>
    </w:rPr>
  </w:style>
  <w:style w:type="paragraph" w:styleId="21">
    <w:name w:val="annotation subject"/>
    <w:basedOn w:val="13"/>
    <w:next w:val="13"/>
    <w:link w:val="91"/>
    <w:qFormat/>
    <w:uiPriority w:val="0"/>
    <w:rPr>
      <w:b/>
      <w:bCs/>
    </w:rPr>
  </w:style>
  <w:style w:type="character" w:styleId="24">
    <w:name w:val="Strong"/>
    <w:basedOn w:val="23"/>
    <w:uiPriority w:val="0"/>
    <w:rPr>
      <w:b/>
    </w:rPr>
  </w:style>
  <w:style w:type="character" w:styleId="25">
    <w:name w:val="Hyperlink"/>
    <w:basedOn w:val="26"/>
    <w:qFormat/>
    <w:uiPriority w:val="0"/>
    <w:rPr>
      <w:color w:val="156082" w:themeColor="accent1"/>
      <w14:textFill>
        <w14:solidFill>
          <w14:schemeClr w14:val="accent1"/>
        </w14:solidFill>
      </w14:textFill>
    </w:rPr>
  </w:style>
  <w:style w:type="character" w:customStyle="1" w:styleId="26">
    <w:name w:val="题注 字符"/>
    <w:basedOn w:val="23"/>
    <w:link w:val="12"/>
    <w:qFormat/>
    <w:uiPriority w:val="0"/>
  </w:style>
  <w:style w:type="character" w:styleId="27">
    <w:name w:val="annotation reference"/>
    <w:basedOn w:val="23"/>
    <w:qFormat/>
    <w:uiPriority w:val="0"/>
    <w:rPr>
      <w:sz w:val="21"/>
      <w:szCs w:val="21"/>
    </w:rPr>
  </w:style>
  <w:style w:type="character" w:styleId="28">
    <w:name w:val="footnote reference"/>
    <w:basedOn w:val="26"/>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character" w:customStyle="1" w:styleId="31">
    <w:name w:val="标题 字符"/>
    <w:basedOn w:val="23"/>
    <w:link w:val="16"/>
    <w:qFormat/>
    <w:uiPriority w:val="10"/>
    <w:rPr>
      <w:rFonts w:asciiTheme="majorHAnsi" w:hAnsiTheme="majorHAnsi" w:eastAsiaTheme="majorEastAsia" w:cstheme="majorBidi"/>
      <w:sz w:val="56"/>
      <w:szCs w:val="56"/>
    </w:rPr>
  </w:style>
  <w:style w:type="character" w:customStyle="1" w:styleId="32">
    <w:name w:val="副标题 字符"/>
    <w:basedOn w:val="23"/>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3">
    <w:name w:val="Author"/>
    <w:basedOn w:val="16"/>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书目1"/>
    <w:basedOn w:val="1"/>
    <w:qFormat/>
    <w:uiPriority w:val="0"/>
  </w:style>
  <w:style w:type="character" w:customStyle="1" w:styleId="37">
    <w:name w:val="标题 1 字符"/>
    <w:basedOn w:val="23"/>
    <w:link w:val="2"/>
    <w:uiPriority w:val="9"/>
    <w:rPr>
      <w:rFonts w:asciiTheme="majorHAnsi" w:hAnsiTheme="majorHAnsi" w:eastAsiaTheme="majorEastAsia" w:cstheme="majorBidi"/>
      <w:color w:val="104862" w:themeColor="accent1" w:themeShade="BF"/>
      <w:sz w:val="40"/>
      <w:szCs w:val="40"/>
    </w:rPr>
  </w:style>
  <w:style w:type="character" w:customStyle="1" w:styleId="38">
    <w:name w:val="标题 2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9">
    <w:name w:val="标题 3 字符"/>
    <w:basedOn w:val="23"/>
    <w:link w:val="5"/>
    <w:semiHidden/>
    <w:qFormat/>
    <w:uiPriority w:val="9"/>
    <w:rPr>
      <w:rFonts w:eastAsiaTheme="majorEastAsia" w:cstheme="majorBidi"/>
      <w:color w:val="104862" w:themeColor="accent1" w:themeShade="BF"/>
      <w:sz w:val="28"/>
      <w:szCs w:val="28"/>
    </w:rPr>
  </w:style>
  <w:style w:type="character" w:customStyle="1" w:styleId="40">
    <w:name w:val="标题 4 字符"/>
    <w:basedOn w:val="23"/>
    <w:link w:val="6"/>
    <w:semiHidden/>
    <w:qFormat/>
    <w:uiPriority w:val="9"/>
    <w:rPr>
      <w:rFonts w:eastAsiaTheme="majorEastAsia" w:cstheme="majorBidi"/>
      <w:i/>
      <w:iCs/>
      <w:color w:val="104862" w:themeColor="accent1" w:themeShade="BF"/>
    </w:rPr>
  </w:style>
  <w:style w:type="character" w:customStyle="1" w:styleId="41">
    <w:name w:val="标题 5 字符"/>
    <w:basedOn w:val="23"/>
    <w:link w:val="7"/>
    <w:semiHidden/>
    <w:uiPriority w:val="9"/>
    <w:rPr>
      <w:rFonts w:eastAsiaTheme="majorEastAsia" w:cstheme="majorBidi"/>
      <w:color w:val="104862" w:themeColor="accent1" w:themeShade="BF"/>
    </w:rPr>
  </w:style>
  <w:style w:type="character" w:customStyle="1" w:styleId="42">
    <w:name w:val="标题 6 字符"/>
    <w:basedOn w:val="23"/>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3">
    <w:name w:val="标题 7 字符"/>
    <w:basedOn w:val="23"/>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标题 8 字符"/>
    <w:basedOn w:val="23"/>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5">
    <w:name w:val="标题 9 字符"/>
    <w:basedOn w:val="23"/>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6">
    <w:name w:val="Footnote Block Text"/>
    <w:basedOn w:val="19"/>
    <w:next w:val="19"/>
    <w:unhideWhenUsed/>
    <w:qFormat/>
    <w:uiPriority w:val="9"/>
    <w:pPr>
      <w:spacing w:before="100" w:after="100"/>
      <w:ind w:left="480" w:right="48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uiPriority w:val="0"/>
    <w:pPr>
      <w:keepNext/>
    </w:pPr>
  </w:style>
  <w:style w:type="character" w:customStyle="1" w:styleId="54">
    <w:name w:val="Verbatim Char"/>
    <w:basedOn w:val="26"/>
    <w:link w:val="55"/>
    <w:qFormat/>
    <w:uiPriority w:val="0"/>
    <w:rPr>
      <w:rFonts w:ascii="Consolas" w:hAnsi="Consolas"/>
      <w:sz w:val="22"/>
    </w:rPr>
  </w:style>
  <w:style w:type="paragraph" w:customStyle="1" w:styleId="55">
    <w:name w:val="Source Code"/>
    <w:basedOn w:val="1"/>
    <w:link w:val="54"/>
    <w:qFormat/>
    <w:uiPriority w:val="0"/>
    <w:pPr>
      <w:wordWrap w:val="0"/>
    </w:pPr>
  </w:style>
  <w:style w:type="character" w:customStyle="1" w:styleId="56">
    <w:name w:val="Section Number"/>
    <w:basedOn w:val="26"/>
    <w:qFormat/>
    <w:uiPriority w:val="0"/>
  </w:style>
  <w:style w:type="paragraph" w:customStyle="1" w:styleId="57">
    <w:name w:val="TOC 标题1"/>
    <w:basedOn w:val="2"/>
    <w:next w:val="3"/>
    <w:unhideWhenUsed/>
    <w:qFormat/>
    <w:uiPriority w:val="39"/>
    <w:pPr>
      <w:spacing w:before="240" w:line="259" w:lineRule="auto"/>
      <w:outlineLvl w:val="9"/>
    </w:pPr>
  </w:style>
  <w:style w:type="character" w:customStyle="1" w:styleId="58">
    <w:name w:val="KeywordTok"/>
    <w:basedOn w:val="54"/>
    <w:qFormat/>
    <w:uiPriority w:val="0"/>
    <w:rPr>
      <w:rFonts w:ascii="Consolas" w:hAnsi="Consolas"/>
      <w:b/>
      <w:color w:val="007020"/>
      <w:sz w:val="22"/>
    </w:rPr>
  </w:style>
  <w:style w:type="character" w:customStyle="1" w:styleId="59">
    <w:name w:val="DataTypeTok"/>
    <w:basedOn w:val="54"/>
    <w:qFormat/>
    <w:uiPriority w:val="0"/>
    <w:rPr>
      <w:rFonts w:ascii="Consolas" w:hAnsi="Consolas"/>
      <w:color w:val="902000"/>
      <w:sz w:val="22"/>
    </w:rPr>
  </w:style>
  <w:style w:type="character" w:customStyle="1" w:styleId="60">
    <w:name w:val="DecValTok"/>
    <w:basedOn w:val="54"/>
    <w:qFormat/>
    <w:uiPriority w:val="0"/>
    <w:rPr>
      <w:rFonts w:ascii="Consolas" w:hAnsi="Consolas"/>
      <w:color w:val="40A070"/>
      <w:sz w:val="22"/>
    </w:rPr>
  </w:style>
  <w:style w:type="character" w:customStyle="1" w:styleId="61">
    <w:name w:val="BaseNTok"/>
    <w:basedOn w:val="54"/>
    <w:uiPriority w:val="0"/>
    <w:rPr>
      <w:rFonts w:ascii="Consolas" w:hAnsi="Consolas"/>
      <w:color w:val="40A070"/>
      <w:sz w:val="22"/>
    </w:rPr>
  </w:style>
  <w:style w:type="character" w:customStyle="1" w:styleId="62">
    <w:name w:val="FloatTok"/>
    <w:basedOn w:val="54"/>
    <w:qFormat/>
    <w:uiPriority w:val="0"/>
    <w:rPr>
      <w:rFonts w:ascii="Consolas" w:hAnsi="Consolas"/>
      <w:color w:val="40A070"/>
      <w:sz w:val="22"/>
    </w:rPr>
  </w:style>
  <w:style w:type="character" w:customStyle="1" w:styleId="63">
    <w:name w:val="ConstantTok"/>
    <w:basedOn w:val="54"/>
    <w:qFormat/>
    <w:uiPriority w:val="0"/>
    <w:rPr>
      <w:rFonts w:ascii="Consolas" w:hAnsi="Consolas"/>
      <w:color w:val="880000"/>
      <w:sz w:val="22"/>
    </w:rPr>
  </w:style>
  <w:style w:type="character" w:customStyle="1" w:styleId="64">
    <w:name w:val="CharTok"/>
    <w:basedOn w:val="54"/>
    <w:qFormat/>
    <w:uiPriority w:val="0"/>
    <w:rPr>
      <w:rFonts w:ascii="Consolas" w:hAnsi="Consolas"/>
      <w:color w:val="4070A0"/>
      <w:sz w:val="22"/>
    </w:rPr>
  </w:style>
  <w:style w:type="character" w:customStyle="1" w:styleId="65">
    <w:name w:val="SpecialCharTok"/>
    <w:basedOn w:val="54"/>
    <w:qFormat/>
    <w:uiPriority w:val="0"/>
    <w:rPr>
      <w:rFonts w:ascii="Consolas" w:hAnsi="Consolas"/>
      <w:color w:val="4070A0"/>
      <w:sz w:val="22"/>
    </w:rPr>
  </w:style>
  <w:style w:type="character" w:customStyle="1" w:styleId="66">
    <w:name w:val="StringTok"/>
    <w:basedOn w:val="54"/>
    <w:qFormat/>
    <w:uiPriority w:val="0"/>
    <w:rPr>
      <w:rFonts w:ascii="Consolas" w:hAnsi="Consolas"/>
      <w:color w:val="4070A0"/>
      <w:sz w:val="22"/>
    </w:rPr>
  </w:style>
  <w:style w:type="character" w:customStyle="1" w:styleId="67">
    <w:name w:val="VerbatimStringTok"/>
    <w:basedOn w:val="54"/>
    <w:qFormat/>
    <w:uiPriority w:val="0"/>
    <w:rPr>
      <w:rFonts w:ascii="Consolas" w:hAnsi="Consolas"/>
      <w:color w:val="4070A0"/>
      <w:sz w:val="22"/>
    </w:rPr>
  </w:style>
  <w:style w:type="character" w:customStyle="1" w:styleId="68">
    <w:name w:val="SpecialStringTok"/>
    <w:basedOn w:val="54"/>
    <w:qFormat/>
    <w:uiPriority w:val="0"/>
    <w:rPr>
      <w:rFonts w:ascii="Consolas" w:hAnsi="Consolas"/>
      <w:color w:val="BB6688"/>
      <w:sz w:val="22"/>
    </w:rPr>
  </w:style>
  <w:style w:type="character" w:customStyle="1" w:styleId="69">
    <w:name w:val="ImportTok"/>
    <w:basedOn w:val="54"/>
    <w:qFormat/>
    <w:uiPriority w:val="0"/>
    <w:rPr>
      <w:rFonts w:ascii="Consolas" w:hAnsi="Consolas"/>
      <w:b/>
      <w:color w:val="008000"/>
      <w:sz w:val="22"/>
    </w:rPr>
  </w:style>
  <w:style w:type="character" w:customStyle="1" w:styleId="70">
    <w:name w:val="CommentTok"/>
    <w:basedOn w:val="54"/>
    <w:qFormat/>
    <w:uiPriority w:val="0"/>
    <w:rPr>
      <w:rFonts w:ascii="Consolas" w:hAnsi="Consolas"/>
      <w:i/>
      <w:color w:val="60A0B0"/>
      <w:sz w:val="22"/>
    </w:rPr>
  </w:style>
  <w:style w:type="character" w:customStyle="1" w:styleId="71">
    <w:name w:val="DocumentationTok"/>
    <w:basedOn w:val="54"/>
    <w:qFormat/>
    <w:uiPriority w:val="0"/>
    <w:rPr>
      <w:rFonts w:ascii="Consolas" w:hAnsi="Consolas"/>
      <w:i/>
      <w:color w:val="BA2121"/>
      <w:sz w:val="22"/>
    </w:rPr>
  </w:style>
  <w:style w:type="character" w:customStyle="1" w:styleId="72">
    <w:name w:val="AnnotationTok"/>
    <w:basedOn w:val="54"/>
    <w:qFormat/>
    <w:uiPriority w:val="0"/>
    <w:rPr>
      <w:rFonts w:ascii="Consolas" w:hAnsi="Consolas"/>
      <w:b/>
      <w:i/>
      <w:color w:val="60A0B0"/>
      <w:sz w:val="22"/>
    </w:rPr>
  </w:style>
  <w:style w:type="character" w:customStyle="1" w:styleId="73">
    <w:name w:val="CommentVarTok"/>
    <w:basedOn w:val="54"/>
    <w:qFormat/>
    <w:uiPriority w:val="0"/>
    <w:rPr>
      <w:rFonts w:ascii="Consolas" w:hAnsi="Consolas"/>
      <w:b/>
      <w:i/>
      <w:color w:val="60A0B0"/>
      <w:sz w:val="22"/>
    </w:rPr>
  </w:style>
  <w:style w:type="character" w:customStyle="1" w:styleId="74">
    <w:name w:val="OtherTok"/>
    <w:basedOn w:val="54"/>
    <w:qFormat/>
    <w:uiPriority w:val="0"/>
    <w:rPr>
      <w:rFonts w:ascii="Consolas" w:hAnsi="Consolas"/>
      <w:color w:val="007020"/>
      <w:sz w:val="22"/>
    </w:rPr>
  </w:style>
  <w:style w:type="character" w:customStyle="1" w:styleId="75">
    <w:name w:val="FunctionTok"/>
    <w:basedOn w:val="54"/>
    <w:qFormat/>
    <w:uiPriority w:val="0"/>
    <w:rPr>
      <w:rFonts w:ascii="Consolas" w:hAnsi="Consolas"/>
      <w:color w:val="06287E"/>
      <w:sz w:val="22"/>
    </w:rPr>
  </w:style>
  <w:style w:type="character" w:customStyle="1" w:styleId="76">
    <w:name w:val="VariableTok"/>
    <w:basedOn w:val="54"/>
    <w:qFormat/>
    <w:uiPriority w:val="0"/>
    <w:rPr>
      <w:rFonts w:ascii="Consolas" w:hAnsi="Consolas"/>
      <w:color w:val="19177C"/>
      <w:sz w:val="22"/>
    </w:rPr>
  </w:style>
  <w:style w:type="character" w:customStyle="1" w:styleId="77">
    <w:name w:val="ControlFlowTok"/>
    <w:basedOn w:val="54"/>
    <w:qFormat/>
    <w:uiPriority w:val="0"/>
    <w:rPr>
      <w:rFonts w:ascii="Consolas" w:hAnsi="Consolas"/>
      <w:b/>
      <w:color w:val="007020"/>
      <w:sz w:val="22"/>
    </w:rPr>
  </w:style>
  <w:style w:type="character" w:customStyle="1" w:styleId="78">
    <w:name w:val="OperatorTok"/>
    <w:basedOn w:val="54"/>
    <w:qFormat/>
    <w:uiPriority w:val="0"/>
    <w:rPr>
      <w:rFonts w:ascii="Consolas" w:hAnsi="Consolas"/>
      <w:color w:val="666666"/>
      <w:sz w:val="22"/>
    </w:rPr>
  </w:style>
  <w:style w:type="character" w:customStyle="1" w:styleId="79">
    <w:name w:val="BuiltInTok"/>
    <w:basedOn w:val="54"/>
    <w:qFormat/>
    <w:uiPriority w:val="0"/>
    <w:rPr>
      <w:rFonts w:ascii="Consolas" w:hAnsi="Consolas"/>
      <w:color w:val="008000"/>
      <w:sz w:val="22"/>
    </w:rPr>
  </w:style>
  <w:style w:type="character" w:customStyle="1" w:styleId="80">
    <w:name w:val="ExtensionTok"/>
    <w:basedOn w:val="54"/>
    <w:qFormat/>
    <w:uiPriority w:val="0"/>
    <w:rPr>
      <w:rFonts w:ascii="Consolas" w:hAnsi="Consolas"/>
      <w:sz w:val="22"/>
    </w:rPr>
  </w:style>
  <w:style w:type="character" w:customStyle="1" w:styleId="81">
    <w:name w:val="PreprocessorTok"/>
    <w:basedOn w:val="54"/>
    <w:qFormat/>
    <w:uiPriority w:val="0"/>
    <w:rPr>
      <w:rFonts w:ascii="Consolas" w:hAnsi="Consolas"/>
      <w:color w:val="BC7A00"/>
      <w:sz w:val="22"/>
    </w:rPr>
  </w:style>
  <w:style w:type="character" w:customStyle="1" w:styleId="82">
    <w:name w:val="AttributeTok"/>
    <w:basedOn w:val="54"/>
    <w:qFormat/>
    <w:uiPriority w:val="0"/>
    <w:rPr>
      <w:rFonts w:ascii="Consolas" w:hAnsi="Consolas"/>
      <w:color w:val="7D9029"/>
      <w:sz w:val="22"/>
    </w:rPr>
  </w:style>
  <w:style w:type="character" w:customStyle="1" w:styleId="83">
    <w:name w:val="RegionMarkerTok"/>
    <w:basedOn w:val="54"/>
    <w:qFormat/>
    <w:uiPriority w:val="0"/>
    <w:rPr>
      <w:rFonts w:ascii="Consolas" w:hAnsi="Consolas"/>
      <w:sz w:val="22"/>
    </w:rPr>
  </w:style>
  <w:style w:type="character" w:customStyle="1" w:styleId="84">
    <w:name w:val="InformationTok"/>
    <w:basedOn w:val="54"/>
    <w:qFormat/>
    <w:uiPriority w:val="0"/>
    <w:rPr>
      <w:rFonts w:ascii="Consolas" w:hAnsi="Consolas"/>
      <w:b/>
      <w:i/>
      <w:color w:val="60A0B0"/>
      <w:sz w:val="22"/>
    </w:rPr>
  </w:style>
  <w:style w:type="character" w:customStyle="1" w:styleId="85">
    <w:name w:val="WarningTok"/>
    <w:basedOn w:val="54"/>
    <w:qFormat/>
    <w:uiPriority w:val="0"/>
    <w:rPr>
      <w:rFonts w:ascii="Consolas" w:hAnsi="Consolas"/>
      <w:b/>
      <w:i/>
      <w:color w:val="60A0B0"/>
      <w:sz w:val="22"/>
    </w:rPr>
  </w:style>
  <w:style w:type="character" w:customStyle="1" w:styleId="86">
    <w:name w:val="AlertTok"/>
    <w:basedOn w:val="54"/>
    <w:qFormat/>
    <w:uiPriority w:val="0"/>
    <w:rPr>
      <w:rFonts w:ascii="Consolas" w:hAnsi="Consolas"/>
      <w:b/>
      <w:color w:val="FF0000"/>
      <w:sz w:val="22"/>
    </w:rPr>
  </w:style>
  <w:style w:type="character" w:customStyle="1" w:styleId="87">
    <w:name w:val="ErrorTok"/>
    <w:basedOn w:val="54"/>
    <w:qFormat/>
    <w:uiPriority w:val="0"/>
    <w:rPr>
      <w:rFonts w:ascii="Consolas" w:hAnsi="Consolas"/>
      <w:b/>
      <w:color w:val="FF0000"/>
      <w:sz w:val="22"/>
    </w:rPr>
  </w:style>
  <w:style w:type="character" w:customStyle="1" w:styleId="88">
    <w:name w:val="NormalTok"/>
    <w:basedOn w:val="54"/>
    <w:qFormat/>
    <w:uiPriority w:val="0"/>
    <w:rPr>
      <w:rFonts w:ascii="Consolas" w:hAnsi="Consolas"/>
      <w:sz w:val="22"/>
    </w:rPr>
  </w:style>
  <w:style w:type="character" w:customStyle="1" w:styleId="89">
    <w:name w:val="批注框文本 字符"/>
    <w:basedOn w:val="23"/>
    <w:link w:val="17"/>
    <w:qFormat/>
    <w:uiPriority w:val="0"/>
    <w:rPr>
      <w:rFonts w:asciiTheme="minorHAnsi" w:hAnsiTheme="minorHAnsi" w:eastAsiaTheme="minorEastAsia" w:cstheme="minorBidi"/>
      <w:sz w:val="18"/>
      <w:szCs w:val="18"/>
    </w:rPr>
  </w:style>
  <w:style w:type="character" w:customStyle="1" w:styleId="90">
    <w:name w:val="批注文字 字符"/>
    <w:basedOn w:val="23"/>
    <w:link w:val="13"/>
    <w:qFormat/>
    <w:uiPriority w:val="0"/>
    <w:rPr>
      <w:rFonts w:asciiTheme="minorHAnsi" w:hAnsiTheme="minorHAnsi" w:eastAsiaTheme="minorEastAsia" w:cstheme="minorBidi"/>
      <w:sz w:val="24"/>
      <w:szCs w:val="24"/>
    </w:rPr>
  </w:style>
  <w:style w:type="character" w:customStyle="1" w:styleId="91">
    <w:name w:val="批注主题 字符"/>
    <w:basedOn w:val="90"/>
    <w:link w:val="21"/>
    <w:qFormat/>
    <w:uiPriority w:val="0"/>
    <w:rPr>
      <w:rFonts w:asciiTheme="minorHAnsi" w:hAnsiTheme="minorHAnsi" w:eastAsiaTheme="minorEastAsia" w:cstheme="minorBidi"/>
      <w:b/>
      <w:bCs/>
      <w:sz w:val="24"/>
      <w:szCs w:val="24"/>
    </w:rPr>
  </w:style>
  <w:style w:type="character" w:styleId="92">
    <w:name w:val="Placeholder Text"/>
    <w:basedOn w:val="2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7029</Words>
  <Characters>10709</Characters>
  <Lines>81</Lines>
  <Paragraphs>22</Paragraphs>
  <TotalTime>18</TotalTime>
  <ScaleCrop>false</ScaleCrop>
  <LinksUpToDate>false</LinksUpToDate>
  <CharactersWithSpaces>11367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2025-12-02T10:15:00Z</dcterms:created>
  <dc:creator>Wei Sun</dc:creator>
  <cp:lastModifiedBy>cecilia</cp:lastModifiedBy>
  <dcterms:modified xsi:type="dcterms:W3CDTF">2025-12-12T03:12:15Z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eyJoZGlkIjoiYTg3NTM0ZjYzMTM0NDk5ODJkOWRiZTQwZDk0NDUwMDciLCJ1c2VySWQiOiI0MjgzMDU0NjkifQ==</vt:lpwstr>
  </property>
  <property fmtid="{D5CDD505-2E9C-101B-9397-08002B2CF9AE}" pid="3" name="KSOProductBuildVer">
    <vt:lpwstr>2052-12.1.0.24034</vt:lpwstr>
  </property>
  <property fmtid="{D5CDD505-2E9C-101B-9397-08002B2CF9AE}" pid="4" name="ICV">
    <vt:lpwstr>670EF3815BF14BC894004DD99BEF15E4_13</vt:lpwstr>
  </property>
</Properties>
</file>