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66C024" w14:textId="77777777" w:rsidR="00A14004" w:rsidRDefault="00000000">
      <w:pPr>
        <w:spacing w:after="80"/>
        <w:jc w:val="center"/>
      </w:pPr>
      <w:r>
        <w:rPr>
          <w:b/>
          <w:bCs/>
        </w:rPr>
        <w:t>COMPLETE TECHNICAL GUIDE</w:t>
      </w:r>
    </w:p>
    <w:p w14:paraId="70E5FFE3" w14:textId="77777777" w:rsidR="00A14004" w:rsidRDefault="00000000">
      <w:pPr>
        <w:spacing w:after="80"/>
        <w:jc w:val="center"/>
      </w:pPr>
      <w:r>
        <w:rPr>
          <w:b/>
          <w:bCs/>
          <w:i/>
          <w:iCs/>
          <w:color w:val="2E5FA3"/>
          <w:sz w:val="24"/>
          <w:szCs w:val="24"/>
        </w:rPr>
        <w:t>Everything We Built After the Interim Report — Explained Line by Line</w:t>
      </w:r>
    </w:p>
    <w:p w14:paraId="4296AD5D" w14:textId="01FEC41B" w:rsidR="00A14004" w:rsidRDefault="00000000">
      <w:pPr>
        <w:spacing w:after="360"/>
        <w:jc w:val="center"/>
      </w:pPr>
      <w:r>
        <w:t>Sagarika Raju | ISE 503 Health Analytics | Spring 2026 | Personal Reference</w:t>
      </w:r>
    </w:p>
    <w:p w14:paraId="2985930A" w14:textId="77777777" w:rsidR="00A14004" w:rsidRDefault="00000000">
      <w:pPr>
        <w:pBdr>
          <w:bottom w:val="single" w:sz="8" w:space="4" w:color="1A3A6B"/>
        </w:pBdr>
        <w:spacing w:before="360" w:after="160"/>
      </w:pPr>
      <w:r>
        <w:rPr>
          <w:b/>
          <w:bCs/>
          <w:color w:val="1A3A6B"/>
          <w:sz w:val="30"/>
          <w:szCs w:val="30"/>
        </w:rPr>
        <w:t>SECTION 1: WHERE WE LEFT OFF AFTER THE INTERIM REPORT</w:t>
      </w:r>
    </w:p>
    <w:p w14:paraId="0466C0B3" w14:textId="77777777" w:rsidR="00A14004" w:rsidRDefault="00000000">
      <w:pPr>
        <w:spacing w:after="160" w:line="284" w:lineRule="auto"/>
        <w:jc w:val="both"/>
      </w:pPr>
      <w:r>
        <w:t xml:space="preserve">After the interim report we had a working pipeline with 14 features and a Logistic Regression baseline scoring AUC 0.828. The pipeline was clean but </w:t>
      </w:r>
      <w:r w:rsidRPr="001C67E1">
        <w:t xml:space="preserve">shallow — </w:t>
      </w:r>
      <w:r w:rsidRPr="001C67E1">
        <w:rPr>
          <w:highlight w:val="yellow"/>
        </w:rPr>
        <w:t>we were only using raw spending totals and claim counts. The model did not know anything about WHY a patient was expensive.</w:t>
      </w:r>
      <w:r>
        <w:t xml:space="preserve"> It just knew how much they spent. The goal of everything after the interim report was to answer three questions: can we give the model more clinically meaningful information? Can a more powerful algorithm do better? And can we translate the results into something an ACO director would </w:t>
      </w:r>
      <w:proofErr w:type="gramStart"/>
      <w:r>
        <w:t>actually act</w:t>
      </w:r>
      <w:proofErr w:type="gramEnd"/>
      <w:r>
        <w:t xml:space="preserve"> on?</w:t>
      </w:r>
    </w:p>
    <w:p w14:paraId="74FB533D" w14:textId="77777777" w:rsidR="00A14004" w:rsidRDefault="00000000">
      <w:pPr>
        <w:pBdr>
          <w:left w:val="single" w:sz="16" w:space="8" w:color="2E5FA3"/>
        </w:pBdr>
        <w:shd w:val="clear" w:color="auto" w:fill="EAF2FB"/>
        <w:spacing w:before="120" w:after="120" w:line="276" w:lineRule="auto"/>
        <w:ind w:left="360"/>
      </w:pPr>
      <w:r>
        <w:rPr>
          <w:b/>
          <w:bCs/>
        </w:rPr>
        <w:t xml:space="preserve">Where we stood after interim:  </w:t>
      </w:r>
      <w:r>
        <w:t>14 features, AUC 0.828, Logistic Regression only, 5 EDA figures, no SHAP on enriched model, no risk decile analysis, no calibration plot.</w:t>
      </w:r>
    </w:p>
    <w:p w14:paraId="68B53E8C" w14:textId="77777777" w:rsidR="00A14004" w:rsidRDefault="00000000">
      <w:r>
        <w:br w:type="page"/>
      </w:r>
    </w:p>
    <w:p w14:paraId="0C2D7693" w14:textId="77777777" w:rsidR="00A14004" w:rsidRDefault="00000000">
      <w:pPr>
        <w:pBdr>
          <w:bottom w:val="single" w:sz="8" w:space="4" w:color="1A3A6B"/>
        </w:pBdr>
        <w:spacing w:before="360" w:after="160"/>
      </w:pPr>
      <w:r>
        <w:rPr>
          <w:b/>
          <w:bCs/>
          <w:color w:val="1A3A6B"/>
          <w:sz w:val="30"/>
          <w:szCs w:val="30"/>
        </w:rPr>
        <w:lastRenderedPageBreak/>
        <w:t>SECTION 2: FEATURE ENGINEERING — MAKING THE MODEL SMARTER</w:t>
      </w:r>
    </w:p>
    <w:p w14:paraId="472AA697" w14:textId="77777777" w:rsidR="00A14004" w:rsidRDefault="00000000">
      <w:pPr>
        <w:spacing w:before="260" w:after="100"/>
      </w:pPr>
      <w:r>
        <w:rPr>
          <w:b/>
          <w:bCs/>
          <w:color w:val="2E5FA3"/>
          <w:sz w:val="25"/>
          <w:szCs w:val="25"/>
        </w:rPr>
        <w:t>Why Feature Engineering Matters</w:t>
      </w:r>
    </w:p>
    <w:p w14:paraId="4A45C9BE" w14:textId="77777777" w:rsidR="00A14004" w:rsidRDefault="00000000">
      <w:pPr>
        <w:spacing w:after="160" w:line="284" w:lineRule="auto"/>
        <w:jc w:val="both"/>
      </w:pPr>
      <w:r>
        <w:t>A machine learning model can only learn from the information you give it. Our original 14 features told the model things like 'this patient spent $50,000 on inpatient care last year.' That is useful but incomplete. It does not tell the model whether that spending was from one catastrophic event or many chronic conditions. It does not tell the model whether spending is growing or shrinking. It does not tell the model whether the patient has diabetes and cardiovascular disease simultaneously — a combination that is far more dangerous than either alone. Feature engineering is the process of creating new, more informative inputs from raw data. This is where domain knowledge meets data science.</w:t>
      </w:r>
    </w:p>
    <w:p w14:paraId="72596486" w14:textId="77777777" w:rsidR="00A14004" w:rsidRDefault="00000000">
      <w:pPr>
        <w:spacing w:before="260" w:after="100"/>
      </w:pPr>
      <w:r>
        <w:rPr>
          <w:b/>
          <w:bCs/>
          <w:color w:val="2E5FA3"/>
          <w:sz w:val="25"/>
          <w:szCs w:val="25"/>
        </w:rPr>
        <w:t xml:space="preserve">Cell 13: </w:t>
      </w:r>
      <w:r w:rsidRPr="00426B90">
        <w:rPr>
          <w:b/>
          <w:bCs/>
          <w:color w:val="2E5FA3"/>
          <w:sz w:val="25"/>
          <w:szCs w:val="25"/>
          <w:highlight w:val="yellow"/>
        </w:rPr>
        <w:t xml:space="preserve">Reloading Claims </w:t>
      </w:r>
      <w:proofErr w:type="gramStart"/>
      <w:r w:rsidRPr="00426B90">
        <w:rPr>
          <w:b/>
          <w:bCs/>
          <w:color w:val="2E5FA3"/>
          <w:sz w:val="25"/>
          <w:szCs w:val="25"/>
          <w:highlight w:val="yellow"/>
        </w:rPr>
        <w:t>With</w:t>
      </w:r>
      <w:proofErr w:type="gramEnd"/>
      <w:r w:rsidRPr="00426B90">
        <w:rPr>
          <w:b/>
          <w:bCs/>
          <w:color w:val="2E5FA3"/>
          <w:sz w:val="25"/>
          <w:szCs w:val="25"/>
          <w:highlight w:val="yellow"/>
        </w:rPr>
        <w:t xml:space="preserve"> Extra Columns</w:t>
      </w:r>
    </w:p>
    <w:p w14:paraId="6A725519" w14:textId="77777777" w:rsidR="00A14004" w:rsidRDefault="00000000">
      <w:pPr>
        <w:spacing w:after="160" w:line="284" w:lineRule="auto"/>
        <w:jc w:val="both"/>
      </w:pPr>
      <w:r>
        <w:t xml:space="preserve">Before we could build new </w:t>
      </w:r>
      <w:proofErr w:type="gramStart"/>
      <w:r>
        <w:t>features</w:t>
      </w:r>
      <w:proofErr w:type="gramEnd"/>
      <w:r>
        <w:t xml:space="preserve"> we needed to reload the claims files with additional columns we had not loaded the first time.</w:t>
      </w:r>
    </w:p>
    <w:p w14:paraId="3F3799FE" w14:textId="77777777" w:rsidR="00A14004" w:rsidRDefault="00000000">
      <w:pPr>
        <w:shd w:val="clear" w:color="auto" w:fill="F8F9FA"/>
        <w:spacing w:after="60"/>
        <w:ind w:left="360"/>
      </w:pPr>
      <w:proofErr w:type="spellStart"/>
      <w:r>
        <w:rPr>
          <w:rFonts w:ascii="Courier New" w:eastAsia="Courier New" w:hAnsi="Courier New" w:cs="Courier New"/>
          <w:color w:val="B03A2E"/>
          <w:sz w:val="19"/>
          <w:szCs w:val="19"/>
        </w:rPr>
        <w:t>inp_rich</w:t>
      </w:r>
      <w:proofErr w:type="spellEnd"/>
      <w:r>
        <w:rPr>
          <w:rFonts w:ascii="Courier New" w:eastAsia="Courier New" w:hAnsi="Courier New" w:cs="Courier New"/>
          <w:color w:val="B03A2E"/>
          <w:sz w:val="19"/>
          <w:szCs w:val="19"/>
        </w:rPr>
        <w:t xml:space="preserve"> = </w:t>
      </w:r>
      <w:proofErr w:type="spellStart"/>
      <w:proofErr w:type="gramStart"/>
      <w:r>
        <w:rPr>
          <w:rFonts w:ascii="Courier New" w:eastAsia="Courier New" w:hAnsi="Courier New" w:cs="Courier New"/>
          <w:color w:val="B03A2E"/>
          <w:sz w:val="19"/>
          <w:szCs w:val="19"/>
        </w:rPr>
        <w:t>pd.read</w:t>
      </w:r>
      <w:proofErr w:type="gramEnd"/>
      <w:r>
        <w:rPr>
          <w:rFonts w:ascii="Courier New" w:eastAsia="Courier New" w:hAnsi="Courier New" w:cs="Courier New"/>
          <w:color w:val="B03A2E"/>
          <w:sz w:val="19"/>
          <w:szCs w:val="19"/>
        </w:rPr>
        <w:t>_csv</w:t>
      </w:r>
      <w:proofErr w:type="spellEnd"/>
      <w:r>
        <w:rPr>
          <w:rFonts w:ascii="Courier New" w:eastAsia="Courier New" w:hAnsi="Courier New" w:cs="Courier New"/>
          <w:color w:val="B03A2E"/>
          <w:sz w:val="19"/>
          <w:szCs w:val="19"/>
        </w:rPr>
        <w:t xml:space="preserve">('../datasets/inpatient.csv', </w:t>
      </w:r>
      <w:proofErr w:type="spellStart"/>
      <w:r>
        <w:rPr>
          <w:rFonts w:ascii="Courier New" w:eastAsia="Courier New" w:hAnsi="Courier New" w:cs="Courier New"/>
          <w:color w:val="B03A2E"/>
          <w:sz w:val="19"/>
          <w:szCs w:val="19"/>
        </w:rPr>
        <w:t>sep</w:t>
      </w:r>
      <w:proofErr w:type="spellEnd"/>
      <w:r>
        <w:rPr>
          <w:rFonts w:ascii="Courier New" w:eastAsia="Courier New" w:hAnsi="Courier New" w:cs="Courier New"/>
          <w:color w:val="B03A2E"/>
          <w:sz w:val="19"/>
          <w:szCs w:val="19"/>
        </w:rPr>
        <w:t>='|',</w:t>
      </w:r>
    </w:p>
    <w:p w14:paraId="531B6D0E" w14:textId="77777777" w:rsidR="00A14004" w:rsidRDefault="00000000">
      <w:pPr>
        <w:shd w:val="clear" w:color="auto" w:fill="F8F9FA"/>
        <w:spacing w:after="60"/>
        <w:ind w:left="360"/>
      </w:pPr>
      <w:r>
        <w:rPr>
          <w:rFonts w:ascii="Courier New" w:eastAsia="Courier New" w:hAnsi="Courier New" w:cs="Courier New"/>
          <w:color w:val="B03A2E"/>
          <w:sz w:val="19"/>
          <w:szCs w:val="19"/>
        </w:rPr>
        <w:t xml:space="preserve">    </w:t>
      </w:r>
      <w:proofErr w:type="spellStart"/>
      <w:r>
        <w:rPr>
          <w:rFonts w:ascii="Courier New" w:eastAsia="Courier New" w:hAnsi="Courier New" w:cs="Courier New"/>
          <w:color w:val="B03A2E"/>
          <w:sz w:val="19"/>
          <w:szCs w:val="19"/>
        </w:rPr>
        <w:t>usecols</w:t>
      </w:r>
      <w:proofErr w:type="spellEnd"/>
      <w:proofErr w:type="gramStart"/>
      <w:r>
        <w:rPr>
          <w:rFonts w:ascii="Courier New" w:eastAsia="Courier New" w:hAnsi="Courier New" w:cs="Courier New"/>
          <w:color w:val="B03A2E"/>
          <w:sz w:val="19"/>
          <w:szCs w:val="19"/>
        </w:rPr>
        <w:t>=[</w:t>
      </w:r>
      <w:proofErr w:type="gramEnd"/>
      <w:r>
        <w:rPr>
          <w:rFonts w:ascii="Courier New" w:eastAsia="Courier New" w:hAnsi="Courier New" w:cs="Courier New"/>
          <w:color w:val="B03A2E"/>
          <w:sz w:val="19"/>
          <w:szCs w:val="19"/>
        </w:rPr>
        <w:t>'BENE_ID', 'CLM_FROM_DT', 'CLM_PMT_AMT',</w:t>
      </w:r>
    </w:p>
    <w:p w14:paraId="5E338C5F" w14:textId="77777777" w:rsidR="00A14004" w:rsidRDefault="00000000">
      <w:pPr>
        <w:shd w:val="clear" w:color="auto" w:fill="F8F9FA"/>
        <w:spacing w:after="60"/>
        <w:ind w:left="360"/>
      </w:pPr>
      <w:r>
        <w:rPr>
          <w:rFonts w:ascii="Courier New" w:eastAsia="Courier New" w:hAnsi="Courier New" w:cs="Courier New"/>
          <w:color w:val="B03A2E"/>
          <w:sz w:val="19"/>
          <w:szCs w:val="19"/>
        </w:rPr>
        <w:t xml:space="preserve">             'CLM_UTLZTN_DAY_CNT', 'CLM_IP_ADMSN_TYPE_CD',</w:t>
      </w:r>
    </w:p>
    <w:p w14:paraId="7A9D13FE" w14:textId="77777777" w:rsidR="00A14004" w:rsidRDefault="00000000">
      <w:pPr>
        <w:shd w:val="clear" w:color="auto" w:fill="F8F9FA"/>
        <w:spacing w:after="60"/>
        <w:ind w:left="360"/>
      </w:pPr>
      <w:r>
        <w:rPr>
          <w:rFonts w:ascii="Courier New" w:eastAsia="Courier New" w:hAnsi="Courier New" w:cs="Courier New"/>
          <w:color w:val="B03A2E"/>
          <w:sz w:val="19"/>
          <w:szCs w:val="19"/>
        </w:rPr>
        <w:t xml:space="preserve">             'CLM_ADMSN_DT', 'CLM_THRU_DT',</w:t>
      </w:r>
    </w:p>
    <w:p w14:paraId="7714DE4C" w14:textId="77777777" w:rsidR="00A14004" w:rsidRDefault="00000000">
      <w:pPr>
        <w:shd w:val="clear" w:color="auto" w:fill="F8F9FA"/>
        <w:spacing w:after="60"/>
        <w:ind w:left="360"/>
      </w:pPr>
      <w:r>
        <w:rPr>
          <w:rFonts w:ascii="Courier New" w:eastAsia="Courier New" w:hAnsi="Courier New" w:cs="Courier New"/>
          <w:color w:val="B03A2E"/>
          <w:sz w:val="19"/>
          <w:szCs w:val="19"/>
        </w:rPr>
        <w:t xml:space="preserve">             'ICD_DGNS_CD1' through 'ICD_DGNS_CD10'])</w:t>
      </w:r>
    </w:p>
    <w:p w14:paraId="76A10084" w14:textId="77777777" w:rsidR="00A14004" w:rsidRDefault="00000000">
      <w:pPr>
        <w:spacing w:after="160" w:line="284" w:lineRule="auto"/>
        <w:jc w:val="both"/>
      </w:pPr>
      <w:r>
        <w:rPr>
          <w:b/>
          <w:bCs/>
        </w:rPr>
        <w:t>CLM_IP_ADMSN_TYPE_CD</w:t>
      </w:r>
      <w:r>
        <w:t xml:space="preserve"> — This column tells us the TYPE of hospital admission. Code 1 means Emergency admission (patient came through the ER). Code 2 means Urgent. Code 3 means Elective (scheduled). Emergency admissions are a known driver of high costs and signal acute illness rather than planned care. We loaded this specifically to build an emergency admission count feature.</w:t>
      </w:r>
    </w:p>
    <w:p w14:paraId="199DD259" w14:textId="77777777" w:rsidR="00A14004" w:rsidRDefault="00000000">
      <w:pPr>
        <w:spacing w:after="160" w:line="284" w:lineRule="auto"/>
        <w:jc w:val="both"/>
      </w:pPr>
      <w:r>
        <w:rPr>
          <w:b/>
          <w:bCs/>
        </w:rPr>
        <w:t>ICD_DGNS_CD1 through ICD_DGNS_CD10</w:t>
      </w:r>
      <w:r>
        <w:t xml:space="preserve"> — These are ICD-10 diagnosis codes. Every time a patient has a claim, the doctor records what conditions they were being treated for using standardized codes. For example, I10 is hypertension, E11 is Type 2 diabetes, C50 is breast cancer. By reading these codes we can figure out which chronic disease categories each patient has. We loaded 10 diagnosis code columns per claim — a patient with multiple conditions will have codes in several columns.</w:t>
      </w:r>
    </w:p>
    <w:p w14:paraId="569B66B0" w14:textId="77777777" w:rsidR="00A14004" w:rsidRDefault="00000000">
      <w:pPr>
        <w:spacing w:after="160" w:line="284" w:lineRule="auto"/>
        <w:jc w:val="both"/>
      </w:pPr>
      <w:r>
        <w:rPr>
          <w:b/>
          <w:bCs/>
        </w:rPr>
        <w:t>CLM_ADMSN_DT and CLM_THRU_DT</w:t>
      </w:r>
      <w:r>
        <w:t xml:space="preserve"> — These are the admission date and discharge date for each hospital stay. We needed both to compute 30-day readmissions — if a patient is discharged and admitted again within 30 days, that is a readmission, which is a major cost driver and clinical quality indicator.</w:t>
      </w:r>
    </w:p>
    <w:p w14:paraId="22BF5D48" w14:textId="77777777" w:rsidR="00A14004" w:rsidRDefault="00000000">
      <w:pPr>
        <w:pBdr>
          <w:left w:val="single" w:sz="16" w:space="8" w:color="2E5FA3"/>
        </w:pBdr>
        <w:shd w:val="clear" w:color="auto" w:fill="EAF2FB"/>
        <w:spacing w:before="120" w:after="120" w:line="276" w:lineRule="auto"/>
        <w:ind w:left="360"/>
      </w:pPr>
      <w:r>
        <w:rPr>
          <w:b/>
          <w:bCs/>
        </w:rPr>
        <w:t xml:space="preserve">Why </w:t>
      </w:r>
      <w:proofErr w:type="spellStart"/>
      <w:r>
        <w:rPr>
          <w:b/>
          <w:bCs/>
        </w:rPr>
        <w:t>usecols</w:t>
      </w:r>
      <w:proofErr w:type="spellEnd"/>
      <w:r>
        <w:rPr>
          <w:b/>
          <w:bCs/>
        </w:rPr>
        <w:t xml:space="preserve">?  </w:t>
      </w:r>
      <w:r>
        <w:t>The full inpatient file has 197 columns. Loading only the ones we need makes loading 5x faster and uses much less RAM. This is good data engineering practice.</w:t>
      </w:r>
    </w:p>
    <w:p w14:paraId="226A69DA" w14:textId="77777777" w:rsidR="00A14004" w:rsidRDefault="00000000">
      <w:pPr>
        <w:spacing w:before="260" w:after="100"/>
      </w:pPr>
      <w:r>
        <w:rPr>
          <w:b/>
          <w:bCs/>
          <w:color w:val="2E5FA3"/>
          <w:sz w:val="25"/>
          <w:szCs w:val="25"/>
        </w:rPr>
        <w:t>Cell 14: Building the Advanced Features</w:t>
      </w:r>
    </w:p>
    <w:p w14:paraId="676B89BD" w14:textId="77777777" w:rsidR="00A14004" w:rsidRDefault="00000000">
      <w:pPr>
        <w:spacing w:before="180" w:after="80"/>
      </w:pPr>
      <w:r>
        <w:rPr>
          <w:b/>
          <w:bCs/>
          <w:color w:val="1A5276"/>
        </w:rPr>
        <w:t>Feature 1: Emergency and Elective Admission Counts</w:t>
      </w:r>
    </w:p>
    <w:p w14:paraId="239004AF" w14:textId="77777777" w:rsidR="00A14004" w:rsidRDefault="00000000">
      <w:pPr>
        <w:shd w:val="clear" w:color="auto" w:fill="F8F9FA"/>
        <w:spacing w:after="60"/>
        <w:ind w:left="360"/>
      </w:pPr>
      <w:proofErr w:type="spellStart"/>
      <w:r>
        <w:rPr>
          <w:rFonts w:ascii="Courier New" w:eastAsia="Courier New" w:hAnsi="Courier New" w:cs="Courier New"/>
          <w:color w:val="B03A2E"/>
          <w:sz w:val="19"/>
          <w:szCs w:val="19"/>
        </w:rPr>
        <w:t>emerg</w:t>
      </w:r>
      <w:proofErr w:type="spellEnd"/>
      <w:r>
        <w:rPr>
          <w:rFonts w:ascii="Courier New" w:eastAsia="Courier New" w:hAnsi="Courier New" w:cs="Courier New"/>
          <w:color w:val="B03A2E"/>
          <w:sz w:val="19"/>
          <w:szCs w:val="19"/>
        </w:rPr>
        <w:t xml:space="preserve"> = </w:t>
      </w:r>
      <w:proofErr w:type="spellStart"/>
      <w:r>
        <w:rPr>
          <w:rFonts w:ascii="Courier New" w:eastAsia="Courier New" w:hAnsi="Courier New" w:cs="Courier New"/>
          <w:color w:val="B03A2E"/>
          <w:sz w:val="19"/>
          <w:szCs w:val="19"/>
        </w:rPr>
        <w:t>inp_yr</w:t>
      </w:r>
      <w:proofErr w:type="spellEnd"/>
      <w:r>
        <w:rPr>
          <w:rFonts w:ascii="Courier New" w:eastAsia="Courier New" w:hAnsi="Courier New" w:cs="Courier New"/>
          <w:color w:val="B03A2E"/>
          <w:sz w:val="19"/>
          <w:szCs w:val="19"/>
        </w:rPr>
        <w:t>[</w:t>
      </w:r>
      <w:proofErr w:type="spellStart"/>
      <w:r>
        <w:rPr>
          <w:rFonts w:ascii="Courier New" w:eastAsia="Courier New" w:hAnsi="Courier New" w:cs="Courier New"/>
          <w:color w:val="B03A2E"/>
          <w:sz w:val="19"/>
          <w:szCs w:val="19"/>
        </w:rPr>
        <w:t>inp_yr</w:t>
      </w:r>
      <w:proofErr w:type="spellEnd"/>
      <w:r>
        <w:rPr>
          <w:rFonts w:ascii="Courier New" w:eastAsia="Courier New" w:hAnsi="Courier New" w:cs="Courier New"/>
          <w:color w:val="B03A2E"/>
          <w:sz w:val="19"/>
          <w:szCs w:val="19"/>
        </w:rPr>
        <w:t>['CLM_IP_ADMSN_TYPE_CD'] == 1]</w:t>
      </w:r>
    </w:p>
    <w:p w14:paraId="67106C10" w14:textId="77777777" w:rsidR="00A14004" w:rsidRDefault="00000000">
      <w:pPr>
        <w:shd w:val="clear" w:color="auto" w:fill="F8F9FA"/>
        <w:spacing w:after="60"/>
        <w:ind w:left="360"/>
      </w:pPr>
      <w:proofErr w:type="spellStart"/>
      <w:r>
        <w:rPr>
          <w:rFonts w:ascii="Courier New" w:eastAsia="Courier New" w:hAnsi="Courier New" w:cs="Courier New"/>
          <w:color w:val="B03A2E"/>
          <w:sz w:val="19"/>
          <w:szCs w:val="19"/>
        </w:rPr>
        <w:t>emerg_cnt</w:t>
      </w:r>
      <w:proofErr w:type="spellEnd"/>
      <w:r>
        <w:rPr>
          <w:rFonts w:ascii="Courier New" w:eastAsia="Courier New" w:hAnsi="Courier New" w:cs="Courier New"/>
          <w:color w:val="B03A2E"/>
          <w:sz w:val="19"/>
          <w:szCs w:val="19"/>
        </w:rPr>
        <w:t xml:space="preserve"> = </w:t>
      </w:r>
      <w:proofErr w:type="spellStart"/>
      <w:proofErr w:type="gramStart"/>
      <w:r>
        <w:rPr>
          <w:rFonts w:ascii="Courier New" w:eastAsia="Courier New" w:hAnsi="Courier New" w:cs="Courier New"/>
          <w:color w:val="B03A2E"/>
          <w:sz w:val="19"/>
          <w:szCs w:val="19"/>
        </w:rPr>
        <w:t>emerg.groupby</w:t>
      </w:r>
      <w:proofErr w:type="spellEnd"/>
      <w:proofErr w:type="gramEnd"/>
      <w:r>
        <w:rPr>
          <w:rFonts w:ascii="Courier New" w:eastAsia="Courier New" w:hAnsi="Courier New" w:cs="Courier New"/>
          <w:color w:val="B03A2E"/>
          <w:sz w:val="19"/>
          <w:szCs w:val="19"/>
        </w:rPr>
        <w:t>('BENE_ID').size().</w:t>
      </w:r>
      <w:proofErr w:type="spellStart"/>
      <w:r>
        <w:rPr>
          <w:rFonts w:ascii="Courier New" w:eastAsia="Courier New" w:hAnsi="Courier New" w:cs="Courier New"/>
          <w:color w:val="B03A2E"/>
          <w:sz w:val="19"/>
          <w:szCs w:val="19"/>
        </w:rPr>
        <w:t>reset_index</w:t>
      </w:r>
      <w:proofErr w:type="spellEnd"/>
      <w:r>
        <w:rPr>
          <w:rFonts w:ascii="Courier New" w:eastAsia="Courier New" w:hAnsi="Courier New" w:cs="Courier New"/>
          <w:color w:val="B03A2E"/>
          <w:sz w:val="19"/>
          <w:szCs w:val="19"/>
        </w:rPr>
        <w:t>(name='EMERG_ADMITS')</w:t>
      </w:r>
    </w:p>
    <w:p w14:paraId="7C0E8E61" w14:textId="77777777" w:rsidR="00A14004" w:rsidRDefault="00000000">
      <w:pPr>
        <w:spacing w:after="160" w:line="284" w:lineRule="auto"/>
        <w:jc w:val="both"/>
      </w:pPr>
      <w:r>
        <w:lastRenderedPageBreak/>
        <w:t xml:space="preserve">We filter the inpatient claims to only rows where the admission type is 1 (Emergency). Then we group by patient ID and count how many emergency admissions each patient had in Year 1. </w:t>
      </w:r>
      <w:proofErr w:type="spellStart"/>
      <w:r>
        <w:rPr>
          <w:b/>
          <w:bCs/>
        </w:rPr>
        <w:t>groupby</w:t>
      </w:r>
      <w:proofErr w:type="spellEnd"/>
      <w:r>
        <w:rPr>
          <w:b/>
          <w:bCs/>
        </w:rPr>
        <w:t>('BENE_ID'</w:t>
      </w:r>
      <w:proofErr w:type="gramStart"/>
      <w:r>
        <w:rPr>
          <w:b/>
          <w:bCs/>
        </w:rPr>
        <w:t>).size</w:t>
      </w:r>
      <w:proofErr w:type="gramEnd"/>
      <w:r>
        <w:rPr>
          <w:b/>
          <w:bCs/>
        </w:rPr>
        <w:t>()</w:t>
      </w:r>
      <w:r>
        <w:t xml:space="preserve"> counts the number of rows per patient — since each row is one claim, this gives us the count of emergency admissions. We do the same thing for elective admissions (type 3). A patient with 5 emergency admissions in 2022 is telling the model: this person had acute, unplanned healthcare needs repeatedly — they are at high risk of continuing or worsening.</w:t>
      </w:r>
    </w:p>
    <w:p w14:paraId="55792702" w14:textId="77777777" w:rsidR="00A14004" w:rsidRDefault="00000000">
      <w:pPr>
        <w:pBdr>
          <w:left w:val="single" w:sz="16" w:space="8" w:color="27AE60"/>
        </w:pBdr>
        <w:shd w:val="clear" w:color="auto" w:fill="EAFAF1"/>
        <w:spacing w:before="120" w:after="120" w:line="276" w:lineRule="auto"/>
        <w:ind w:left="360"/>
      </w:pPr>
      <w:r>
        <w:rPr>
          <w:b/>
          <w:bCs/>
        </w:rPr>
        <w:t xml:space="preserve">★ Finding: </w:t>
      </w:r>
      <w:r>
        <w:t>1,375 patients had at least one emergency admission in 2022. The most any single patient had was 183, which is an extreme outlier likely indicating a data artifact or very complex clinical case.</w:t>
      </w:r>
    </w:p>
    <w:p w14:paraId="23DA56AA" w14:textId="77777777" w:rsidR="00A14004" w:rsidRDefault="00000000">
      <w:pPr>
        <w:spacing w:before="180" w:after="80"/>
      </w:pPr>
      <w:r>
        <w:rPr>
          <w:b/>
          <w:bCs/>
          <w:color w:val="1A5276"/>
        </w:rPr>
        <w:t>Feature 2: 30-Day Readmission Count</w:t>
      </w:r>
    </w:p>
    <w:p w14:paraId="0A3B708F" w14:textId="77777777" w:rsidR="00A14004" w:rsidRDefault="00000000">
      <w:pPr>
        <w:shd w:val="clear" w:color="auto" w:fill="F8F9FA"/>
        <w:spacing w:after="60"/>
        <w:ind w:left="360"/>
      </w:pPr>
      <w:proofErr w:type="spellStart"/>
      <w:r>
        <w:rPr>
          <w:rFonts w:ascii="Courier New" w:eastAsia="Courier New" w:hAnsi="Courier New" w:cs="Courier New"/>
          <w:color w:val="B03A2E"/>
          <w:sz w:val="19"/>
          <w:szCs w:val="19"/>
        </w:rPr>
        <w:t>inp_sorted</w:t>
      </w:r>
      <w:proofErr w:type="spellEnd"/>
      <w:r>
        <w:rPr>
          <w:rFonts w:ascii="Courier New" w:eastAsia="Courier New" w:hAnsi="Courier New" w:cs="Courier New"/>
          <w:color w:val="B03A2E"/>
          <w:sz w:val="19"/>
          <w:szCs w:val="19"/>
        </w:rPr>
        <w:t xml:space="preserve"> = </w:t>
      </w:r>
      <w:proofErr w:type="spellStart"/>
      <w:r>
        <w:rPr>
          <w:rFonts w:ascii="Courier New" w:eastAsia="Courier New" w:hAnsi="Courier New" w:cs="Courier New"/>
          <w:color w:val="B03A2E"/>
          <w:sz w:val="19"/>
          <w:szCs w:val="19"/>
        </w:rPr>
        <w:t>inp_</w:t>
      </w:r>
      <w:proofErr w:type="gramStart"/>
      <w:r>
        <w:rPr>
          <w:rFonts w:ascii="Courier New" w:eastAsia="Courier New" w:hAnsi="Courier New" w:cs="Courier New"/>
          <w:color w:val="B03A2E"/>
          <w:sz w:val="19"/>
          <w:szCs w:val="19"/>
        </w:rPr>
        <w:t>sorted.sort</w:t>
      </w:r>
      <w:proofErr w:type="gramEnd"/>
      <w:r>
        <w:rPr>
          <w:rFonts w:ascii="Courier New" w:eastAsia="Courier New" w:hAnsi="Courier New" w:cs="Courier New"/>
          <w:color w:val="B03A2E"/>
          <w:sz w:val="19"/>
          <w:szCs w:val="19"/>
        </w:rPr>
        <w:t>_values</w:t>
      </w:r>
      <w:proofErr w:type="spellEnd"/>
      <w:r>
        <w:rPr>
          <w:rFonts w:ascii="Courier New" w:eastAsia="Courier New" w:hAnsi="Courier New" w:cs="Courier New"/>
          <w:color w:val="B03A2E"/>
          <w:sz w:val="19"/>
          <w:szCs w:val="19"/>
        </w:rPr>
        <w:t>(['BENE_ID','CLM_ADMSN_DT'])</w:t>
      </w:r>
    </w:p>
    <w:p w14:paraId="2559C54A" w14:textId="77777777" w:rsidR="00A14004" w:rsidRDefault="00000000">
      <w:pPr>
        <w:shd w:val="clear" w:color="auto" w:fill="F8F9FA"/>
        <w:spacing w:after="60"/>
        <w:ind w:left="360"/>
      </w:pPr>
      <w:proofErr w:type="spellStart"/>
      <w:r>
        <w:rPr>
          <w:rFonts w:ascii="Courier New" w:eastAsia="Courier New" w:hAnsi="Courier New" w:cs="Courier New"/>
          <w:color w:val="B03A2E"/>
          <w:sz w:val="19"/>
          <w:szCs w:val="19"/>
        </w:rPr>
        <w:t>inp_sorted</w:t>
      </w:r>
      <w:proofErr w:type="spellEnd"/>
      <w:r>
        <w:rPr>
          <w:rFonts w:ascii="Courier New" w:eastAsia="Courier New" w:hAnsi="Courier New" w:cs="Courier New"/>
          <w:color w:val="B03A2E"/>
          <w:sz w:val="19"/>
          <w:szCs w:val="19"/>
        </w:rPr>
        <w:t xml:space="preserve">['PREV_DISCH'] = </w:t>
      </w:r>
      <w:proofErr w:type="spellStart"/>
      <w:r>
        <w:rPr>
          <w:rFonts w:ascii="Courier New" w:eastAsia="Courier New" w:hAnsi="Courier New" w:cs="Courier New"/>
          <w:color w:val="B03A2E"/>
          <w:sz w:val="19"/>
          <w:szCs w:val="19"/>
        </w:rPr>
        <w:t>inp_</w:t>
      </w:r>
      <w:proofErr w:type="gramStart"/>
      <w:r>
        <w:rPr>
          <w:rFonts w:ascii="Courier New" w:eastAsia="Courier New" w:hAnsi="Courier New" w:cs="Courier New"/>
          <w:color w:val="B03A2E"/>
          <w:sz w:val="19"/>
          <w:szCs w:val="19"/>
        </w:rPr>
        <w:t>sorted.groupby</w:t>
      </w:r>
      <w:proofErr w:type="spellEnd"/>
      <w:proofErr w:type="gramEnd"/>
      <w:r>
        <w:rPr>
          <w:rFonts w:ascii="Courier New" w:eastAsia="Courier New" w:hAnsi="Courier New" w:cs="Courier New"/>
          <w:color w:val="B03A2E"/>
          <w:sz w:val="19"/>
          <w:szCs w:val="19"/>
        </w:rPr>
        <w:t>('BENE_ID')['CLM_THRU_DT'].shift(1)</w:t>
      </w:r>
    </w:p>
    <w:p w14:paraId="7FF26937" w14:textId="77777777" w:rsidR="00A14004" w:rsidRDefault="00000000">
      <w:pPr>
        <w:shd w:val="clear" w:color="auto" w:fill="F8F9FA"/>
        <w:spacing w:after="60"/>
        <w:ind w:left="360"/>
      </w:pPr>
      <w:proofErr w:type="spellStart"/>
      <w:r>
        <w:rPr>
          <w:rFonts w:ascii="Courier New" w:eastAsia="Courier New" w:hAnsi="Courier New" w:cs="Courier New"/>
          <w:color w:val="B03A2E"/>
          <w:sz w:val="19"/>
          <w:szCs w:val="19"/>
        </w:rPr>
        <w:t>inp_sorted</w:t>
      </w:r>
      <w:proofErr w:type="spellEnd"/>
      <w:r>
        <w:rPr>
          <w:rFonts w:ascii="Courier New" w:eastAsia="Courier New" w:hAnsi="Courier New" w:cs="Courier New"/>
          <w:color w:val="B03A2E"/>
          <w:sz w:val="19"/>
          <w:szCs w:val="19"/>
        </w:rPr>
        <w:t>['DAYS_SINCE_DISCH'] = (</w:t>
      </w:r>
      <w:proofErr w:type="spellStart"/>
      <w:r>
        <w:rPr>
          <w:rFonts w:ascii="Courier New" w:eastAsia="Courier New" w:hAnsi="Courier New" w:cs="Courier New"/>
          <w:color w:val="B03A2E"/>
          <w:sz w:val="19"/>
          <w:szCs w:val="19"/>
        </w:rPr>
        <w:t>inp_sorted</w:t>
      </w:r>
      <w:proofErr w:type="spellEnd"/>
      <w:r>
        <w:rPr>
          <w:rFonts w:ascii="Courier New" w:eastAsia="Courier New" w:hAnsi="Courier New" w:cs="Courier New"/>
          <w:color w:val="B03A2E"/>
          <w:sz w:val="19"/>
          <w:szCs w:val="19"/>
        </w:rPr>
        <w:t xml:space="preserve">['CLM_ADMSN_DT'] - </w:t>
      </w:r>
      <w:proofErr w:type="spellStart"/>
      <w:r>
        <w:rPr>
          <w:rFonts w:ascii="Courier New" w:eastAsia="Courier New" w:hAnsi="Courier New" w:cs="Courier New"/>
          <w:color w:val="B03A2E"/>
          <w:sz w:val="19"/>
          <w:szCs w:val="19"/>
        </w:rPr>
        <w:t>inp_sorted</w:t>
      </w:r>
      <w:proofErr w:type="spellEnd"/>
      <w:r>
        <w:rPr>
          <w:rFonts w:ascii="Courier New" w:eastAsia="Courier New" w:hAnsi="Courier New" w:cs="Courier New"/>
          <w:color w:val="B03A2E"/>
          <w:sz w:val="19"/>
          <w:szCs w:val="19"/>
        </w:rPr>
        <w:t>['PREV_DISCH']).</w:t>
      </w:r>
      <w:proofErr w:type="spellStart"/>
      <w:proofErr w:type="gramStart"/>
      <w:r>
        <w:rPr>
          <w:rFonts w:ascii="Courier New" w:eastAsia="Courier New" w:hAnsi="Courier New" w:cs="Courier New"/>
          <w:color w:val="B03A2E"/>
          <w:sz w:val="19"/>
          <w:szCs w:val="19"/>
        </w:rPr>
        <w:t>dt.days</w:t>
      </w:r>
      <w:proofErr w:type="spellEnd"/>
      <w:proofErr w:type="gramEnd"/>
    </w:p>
    <w:p w14:paraId="11BB722C" w14:textId="77777777" w:rsidR="00A14004" w:rsidRDefault="00000000">
      <w:pPr>
        <w:shd w:val="clear" w:color="auto" w:fill="F8F9FA"/>
        <w:spacing w:after="60"/>
        <w:ind w:left="360"/>
      </w:pPr>
      <w:r>
        <w:rPr>
          <w:rFonts w:ascii="Courier New" w:eastAsia="Courier New" w:hAnsi="Courier New" w:cs="Courier New"/>
          <w:color w:val="B03A2E"/>
          <w:sz w:val="19"/>
          <w:szCs w:val="19"/>
        </w:rPr>
        <w:t xml:space="preserve">readmit = </w:t>
      </w:r>
      <w:proofErr w:type="spellStart"/>
      <w:r>
        <w:rPr>
          <w:rFonts w:ascii="Courier New" w:eastAsia="Courier New" w:hAnsi="Courier New" w:cs="Courier New"/>
          <w:color w:val="B03A2E"/>
          <w:sz w:val="19"/>
          <w:szCs w:val="19"/>
        </w:rPr>
        <w:t>inp_sorted</w:t>
      </w:r>
      <w:proofErr w:type="spellEnd"/>
      <w:r>
        <w:rPr>
          <w:rFonts w:ascii="Courier New" w:eastAsia="Courier New" w:hAnsi="Courier New" w:cs="Courier New"/>
          <w:color w:val="B03A2E"/>
          <w:sz w:val="19"/>
          <w:szCs w:val="19"/>
        </w:rPr>
        <w:t>[</w:t>
      </w:r>
      <w:proofErr w:type="spellStart"/>
      <w:r>
        <w:rPr>
          <w:rFonts w:ascii="Courier New" w:eastAsia="Courier New" w:hAnsi="Courier New" w:cs="Courier New"/>
          <w:color w:val="B03A2E"/>
          <w:sz w:val="19"/>
          <w:szCs w:val="19"/>
        </w:rPr>
        <w:t>inp_sorted</w:t>
      </w:r>
      <w:proofErr w:type="spellEnd"/>
      <w:r>
        <w:rPr>
          <w:rFonts w:ascii="Courier New" w:eastAsia="Courier New" w:hAnsi="Courier New" w:cs="Courier New"/>
          <w:color w:val="B03A2E"/>
          <w:sz w:val="19"/>
          <w:szCs w:val="19"/>
        </w:rPr>
        <w:t>['DAYS_SINCE_DISCH'] &lt;= 30]</w:t>
      </w:r>
    </w:p>
    <w:p w14:paraId="5F17B9F4" w14:textId="77777777" w:rsidR="00A14004" w:rsidRDefault="00000000">
      <w:pPr>
        <w:spacing w:after="160" w:line="284" w:lineRule="auto"/>
        <w:jc w:val="both"/>
      </w:pPr>
      <w:r>
        <w:t xml:space="preserve">This is one of the more sophisticated features we built. Here is the logic step by step: First we sort </w:t>
      </w:r>
      <w:proofErr w:type="gramStart"/>
      <w:r>
        <w:t>all of</w:t>
      </w:r>
      <w:proofErr w:type="gramEnd"/>
      <w:r>
        <w:t xml:space="preserve"> a patient's admissions in date order. Then for each admission we look at the previous discharge date </w:t>
      </w:r>
      <w:proofErr w:type="gramStart"/>
      <w:r>
        <w:t xml:space="preserve">using </w:t>
      </w:r>
      <w:r>
        <w:rPr>
          <w:b/>
          <w:bCs/>
        </w:rPr>
        <w:t>.shift</w:t>
      </w:r>
      <w:proofErr w:type="gramEnd"/>
      <w:r>
        <w:rPr>
          <w:b/>
          <w:bCs/>
        </w:rPr>
        <w:t>(1)</w:t>
      </w:r>
      <w:r>
        <w:t xml:space="preserve"> — this shifts the discharge date column down by one row so each admission is paired with the previous discharge. Then we compute the number of days between the previous discharge and the current admission. If that gap is 30 days or less, we call it a readmission.</w:t>
      </w:r>
    </w:p>
    <w:p w14:paraId="2C45B9C8" w14:textId="77777777" w:rsidR="00A14004" w:rsidRDefault="00000000">
      <w:pPr>
        <w:spacing w:after="160" w:line="284" w:lineRule="auto"/>
        <w:jc w:val="both"/>
      </w:pPr>
      <w:r>
        <w:rPr>
          <w:b/>
          <w:bCs/>
        </w:rPr>
        <w:t>Why readmissions matter:</w:t>
      </w:r>
      <w:r>
        <w:t xml:space="preserve"> A readmission within 30 days of discharge often means the original discharge was premature or the patient did not get adequate follow-up care. Readmissions are expensive, preventable in many cases, and a key target of ACO care management programs. CMS </w:t>
      </w:r>
      <w:proofErr w:type="gramStart"/>
      <w:r>
        <w:t>actually penalizes</w:t>
      </w:r>
      <w:proofErr w:type="gramEnd"/>
      <w:r>
        <w:t xml:space="preserve"> hospitals for high readmission rates.</w:t>
      </w:r>
    </w:p>
    <w:p w14:paraId="09F4F5F7" w14:textId="77777777" w:rsidR="00A14004" w:rsidRDefault="00000000">
      <w:pPr>
        <w:spacing w:before="180" w:after="80"/>
      </w:pPr>
      <w:r>
        <w:rPr>
          <w:b/>
          <w:bCs/>
          <w:color w:val="1A5276"/>
        </w:rPr>
        <w:t>Feature 3: Unique Diagnosis Count (Comorbidity Burden)</w:t>
      </w:r>
    </w:p>
    <w:p w14:paraId="158CC313" w14:textId="77777777" w:rsidR="00A14004" w:rsidRDefault="00000000">
      <w:pPr>
        <w:shd w:val="clear" w:color="auto" w:fill="F8F9FA"/>
        <w:spacing w:after="60"/>
        <w:ind w:left="360"/>
      </w:pPr>
      <w:proofErr w:type="spellStart"/>
      <w:r>
        <w:rPr>
          <w:rFonts w:ascii="Courier New" w:eastAsia="Courier New" w:hAnsi="Courier New" w:cs="Courier New"/>
          <w:color w:val="B03A2E"/>
          <w:sz w:val="19"/>
          <w:szCs w:val="19"/>
        </w:rPr>
        <w:t>inp_icd</w:t>
      </w:r>
      <w:proofErr w:type="spellEnd"/>
      <w:r>
        <w:rPr>
          <w:rFonts w:ascii="Courier New" w:eastAsia="Courier New" w:hAnsi="Courier New" w:cs="Courier New"/>
          <w:color w:val="B03A2E"/>
          <w:sz w:val="19"/>
          <w:szCs w:val="19"/>
        </w:rPr>
        <w:t xml:space="preserve"> = </w:t>
      </w:r>
      <w:proofErr w:type="spellStart"/>
      <w:r>
        <w:rPr>
          <w:rFonts w:ascii="Courier New" w:eastAsia="Courier New" w:hAnsi="Courier New" w:cs="Courier New"/>
          <w:color w:val="B03A2E"/>
          <w:sz w:val="19"/>
          <w:szCs w:val="19"/>
        </w:rPr>
        <w:t>inp_yr</w:t>
      </w:r>
      <w:proofErr w:type="spellEnd"/>
      <w:r>
        <w:rPr>
          <w:rFonts w:ascii="Courier New" w:eastAsia="Courier New" w:hAnsi="Courier New" w:cs="Courier New"/>
          <w:color w:val="B03A2E"/>
          <w:sz w:val="19"/>
          <w:szCs w:val="19"/>
        </w:rPr>
        <w:t xml:space="preserve">[['BENE_ID'] + </w:t>
      </w:r>
      <w:proofErr w:type="spellStart"/>
      <w:r>
        <w:rPr>
          <w:rFonts w:ascii="Courier New" w:eastAsia="Courier New" w:hAnsi="Courier New" w:cs="Courier New"/>
          <w:color w:val="B03A2E"/>
          <w:sz w:val="19"/>
          <w:szCs w:val="19"/>
        </w:rPr>
        <w:t>icd_cols</w:t>
      </w:r>
      <w:proofErr w:type="spellEnd"/>
      <w:proofErr w:type="gramStart"/>
      <w:r>
        <w:rPr>
          <w:rFonts w:ascii="Courier New" w:eastAsia="Courier New" w:hAnsi="Courier New" w:cs="Courier New"/>
          <w:color w:val="B03A2E"/>
          <w:sz w:val="19"/>
          <w:szCs w:val="19"/>
        </w:rPr>
        <w:t>].melt</w:t>
      </w:r>
      <w:proofErr w:type="gramEnd"/>
      <w:r>
        <w:rPr>
          <w:rFonts w:ascii="Courier New" w:eastAsia="Courier New" w:hAnsi="Courier New" w:cs="Courier New"/>
          <w:color w:val="B03A2E"/>
          <w:sz w:val="19"/>
          <w:szCs w:val="19"/>
        </w:rPr>
        <w:t>(</w:t>
      </w:r>
      <w:proofErr w:type="spellStart"/>
      <w:r>
        <w:rPr>
          <w:rFonts w:ascii="Courier New" w:eastAsia="Courier New" w:hAnsi="Courier New" w:cs="Courier New"/>
          <w:color w:val="B03A2E"/>
          <w:sz w:val="19"/>
          <w:szCs w:val="19"/>
        </w:rPr>
        <w:t>id_vars</w:t>
      </w:r>
      <w:proofErr w:type="spellEnd"/>
      <w:r>
        <w:rPr>
          <w:rFonts w:ascii="Courier New" w:eastAsia="Courier New" w:hAnsi="Courier New" w:cs="Courier New"/>
          <w:color w:val="B03A2E"/>
          <w:sz w:val="19"/>
          <w:szCs w:val="19"/>
        </w:rPr>
        <w:t xml:space="preserve">='BENE_ID', </w:t>
      </w:r>
      <w:proofErr w:type="spellStart"/>
      <w:r>
        <w:rPr>
          <w:rFonts w:ascii="Courier New" w:eastAsia="Courier New" w:hAnsi="Courier New" w:cs="Courier New"/>
          <w:color w:val="B03A2E"/>
          <w:sz w:val="19"/>
          <w:szCs w:val="19"/>
        </w:rPr>
        <w:t>value_name</w:t>
      </w:r>
      <w:proofErr w:type="spellEnd"/>
      <w:r>
        <w:rPr>
          <w:rFonts w:ascii="Courier New" w:eastAsia="Courier New" w:hAnsi="Courier New" w:cs="Courier New"/>
          <w:color w:val="B03A2E"/>
          <w:sz w:val="19"/>
          <w:szCs w:val="19"/>
        </w:rPr>
        <w:t>='ICD_CODE')</w:t>
      </w:r>
    </w:p>
    <w:p w14:paraId="5424682C" w14:textId="77777777" w:rsidR="00A14004" w:rsidRDefault="00000000">
      <w:pPr>
        <w:shd w:val="clear" w:color="auto" w:fill="F8F9FA"/>
        <w:spacing w:after="60"/>
        <w:ind w:left="360"/>
      </w:pPr>
      <w:proofErr w:type="spellStart"/>
      <w:r>
        <w:rPr>
          <w:rFonts w:ascii="Courier New" w:eastAsia="Courier New" w:hAnsi="Courier New" w:cs="Courier New"/>
          <w:color w:val="B03A2E"/>
          <w:sz w:val="19"/>
          <w:szCs w:val="19"/>
        </w:rPr>
        <w:t>all_icd</w:t>
      </w:r>
      <w:proofErr w:type="spellEnd"/>
      <w:r>
        <w:rPr>
          <w:rFonts w:ascii="Courier New" w:eastAsia="Courier New" w:hAnsi="Courier New" w:cs="Courier New"/>
          <w:color w:val="B03A2E"/>
          <w:sz w:val="19"/>
          <w:szCs w:val="19"/>
        </w:rPr>
        <w:t xml:space="preserve"> = </w:t>
      </w:r>
      <w:proofErr w:type="spellStart"/>
      <w:proofErr w:type="gramStart"/>
      <w:r>
        <w:rPr>
          <w:rFonts w:ascii="Courier New" w:eastAsia="Courier New" w:hAnsi="Courier New" w:cs="Courier New"/>
          <w:color w:val="B03A2E"/>
          <w:sz w:val="19"/>
          <w:szCs w:val="19"/>
        </w:rPr>
        <w:t>pd.concat</w:t>
      </w:r>
      <w:proofErr w:type="spellEnd"/>
      <w:proofErr w:type="gramEnd"/>
      <w:r>
        <w:rPr>
          <w:rFonts w:ascii="Courier New" w:eastAsia="Courier New" w:hAnsi="Courier New" w:cs="Courier New"/>
          <w:color w:val="B03A2E"/>
          <w:sz w:val="19"/>
          <w:szCs w:val="19"/>
        </w:rPr>
        <w:t>([</w:t>
      </w:r>
      <w:proofErr w:type="spellStart"/>
      <w:r>
        <w:rPr>
          <w:rFonts w:ascii="Courier New" w:eastAsia="Courier New" w:hAnsi="Courier New" w:cs="Courier New"/>
          <w:color w:val="B03A2E"/>
          <w:sz w:val="19"/>
          <w:szCs w:val="19"/>
        </w:rPr>
        <w:t>inp_icd</w:t>
      </w:r>
      <w:proofErr w:type="spellEnd"/>
      <w:r>
        <w:rPr>
          <w:rFonts w:ascii="Courier New" w:eastAsia="Courier New" w:hAnsi="Courier New" w:cs="Courier New"/>
          <w:color w:val="B03A2E"/>
          <w:sz w:val="19"/>
          <w:szCs w:val="19"/>
        </w:rPr>
        <w:t xml:space="preserve">, </w:t>
      </w:r>
      <w:proofErr w:type="spellStart"/>
      <w:r>
        <w:rPr>
          <w:rFonts w:ascii="Courier New" w:eastAsia="Courier New" w:hAnsi="Courier New" w:cs="Courier New"/>
          <w:color w:val="B03A2E"/>
          <w:sz w:val="19"/>
          <w:szCs w:val="19"/>
        </w:rPr>
        <w:t>out_icd</w:t>
      </w:r>
      <w:proofErr w:type="spellEnd"/>
      <w:r>
        <w:rPr>
          <w:rFonts w:ascii="Courier New" w:eastAsia="Courier New" w:hAnsi="Courier New" w:cs="Courier New"/>
          <w:color w:val="B03A2E"/>
          <w:sz w:val="19"/>
          <w:szCs w:val="19"/>
        </w:rPr>
        <w:t xml:space="preserve">], </w:t>
      </w:r>
      <w:proofErr w:type="spellStart"/>
      <w:r>
        <w:rPr>
          <w:rFonts w:ascii="Courier New" w:eastAsia="Courier New" w:hAnsi="Courier New" w:cs="Courier New"/>
          <w:color w:val="B03A2E"/>
          <w:sz w:val="19"/>
          <w:szCs w:val="19"/>
        </w:rPr>
        <w:t>ignore_index</w:t>
      </w:r>
      <w:proofErr w:type="spellEnd"/>
      <w:r>
        <w:rPr>
          <w:rFonts w:ascii="Courier New" w:eastAsia="Courier New" w:hAnsi="Courier New" w:cs="Courier New"/>
          <w:color w:val="B03A2E"/>
          <w:sz w:val="19"/>
          <w:szCs w:val="19"/>
        </w:rPr>
        <w:t>=True)</w:t>
      </w:r>
    </w:p>
    <w:p w14:paraId="13BD49A3" w14:textId="77777777" w:rsidR="00A14004" w:rsidRDefault="00000000">
      <w:pPr>
        <w:shd w:val="clear" w:color="auto" w:fill="F8F9FA"/>
        <w:spacing w:after="60"/>
        <w:ind w:left="360"/>
      </w:pPr>
      <w:proofErr w:type="spellStart"/>
      <w:r>
        <w:rPr>
          <w:rFonts w:ascii="Courier New" w:eastAsia="Courier New" w:hAnsi="Courier New" w:cs="Courier New"/>
          <w:color w:val="B03A2E"/>
          <w:sz w:val="19"/>
          <w:szCs w:val="19"/>
        </w:rPr>
        <w:t>unique_icd</w:t>
      </w:r>
      <w:proofErr w:type="spellEnd"/>
      <w:r>
        <w:rPr>
          <w:rFonts w:ascii="Courier New" w:eastAsia="Courier New" w:hAnsi="Courier New" w:cs="Courier New"/>
          <w:color w:val="B03A2E"/>
          <w:sz w:val="19"/>
          <w:szCs w:val="19"/>
        </w:rPr>
        <w:t xml:space="preserve"> = </w:t>
      </w:r>
      <w:proofErr w:type="spellStart"/>
      <w:r>
        <w:rPr>
          <w:rFonts w:ascii="Courier New" w:eastAsia="Courier New" w:hAnsi="Courier New" w:cs="Courier New"/>
          <w:color w:val="B03A2E"/>
          <w:sz w:val="19"/>
          <w:szCs w:val="19"/>
        </w:rPr>
        <w:t>all_</w:t>
      </w:r>
      <w:proofErr w:type="gramStart"/>
      <w:r>
        <w:rPr>
          <w:rFonts w:ascii="Courier New" w:eastAsia="Courier New" w:hAnsi="Courier New" w:cs="Courier New"/>
          <w:color w:val="B03A2E"/>
          <w:sz w:val="19"/>
          <w:szCs w:val="19"/>
        </w:rPr>
        <w:t>icd.groupby</w:t>
      </w:r>
      <w:proofErr w:type="spellEnd"/>
      <w:proofErr w:type="gramEnd"/>
      <w:r>
        <w:rPr>
          <w:rFonts w:ascii="Courier New" w:eastAsia="Courier New" w:hAnsi="Courier New" w:cs="Courier New"/>
          <w:color w:val="B03A2E"/>
          <w:sz w:val="19"/>
          <w:szCs w:val="19"/>
        </w:rPr>
        <w:t>('BENE_ID')['ICD_CODE'].</w:t>
      </w:r>
      <w:proofErr w:type="spellStart"/>
      <w:r>
        <w:rPr>
          <w:rFonts w:ascii="Courier New" w:eastAsia="Courier New" w:hAnsi="Courier New" w:cs="Courier New"/>
          <w:color w:val="B03A2E"/>
          <w:sz w:val="19"/>
          <w:szCs w:val="19"/>
        </w:rPr>
        <w:t>nunique</w:t>
      </w:r>
      <w:proofErr w:type="spellEnd"/>
      <w:r>
        <w:rPr>
          <w:rFonts w:ascii="Courier New" w:eastAsia="Courier New" w:hAnsi="Courier New" w:cs="Courier New"/>
          <w:color w:val="B03A2E"/>
          <w:sz w:val="19"/>
          <w:szCs w:val="19"/>
        </w:rPr>
        <w:t>()</w:t>
      </w:r>
    </w:p>
    <w:p w14:paraId="5FBEAA09" w14:textId="77777777" w:rsidR="00A14004" w:rsidRDefault="00000000">
      <w:pPr>
        <w:spacing w:after="160" w:line="284" w:lineRule="auto"/>
        <w:jc w:val="both"/>
      </w:pPr>
      <w:proofErr w:type="gramStart"/>
      <w:r>
        <w:rPr>
          <w:b/>
          <w:bCs/>
        </w:rPr>
        <w:t>.melt</w:t>
      </w:r>
      <w:proofErr w:type="gramEnd"/>
      <w:r>
        <w:rPr>
          <w:b/>
          <w:bCs/>
        </w:rPr>
        <w:t>()</w:t>
      </w:r>
      <w:r>
        <w:t xml:space="preserve"> is a pandas function that converts wide-format data (many ICD code columns across) into long-format (one row per diagnosis code per patient). This makes it easy to count unique codes. After melting and combining inpatient and outpatient ICD codes, we count how many UNIQUE diagnosis codes each patient had. A patient with 25 unique diagnosis codes has far more clinical complexity than one with 3. The mean in our dataset was 8.82 unique diagnoses per patient.</w:t>
      </w:r>
    </w:p>
    <w:p w14:paraId="308E0179" w14:textId="77777777" w:rsidR="00A14004" w:rsidRDefault="00000000">
      <w:pPr>
        <w:spacing w:before="180" w:after="80"/>
      </w:pPr>
      <w:r>
        <w:rPr>
          <w:b/>
          <w:bCs/>
          <w:color w:val="1A5276"/>
        </w:rPr>
        <w:t>Feature 4: Chronic Disease Category Flags</w:t>
      </w:r>
    </w:p>
    <w:p w14:paraId="52DB4F81" w14:textId="77777777" w:rsidR="00A14004" w:rsidRDefault="00000000">
      <w:pPr>
        <w:shd w:val="clear" w:color="auto" w:fill="F8F9FA"/>
        <w:spacing w:after="60"/>
        <w:ind w:left="360"/>
      </w:pPr>
      <w:proofErr w:type="spellStart"/>
      <w:r>
        <w:rPr>
          <w:rFonts w:ascii="Courier New" w:eastAsia="Courier New" w:hAnsi="Courier New" w:cs="Courier New"/>
          <w:color w:val="B03A2E"/>
          <w:sz w:val="19"/>
          <w:szCs w:val="19"/>
        </w:rPr>
        <w:t>disease_map</w:t>
      </w:r>
      <w:proofErr w:type="spellEnd"/>
      <w:r>
        <w:rPr>
          <w:rFonts w:ascii="Courier New" w:eastAsia="Courier New" w:hAnsi="Courier New" w:cs="Courier New"/>
          <w:color w:val="B03A2E"/>
          <w:sz w:val="19"/>
          <w:szCs w:val="19"/>
        </w:rPr>
        <w:t xml:space="preserve"> = {</w:t>
      </w:r>
    </w:p>
    <w:p w14:paraId="4285EBD1" w14:textId="77777777" w:rsidR="00A14004" w:rsidRDefault="00000000">
      <w:pPr>
        <w:shd w:val="clear" w:color="auto" w:fill="F8F9FA"/>
        <w:spacing w:after="60"/>
        <w:ind w:left="360"/>
      </w:pPr>
      <w:r>
        <w:rPr>
          <w:rFonts w:ascii="Courier New" w:eastAsia="Courier New" w:hAnsi="Courier New" w:cs="Courier New"/>
          <w:color w:val="B03A2E"/>
          <w:sz w:val="19"/>
          <w:szCs w:val="19"/>
        </w:rPr>
        <w:t xml:space="preserve">    'cardiovascular': ['I0','I1','I2</w:t>
      </w:r>
      <w:proofErr w:type="gramStart"/>
      <w:r>
        <w:rPr>
          <w:rFonts w:ascii="Courier New" w:eastAsia="Courier New" w:hAnsi="Courier New" w:cs="Courier New"/>
          <w:color w:val="B03A2E"/>
          <w:sz w:val="19"/>
          <w:szCs w:val="19"/>
        </w:rPr>
        <w:t>',...</w:t>
      </w:r>
      <w:proofErr w:type="gramEnd"/>
      <w:r>
        <w:rPr>
          <w:rFonts w:ascii="Courier New" w:eastAsia="Courier New" w:hAnsi="Courier New" w:cs="Courier New"/>
          <w:color w:val="B03A2E"/>
          <w:sz w:val="19"/>
          <w:szCs w:val="19"/>
        </w:rPr>
        <w:t>,'I9'],</w:t>
      </w:r>
    </w:p>
    <w:p w14:paraId="26B4969B" w14:textId="77777777" w:rsidR="00A14004" w:rsidRDefault="00000000">
      <w:pPr>
        <w:shd w:val="clear" w:color="auto" w:fill="F8F9FA"/>
        <w:spacing w:after="60"/>
        <w:ind w:left="360"/>
      </w:pPr>
      <w:r>
        <w:rPr>
          <w:rFonts w:ascii="Courier New" w:eastAsia="Courier New" w:hAnsi="Courier New" w:cs="Courier New"/>
          <w:color w:val="B03A2E"/>
          <w:sz w:val="19"/>
          <w:szCs w:val="19"/>
        </w:rPr>
        <w:t xml:space="preserve">    'diabetes':    </w:t>
      </w:r>
      <w:proofErr w:type="gramStart"/>
      <w:r>
        <w:rPr>
          <w:rFonts w:ascii="Courier New" w:eastAsia="Courier New" w:hAnsi="Courier New" w:cs="Courier New"/>
          <w:color w:val="B03A2E"/>
          <w:sz w:val="19"/>
          <w:szCs w:val="19"/>
        </w:rPr>
        <w:t xml:space="preserve">   [</w:t>
      </w:r>
      <w:proofErr w:type="gramEnd"/>
      <w:r>
        <w:rPr>
          <w:rFonts w:ascii="Courier New" w:eastAsia="Courier New" w:hAnsi="Courier New" w:cs="Courier New"/>
          <w:color w:val="B03A2E"/>
          <w:sz w:val="19"/>
          <w:szCs w:val="19"/>
        </w:rPr>
        <w:t>'E08','E09','E10','E11','E12','E13'],</w:t>
      </w:r>
    </w:p>
    <w:p w14:paraId="79027E70" w14:textId="77777777" w:rsidR="00A14004" w:rsidRDefault="00000000">
      <w:pPr>
        <w:shd w:val="clear" w:color="auto" w:fill="F8F9FA"/>
        <w:spacing w:after="60"/>
        <w:ind w:left="360"/>
      </w:pPr>
      <w:r>
        <w:rPr>
          <w:rFonts w:ascii="Courier New" w:eastAsia="Courier New" w:hAnsi="Courier New" w:cs="Courier New"/>
          <w:color w:val="B03A2E"/>
          <w:sz w:val="19"/>
          <w:szCs w:val="19"/>
        </w:rPr>
        <w:t xml:space="preserve">    'respiratory': </w:t>
      </w:r>
      <w:proofErr w:type="gramStart"/>
      <w:r>
        <w:rPr>
          <w:rFonts w:ascii="Courier New" w:eastAsia="Courier New" w:hAnsi="Courier New" w:cs="Courier New"/>
          <w:color w:val="B03A2E"/>
          <w:sz w:val="19"/>
          <w:szCs w:val="19"/>
        </w:rPr>
        <w:t xml:space="preserve">   [</w:t>
      </w:r>
      <w:proofErr w:type="gramEnd"/>
      <w:r>
        <w:rPr>
          <w:rFonts w:ascii="Courier New" w:eastAsia="Courier New" w:hAnsi="Courier New" w:cs="Courier New"/>
          <w:color w:val="B03A2E"/>
          <w:sz w:val="19"/>
          <w:szCs w:val="19"/>
        </w:rPr>
        <w:t>'J4','J6','J7','J8','J9'],</w:t>
      </w:r>
    </w:p>
    <w:p w14:paraId="6FB98F7D" w14:textId="77777777" w:rsidR="00A14004" w:rsidRDefault="00000000">
      <w:pPr>
        <w:shd w:val="clear" w:color="auto" w:fill="F8F9FA"/>
        <w:spacing w:after="60"/>
        <w:ind w:left="360"/>
      </w:pPr>
      <w:r>
        <w:rPr>
          <w:rFonts w:ascii="Courier New" w:eastAsia="Courier New" w:hAnsi="Courier New" w:cs="Courier New"/>
          <w:color w:val="B03A2E"/>
          <w:sz w:val="19"/>
          <w:szCs w:val="19"/>
        </w:rPr>
        <w:t xml:space="preserve">    ... 8 categories total</w:t>
      </w:r>
    </w:p>
    <w:p w14:paraId="3CC2918A" w14:textId="77777777" w:rsidR="00A14004" w:rsidRDefault="00000000">
      <w:pPr>
        <w:shd w:val="clear" w:color="auto" w:fill="F8F9FA"/>
        <w:spacing w:after="60"/>
        <w:ind w:left="360"/>
      </w:pPr>
      <w:r>
        <w:rPr>
          <w:rFonts w:ascii="Courier New" w:eastAsia="Courier New" w:hAnsi="Courier New" w:cs="Courier New"/>
          <w:color w:val="B03A2E"/>
          <w:sz w:val="19"/>
          <w:szCs w:val="19"/>
        </w:rPr>
        <w:t>}</w:t>
      </w:r>
    </w:p>
    <w:p w14:paraId="0F5640F7" w14:textId="77777777" w:rsidR="00A14004" w:rsidRDefault="00000000">
      <w:pPr>
        <w:spacing w:after="160" w:line="284" w:lineRule="auto"/>
        <w:jc w:val="both"/>
      </w:pPr>
      <w:r>
        <w:lastRenderedPageBreak/>
        <w:t>We created a dictionary mapping ICD-10 code prefixes to 8 major disease categories. ICD-10 codes are structured — the letter prefix and first few characters tell you the body system and general condition. I-codes are circulatory system diseases, E10-E13 are diabetes codes, C-codes are cancers, and so on. For each patient we check whether any of their ICD codes start with the prefixes for each disease category and create a binary flag (1 = has this condition, 0 = does not).</w:t>
      </w:r>
    </w:p>
    <w:p w14:paraId="7B06F16F" w14:textId="77777777" w:rsidR="00A14004" w:rsidRDefault="00000000">
      <w:pPr>
        <w:spacing w:after="160" w:line="284" w:lineRule="auto"/>
        <w:jc w:val="both"/>
      </w:pPr>
      <w:r>
        <w:rPr>
          <w:b/>
          <w:bCs/>
        </w:rPr>
        <w:t>Why binary flags instead of counts?</w:t>
      </w:r>
      <w:r>
        <w:t xml:space="preserve"> Because what matters clinically is whether a patient HAS a condition, not how many times it was coded. A patient coded for diabetes 50 times is not more diabetic than one coded for it 5 times — they both have diabetes. Binary presence/absence captures the clinical reality better.</w:t>
      </w:r>
    </w:p>
    <w:p w14:paraId="546927E2" w14:textId="77777777" w:rsidR="00A14004" w:rsidRDefault="00000000">
      <w:pPr>
        <w:pBdr>
          <w:left w:val="single" w:sz="16" w:space="8" w:color="27AE60"/>
        </w:pBdr>
        <w:shd w:val="clear" w:color="auto" w:fill="EAFAF1"/>
        <w:spacing w:before="120" w:after="120" w:line="276" w:lineRule="auto"/>
        <w:ind w:left="360"/>
      </w:pPr>
      <w:r>
        <w:rPr>
          <w:b/>
          <w:bCs/>
        </w:rPr>
        <w:t xml:space="preserve">★ Finding: </w:t>
      </w:r>
      <w:r>
        <w:t>Disease prevalence in our population: cardiovascular 41.5%, renal 36.8%, diabetes 32.8%, musculoskeletal 28.2%, neurological 18.0%, mental health 16.2%, cancer 5.8%, respiratory 4.0%. These rates are clinically realistic for a Medicare population.</w:t>
      </w:r>
    </w:p>
    <w:p w14:paraId="612BECFB" w14:textId="77777777" w:rsidR="00A14004" w:rsidRDefault="00000000">
      <w:pPr>
        <w:spacing w:before="180" w:after="80"/>
      </w:pPr>
      <w:r>
        <w:rPr>
          <w:b/>
          <w:bCs/>
          <w:color w:val="1A5276"/>
        </w:rPr>
        <w:t>Feature 5: Spending Trajectory</w:t>
      </w:r>
    </w:p>
    <w:p w14:paraId="6D2F37E4" w14:textId="77777777" w:rsidR="00A14004" w:rsidRDefault="00000000">
      <w:pPr>
        <w:shd w:val="clear" w:color="auto" w:fill="F8F9FA"/>
        <w:spacing w:after="60"/>
        <w:ind w:left="360"/>
      </w:pPr>
      <w:r>
        <w:rPr>
          <w:rFonts w:ascii="Courier New" w:eastAsia="Courier New" w:hAnsi="Courier New" w:cs="Courier New"/>
          <w:color w:val="B03A2E"/>
          <w:sz w:val="19"/>
          <w:szCs w:val="19"/>
        </w:rPr>
        <w:t xml:space="preserve">spend_2021 = </w:t>
      </w:r>
      <w:proofErr w:type="spellStart"/>
      <w:r>
        <w:rPr>
          <w:rFonts w:ascii="Courier New" w:eastAsia="Courier New" w:hAnsi="Courier New" w:cs="Courier New"/>
          <w:color w:val="B03A2E"/>
          <w:sz w:val="19"/>
          <w:szCs w:val="19"/>
        </w:rPr>
        <w:t>get_spending_by_</w:t>
      </w:r>
      <w:proofErr w:type="gramStart"/>
      <w:r>
        <w:rPr>
          <w:rFonts w:ascii="Courier New" w:eastAsia="Courier New" w:hAnsi="Courier New" w:cs="Courier New"/>
          <w:color w:val="B03A2E"/>
          <w:sz w:val="19"/>
          <w:szCs w:val="19"/>
        </w:rPr>
        <w:t>year</w:t>
      </w:r>
      <w:proofErr w:type="spellEnd"/>
      <w:r>
        <w:rPr>
          <w:rFonts w:ascii="Courier New" w:eastAsia="Courier New" w:hAnsi="Courier New" w:cs="Courier New"/>
          <w:color w:val="B03A2E"/>
          <w:sz w:val="19"/>
          <w:szCs w:val="19"/>
        </w:rPr>
        <w:t>(</w:t>
      </w:r>
      <w:proofErr w:type="spellStart"/>
      <w:proofErr w:type="gramEnd"/>
      <w:r>
        <w:rPr>
          <w:rFonts w:ascii="Courier New" w:eastAsia="Courier New" w:hAnsi="Courier New" w:cs="Courier New"/>
          <w:color w:val="B03A2E"/>
          <w:sz w:val="19"/>
          <w:szCs w:val="19"/>
        </w:rPr>
        <w:t>inp_full</w:t>
      </w:r>
      <w:proofErr w:type="spellEnd"/>
      <w:r>
        <w:rPr>
          <w:rFonts w:ascii="Courier New" w:eastAsia="Courier New" w:hAnsi="Courier New" w:cs="Courier New"/>
          <w:color w:val="B03A2E"/>
          <w:sz w:val="19"/>
          <w:szCs w:val="19"/>
        </w:rPr>
        <w:t xml:space="preserve">, </w:t>
      </w:r>
      <w:proofErr w:type="spellStart"/>
      <w:r>
        <w:rPr>
          <w:rFonts w:ascii="Courier New" w:eastAsia="Courier New" w:hAnsi="Courier New" w:cs="Courier New"/>
          <w:color w:val="B03A2E"/>
          <w:sz w:val="19"/>
          <w:szCs w:val="19"/>
        </w:rPr>
        <w:t>out_full</w:t>
      </w:r>
      <w:proofErr w:type="spellEnd"/>
      <w:r>
        <w:rPr>
          <w:rFonts w:ascii="Courier New" w:eastAsia="Courier New" w:hAnsi="Courier New" w:cs="Courier New"/>
          <w:color w:val="B03A2E"/>
          <w:sz w:val="19"/>
          <w:szCs w:val="19"/>
        </w:rPr>
        <w:t xml:space="preserve">, </w:t>
      </w:r>
      <w:proofErr w:type="spellStart"/>
      <w:r>
        <w:rPr>
          <w:rFonts w:ascii="Courier New" w:eastAsia="Courier New" w:hAnsi="Courier New" w:cs="Courier New"/>
          <w:color w:val="B03A2E"/>
          <w:sz w:val="19"/>
          <w:szCs w:val="19"/>
        </w:rPr>
        <w:t>car_full</w:t>
      </w:r>
      <w:proofErr w:type="spellEnd"/>
      <w:r>
        <w:rPr>
          <w:rFonts w:ascii="Courier New" w:eastAsia="Courier New" w:hAnsi="Courier New" w:cs="Courier New"/>
          <w:color w:val="B03A2E"/>
          <w:sz w:val="19"/>
          <w:szCs w:val="19"/>
        </w:rPr>
        <w:t>, 2021)</w:t>
      </w:r>
    </w:p>
    <w:p w14:paraId="47801672" w14:textId="77777777" w:rsidR="00A14004" w:rsidRDefault="00000000">
      <w:pPr>
        <w:shd w:val="clear" w:color="auto" w:fill="F8F9FA"/>
        <w:spacing w:after="60"/>
        <w:ind w:left="360"/>
      </w:pPr>
      <w:proofErr w:type="spellStart"/>
      <w:r>
        <w:rPr>
          <w:rFonts w:ascii="Courier New" w:eastAsia="Courier New" w:hAnsi="Courier New" w:cs="Courier New"/>
          <w:color w:val="B03A2E"/>
          <w:sz w:val="19"/>
          <w:szCs w:val="19"/>
        </w:rPr>
        <w:t>df_enriched</w:t>
      </w:r>
      <w:proofErr w:type="spellEnd"/>
      <w:r>
        <w:rPr>
          <w:rFonts w:ascii="Courier New" w:eastAsia="Courier New" w:hAnsi="Courier New" w:cs="Courier New"/>
          <w:color w:val="B03A2E"/>
          <w:sz w:val="19"/>
          <w:szCs w:val="19"/>
        </w:rPr>
        <w:t>['SPEND_TRAJECTORY'] = TOTAL_PMT_2022 - TOTAL_PMT_2021</w:t>
      </w:r>
    </w:p>
    <w:p w14:paraId="17E9ED8E" w14:textId="77777777" w:rsidR="00A14004" w:rsidRDefault="00000000">
      <w:pPr>
        <w:shd w:val="clear" w:color="auto" w:fill="F8F9FA"/>
        <w:spacing w:after="60"/>
        <w:ind w:left="360"/>
      </w:pPr>
      <w:proofErr w:type="spellStart"/>
      <w:r>
        <w:rPr>
          <w:rFonts w:ascii="Courier New" w:eastAsia="Courier New" w:hAnsi="Courier New" w:cs="Courier New"/>
          <w:color w:val="B03A2E"/>
          <w:sz w:val="19"/>
          <w:szCs w:val="19"/>
        </w:rPr>
        <w:t>df_enriched</w:t>
      </w:r>
      <w:proofErr w:type="spellEnd"/>
      <w:r>
        <w:rPr>
          <w:rFonts w:ascii="Courier New" w:eastAsia="Courier New" w:hAnsi="Courier New" w:cs="Courier New"/>
          <w:color w:val="B03A2E"/>
          <w:sz w:val="19"/>
          <w:szCs w:val="19"/>
        </w:rPr>
        <w:t>['SPEND_GROWTH_RATE'] = (PMT_2022 - PMT_2021) / (PMT_2021 + 1)</w:t>
      </w:r>
    </w:p>
    <w:p w14:paraId="044B27C6" w14:textId="77777777" w:rsidR="00A14004" w:rsidRDefault="00000000">
      <w:pPr>
        <w:spacing w:after="160" w:line="284" w:lineRule="auto"/>
        <w:jc w:val="both"/>
      </w:pPr>
      <w:r>
        <w:t xml:space="preserve">We computed two trajectory features using 2021 spending as the baseline. </w:t>
      </w:r>
      <w:r>
        <w:rPr>
          <w:b/>
          <w:bCs/>
        </w:rPr>
        <w:t>SPEND_TRAJECTORY</w:t>
      </w:r>
      <w:r>
        <w:t xml:space="preserve"> is the raw dollar change — positive means spending went up, negative means it went down. </w:t>
      </w:r>
      <w:r>
        <w:rPr>
          <w:b/>
          <w:bCs/>
        </w:rPr>
        <w:t>SPEND_GROWTH_RATE</w:t>
      </w:r>
      <w:r>
        <w:t xml:space="preserve"> is the percentage change — we add 1 to the denominator to avoid division by zero for patients who had zero spending in 2021. We clip the growth rate between -5 and 10 to prevent extreme outliers from dominating the model.</w:t>
      </w:r>
    </w:p>
    <w:p w14:paraId="52417979" w14:textId="77777777" w:rsidR="00A14004" w:rsidRDefault="00000000">
      <w:pPr>
        <w:spacing w:after="160" w:line="284" w:lineRule="auto"/>
        <w:jc w:val="both"/>
      </w:pPr>
      <w:r>
        <w:rPr>
          <w:b/>
          <w:bCs/>
        </w:rPr>
        <w:t>Why trajectory matters:</w:t>
      </w:r>
      <w:r>
        <w:t xml:space="preserve"> A patient who spent $20,000 in 2021 and $80,000 in 2022 (300% growth) is a very different risk profile from a patient who spent $80,000 in both years. The first patient is deteriorating — they need intervention now. The second patient is stable at a high level. Without trajectory, the model sees both the same way. </w:t>
      </w:r>
      <w:r w:rsidRPr="0045402E">
        <w:rPr>
          <w:highlight w:val="yellow"/>
        </w:rPr>
        <w:t>With trajectory, it can distinguish them.</w:t>
      </w:r>
    </w:p>
    <w:p w14:paraId="34DDE6AF" w14:textId="77777777" w:rsidR="00A14004" w:rsidRDefault="00000000">
      <w:r>
        <w:br w:type="page"/>
      </w:r>
    </w:p>
    <w:p w14:paraId="3FE7853E" w14:textId="77777777" w:rsidR="00A14004" w:rsidRDefault="00000000">
      <w:pPr>
        <w:pBdr>
          <w:bottom w:val="single" w:sz="8" w:space="4" w:color="1A3A6B"/>
        </w:pBdr>
        <w:spacing w:before="360" w:after="160"/>
      </w:pPr>
      <w:r>
        <w:rPr>
          <w:b/>
          <w:bCs/>
          <w:color w:val="1A3A6B"/>
          <w:sz w:val="30"/>
          <w:szCs w:val="30"/>
        </w:rPr>
        <w:lastRenderedPageBreak/>
        <w:t>SECTION 3: RETRAINING MODELS — CELLS 15 AND 16</w:t>
      </w:r>
    </w:p>
    <w:p w14:paraId="2FEF61CF" w14:textId="77777777" w:rsidR="00A14004" w:rsidRDefault="00000000">
      <w:pPr>
        <w:spacing w:before="260" w:after="100"/>
      </w:pPr>
      <w:r>
        <w:rPr>
          <w:b/>
          <w:bCs/>
          <w:color w:val="2E5FA3"/>
          <w:sz w:val="25"/>
          <w:szCs w:val="25"/>
        </w:rPr>
        <w:t xml:space="preserve">Cell 15: Merging Everything </w:t>
      </w:r>
      <w:proofErr w:type="gramStart"/>
      <w:r>
        <w:rPr>
          <w:b/>
          <w:bCs/>
          <w:color w:val="2E5FA3"/>
          <w:sz w:val="25"/>
          <w:szCs w:val="25"/>
        </w:rPr>
        <w:t>Into</w:t>
      </w:r>
      <w:proofErr w:type="gramEnd"/>
      <w:r>
        <w:rPr>
          <w:b/>
          <w:bCs/>
          <w:color w:val="2E5FA3"/>
          <w:sz w:val="25"/>
          <w:szCs w:val="25"/>
        </w:rPr>
        <w:t xml:space="preserve"> One Dataset</w:t>
      </w:r>
    </w:p>
    <w:p w14:paraId="0D880437" w14:textId="77777777" w:rsidR="00A14004" w:rsidRDefault="00000000">
      <w:pPr>
        <w:spacing w:after="160" w:line="284" w:lineRule="auto"/>
        <w:jc w:val="both"/>
      </w:pPr>
      <w:r>
        <w:t>After building all the new features separately, we merged them back onto our main dataset using BENE_ID as the join key, using left joins so that patients who had no emergency admissions get a value of 0 (not missing). After merging all 8 new feature groups and filling missing values with 0, we had a clean dataset of 3,339 patients with 40 columns and zero missing values.</w:t>
      </w:r>
    </w:p>
    <w:p w14:paraId="3616666E" w14:textId="77777777" w:rsidR="00A14004" w:rsidRDefault="00000000">
      <w:pPr>
        <w:pBdr>
          <w:left w:val="single" w:sz="16" w:space="8" w:color="2E5FA3"/>
        </w:pBdr>
        <w:shd w:val="clear" w:color="auto" w:fill="EAF2FB"/>
        <w:spacing w:before="120" w:after="120" w:line="276" w:lineRule="auto"/>
        <w:ind w:left="360"/>
      </w:pPr>
      <w:r>
        <w:rPr>
          <w:b/>
          <w:bCs/>
        </w:rPr>
        <w:t xml:space="preserve">Important fix:  </w:t>
      </w:r>
      <w:r>
        <w:t xml:space="preserve">The disease category columns came out as Python 'object' type (text) instead of integers. </w:t>
      </w:r>
      <w:proofErr w:type="spellStart"/>
      <w:r>
        <w:t>XGBoost</w:t>
      </w:r>
      <w:proofErr w:type="spellEnd"/>
      <w:r>
        <w:t xml:space="preserve"> cannot handle object columns — it only works with numbers. We fixed this with </w:t>
      </w:r>
      <w:proofErr w:type="spellStart"/>
      <w:r>
        <w:t>df_enriched</w:t>
      </w:r>
      <w:proofErr w:type="spellEnd"/>
      <w:r>
        <w:t>[</w:t>
      </w:r>
      <w:proofErr w:type="spellStart"/>
      <w:r>
        <w:t>cat_cols</w:t>
      </w:r>
      <w:proofErr w:type="spellEnd"/>
      <w:proofErr w:type="gramStart"/>
      <w:r>
        <w:t>].</w:t>
      </w:r>
      <w:proofErr w:type="spellStart"/>
      <w:r>
        <w:t>astype</w:t>
      </w:r>
      <w:proofErr w:type="spellEnd"/>
      <w:proofErr w:type="gramEnd"/>
      <w:r>
        <w:t>(int) to convert them to 0/1 integers.</w:t>
      </w:r>
    </w:p>
    <w:p w14:paraId="1464697F" w14:textId="77777777" w:rsidR="00A14004" w:rsidRDefault="00000000">
      <w:pPr>
        <w:spacing w:before="260" w:after="100"/>
      </w:pPr>
      <w:r>
        <w:rPr>
          <w:b/>
          <w:bCs/>
          <w:color w:val="2E5FA3"/>
          <w:sz w:val="25"/>
          <w:szCs w:val="25"/>
        </w:rPr>
        <w:t>Cell 16: 5-Fold Cross-Validation — Why We Changed the Evaluation Method</w:t>
      </w:r>
    </w:p>
    <w:p w14:paraId="6B2FF750" w14:textId="77777777" w:rsidR="00A14004" w:rsidRDefault="00000000">
      <w:pPr>
        <w:spacing w:before="180" w:after="80"/>
      </w:pPr>
      <w:r>
        <w:rPr>
          <w:b/>
          <w:bCs/>
          <w:color w:val="1A5276"/>
        </w:rPr>
        <w:t>What is cross-validation and why does it matter?</w:t>
      </w:r>
    </w:p>
    <w:p w14:paraId="2A2FB186" w14:textId="77777777" w:rsidR="00A14004" w:rsidRDefault="00000000">
      <w:pPr>
        <w:spacing w:after="160" w:line="284" w:lineRule="auto"/>
        <w:jc w:val="both"/>
      </w:pPr>
      <w:r>
        <w:t>In our baseline model we did a simple train/test split — 70% training, 30% testing. The problem with a single split is that it depends on which specific patients happen to end up in the test set. If by chance most of the tricky edge-case patients land in training, the test AUC looks better than reality. If they land in testing, it looks worse.</w:t>
      </w:r>
    </w:p>
    <w:p w14:paraId="02BA2618" w14:textId="77777777" w:rsidR="00A14004" w:rsidRDefault="00000000">
      <w:pPr>
        <w:spacing w:after="160" w:line="284" w:lineRule="auto"/>
        <w:jc w:val="both"/>
      </w:pPr>
      <w:r>
        <w:rPr>
          <w:b/>
          <w:bCs/>
        </w:rPr>
        <w:t>5-fold cross-validation</w:t>
      </w:r>
      <w:r>
        <w:t xml:space="preserve"> solves this. Here is how it works: we divide the training data into 5 equal groups (folds). We train the model on 4 folds and test on the 5th. We repeat this 5 times, each time using a different fold as the test. We end up with 5 AUC scores and take the mean. This gives a much more reliable estimate of how the model </w:t>
      </w:r>
      <w:proofErr w:type="gramStart"/>
      <w:r>
        <w:t>actually performs</w:t>
      </w:r>
      <w:proofErr w:type="gramEnd"/>
      <w:r>
        <w:t xml:space="preserve"> because every patient gets to be in the test set exactly once.</w:t>
      </w:r>
    </w:p>
    <w:p w14:paraId="3A5413FA" w14:textId="77777777" w:rsidR="00A14004" w:rsidRDefault="00000000">
      <w:pPr>
        <w:shd w:val="clear" w:color="auto" w:fill="F8F9FA"/>
        <w:spacing w:after="60"/>
        <w:ind w:left="360"/>
      </w:pPr>
      <w:r>
        <w:rPr>
          <w:rFonts w:ascii="Courier New" w:eastAsia="Courier New" w:hAnsi="Courier New" w:cs="Courier New"/>
          <w:color w:val="B03A2E"/>
          <w:sz w:val="19"/>
          <w:szCs w:val="19"/>
        </w:rPr>
        <w:t xml:space="preserve">cv = </w:t>
      </w:r>
      <w:proofErr w:type="spellStart"/>
      <w:proofErr w:type="gramStart"/>
      <w:r>
        <w:rPr>
          <w:rFonts w:ascii="Courier New" w:eastAsia="Courier New" w:hAnsi="Courier New" w:cs="Courier New"/>
          <w:color w:val="B03A2E"/>
          <w:sz w:val="19"/>
          <w:szCs w:val="19"/>
        </w:rPr>
        <w:t>StratifiedKFold</w:t>
      </w:r>
      <w:proofErr w:type="spellEnd"/>
      <w:r>
        <w:rPr>
          <w:rFonts w:ascii="Courier New" w:eastAsia="Courier New" w:hAnsi="Courier New" w:cs="Courier New"/>
          <w:color w:val="B03A2E"/>
          <w:sz w:val="19"/>
          <w:szCs w:val="19"/>
        </w:rPr>
        <w:t>(</w:t>
      </w:r>
      <w:proofErr w:type="spellStart"/>
      <w:proofErr w:type="gramEnd"/>
      <w:r>
        <w:rPr>
          <w:rFonts w:ascii="Courier New" w:eastAsia="Courier New" w:hAnsi="Courier New" w:cs="Courier New"/>
          <w:color w:val="B03A2E"/>
          <w:sz w:val="19"/>
          <w:szCs w:val="19"/>
        </w:rPr>
        <w:t>n_splits</w:t>
      </w:r>
      <w:proofErr w:type="spellEnd"/>
      <w:r>
        <w:rPr>
          <w:rFonts w:ascii="Courier New" w:eastAsia="Courier New" w:hAnsi="Courier New" w:cs="Courier New"/>
          <w:color w:val="B03A2E"/>
          <w:sz w:val="19"/>
          <w:szCs w:val="19"/>
        </w:rPr>
        <w:t xml:space="preserve">=5, shuffle=True, </w:t>
      </w:r>
      <w:proofErr w:type="spellStart"/>
      <w:r>
        <w:rPr>
          <w:rFonts w:ascii="Courier New" w:eastAsia="Courier New" w:hAnsi="Courier New" w:cs="Courier New"/>
          <w:color w:val="B03A2E"/>
          <w:sz w:val="19"/>
          <w:szCs w:val="19"/>
        </w:rPr>
        <w:t>random_state</w:t>
      </w:r>
      <w:proofErr w:type="spellEnd"/>
      <w:r>
        <w:rPr>
          <w:rFonts w:ascii="Courier New" w:eastAsia="Courier New" w:hAnsi="Courier New" w:cs="Courier New"/>
          <w:color w:val="B03A2E"/>
          <w:sz w:val="19"/>
          <w:szCs w:val="19"/>
        </w:rPr>
        <w:t>=42)</w:t>
      </w:r>
    </w:p>
    <w:p w14:paraId="468F2C92" w14:textId="77777777" w:rsidR="00A14004" w:rsidRDefault="00000000">
      <w:pPr>
        <w:shd w:val="clear" w:color="auto" w:fill="F8F9FA"/>
        <w:spacing w:after="60"/>
        <w:ind w:left="360"/>
      </w:pPr>
      <w:r>
        <w:rPr>
          <w:rFonts w:ascii="Courier New" w:eastAsia="Courier New" w:hAnsi="Courier New" w:cs="Courier New"/>
          <w:color w:val="B03A2E"/>
          <w:sz w:val="19"/>
          <w:szCs w:val="19"/>
        </w:rPr>
        <w:t xml:space="preserve">lr2_cv = </w:t>
      </w:r>
      <w:proofErr w:type="spellStart"/>
      <w:r>
        <w:rPr>
          <w:rFonts w:ascii="Courier New" w:eastAsia="Courier New" w:hAnsi="Courier New" w:cs="Courier New"/>
          <w:color w:val="B03A2E"/>
          <w:sz w:val="19"/>
          <w:szCs w:val="19"/>
        </w:rPr>
        <w:t>cross_val_</w:t>
      </w:r>
      <w:proofErr w:type="gramStart"/>
      <w:r>
        <w:rPr>
          <w:rFonts w:ascii="Courier New" w:eastAsia="Courier New" w:hAnsi="Courier New" w:cs="Courier New"/>
          <w:color w:val="B03A2E"/>
          <w:sz w:val="19"/>
          <w:szCs w:val="19"/>
        </w:rPr>
        <w:t>score</w:t>
      </w:r>
      <w:proofErr w:type="spellEnd"/>
      <w:r>
        <w:rPr>
          <w:rFonts w:ascii="Courier New" w:eastAsia="Courier New" w:hAnsi="Courier New" w:cs="Courier New"/>
          <w:color w:val="B03A2E"/>
          <w:sz w:val="19"/>
          <w:szCs w:val="19"/>
        </w:rPr>
        <w:t>(</w:t>
      </w:r>
      <w:proofErr w:type="gramEnd"/>
      <w:r>
        <w:rPr>
          <w:rFonts w:ascii="Courier New" w:eastAsia="Courier New" w:hAnsi="Courier New" w:cs="Courier New"/>
          <w:color w:val="B03A2E"/>
          <w:sz w:val="19"/>
          <w:szCs w:val="19"/>
        </w:rPr>
        <w:t>lr2, X2_train_sm, y2_train_sm, cv=cv, scoring='</w:t>
      </w:r>
      <w:proofErr w:type="spellStart"/>
      <w:r>
        <w:rPr>
          <w:rFonts w:ascii="Courier New" w:eastAsia="Courier New" w:hAnsi="Courier New" w:cs="Courier New"/>
          <w:color w:val="B03A2E"/>
          <w:sz w:val="19"/>
          <w:szCs w:val="19"/>
        </w:rPr>
        <w:t>roc_auc</w:t>
      </w:r>
      <w:proofErr w:type="spellEnd"/>
      <w:r>
        <w:rPr>
          <w:rFonts w:ascii="Courier New" w:eastAsia="Courier New" w:hAnsi="Courier New" w:cs="Courier New"/>
          <w:color w:val="B03A2E"/>
          <w:sz w:val="19"/>
          <w:szCs w:val="19"/>
        </w:rPr>
        <w:t>')</w:t>
      </w:r>
    </w:p>
    <w:p w14:paraId="7DADCA35" w14:textId="77777777" w:rsidR="00A14004" w:rsidRDefault="00000000">
      <w:pPr>
        <w:spacing w:after="160" w:line="284" w:lineRule="auto"/>
        <w:jc w:val="both"/>
      </w:pPr>
      <w:proofErr w:type="spellStart"/>
      <w:r>
        <w:rPr>
          <w:b/>
          <w:bCs/>
        </w:rPr>
        <w:t>StratifiedKFold</w:t>
      </w:r>
      <w:proofErr w:type="spellEnd"/>
      <w:r>
        <w:t xml:space="preserve"> means each fold maintains the same 5%/95% class ratio as the overall dataset. Without stratification, some folds might have very few high-cost patients by chance, making evaluation unreliable. Stratification ensures every fold is representative.</w:t>
      </w:r>
    </w:p>
    <w:p w14:paraId="0F33460C" w14:textId="77777777" w:rsidR="00A14004" w:rsidRDefault="00000000">
      <w:pPr>
        <w:spacing w:before="180" w:after="80"/>
      </w:pPr>
      <w:r>
        <w:rPr>
          <w:b/>
          <w:bCs/>
          <w:color w:val="1A5276"/>
        </w:rPr>
        <w:t xml:space="preserve">Why </w:t>
      </w:r>
      <w:proofErr w:type="spellStart"/>
      <w:r>
        <w:rPr>
          <w:b/>
          <w:bCs/>
          <w:color w:val="1A5276"/>
        </w:rPr>
        <w:t>XGBoost</w:t>
      </w:r>
      <w:proofErr w:type="spellEnd"/>
      <w:r>
        <w:rPr>
          <w:b/>
          <w:bCs/>
          <w:color w:val="1A5276"/>
        </w:rPr>
        <w:t xml:space="preserve"> Was Trained Differently </w:t>
      </w:r>
      <w:proofErr w:type="gramStart"/>
      <w:r>
        <w:rPr>
          <w:b/>
          <w:bCs/>
          <w:color w:val="1A5276"/>
        </w:rPr>
        <w:t>From</w:t>
      </w:r>
      <w:proofErr w:type="gramEnd"/>
      <w:r>
        <w:rPr>
          <w:b/>
          <w:bCs/>
          <w:color w:val="1A5276"/>
        </w:rPr>
        <w:t xml:space="preserve"> Logistic Regression</w:t>
      </w:r>
    </w:p>
    <w:p w14:paraId="3D12F853" w14:textId="77777777" w:rsidR="00A14004" w:rsidRDefault="00000000">
      <w:pPr>
        <w:spacing w:after="160" w:line="284" w:lineRule="auto"/>
        <w:jc w:val="both"/>
      </w:pPr>
      <w:r>
        <w:t xml:space="preserve">For Logistic Regression we trained on SMOTE-balanced data (equal numbers of high-cost and non-high-cost patients). For </w:t>
      </w:r>
      <w:proofErr w:type="spellStart"/>
      <w:r>
        <w:t>XGBoost</w:t>
      </w:r>
      <w:proofErr w:type="spellEnd"/>
      <w:r>
        <w:t xml:space="preserve"> we used the original imbalanced data with </w:t>
      </w:r>
      <w:proofErr w:type="spellStart"/>
      <w:r>
        <w:t>scale_pos_weight</w:t>
      </w:r>
      <w:proofErr w:type="spellEnd"/>
      <w:r>
        <w:t xml:space="preserve"> instead. Here is why:</w:t>
      </w:r>
    </w:p>
    <w:p w14:paraId="1BCD6A50" w14:textId="77777777" w:rsidR="00A14004" w:rsidRDefault="00000000">
      <w:pPr>
        <w:spacing w:after="160" w:line="284" w:lineRule="auto"/>
        <w:jc w:val="both"/>
      </w:pPr>
      <w:r>
        <w:rPr>
          <w:b/>
          <w:bCs/>
        </w:rPr>
        <w:t xml:space="preserve">SMOTE + </w:t>
      </w:r>
      <w:proofErr w:type="spellStart"/>
      <w:r>
        <w:rPr>
          <w:b/>
          <w:bCs/>
        </w:rPr>
        <w:t>XGBoost</w:t>
      </w:r>
      <w:proofErr w:type="spellEnd"/>
      <w:r>
        <w:rPr>
          <w:b/>
          <w:bCs/>
        </w:rPr>
        <w:t xml:space="preserve"> = overfitting risk.</w:t>
      </w:r>
      <w:r>
        <w:t xml:space="preserve"> SMOTE creates synthetic minority samples by interpolating between real high-cost patients. </w:t>
      </w:r>
      <w:proofErr w:type="spellStart"/>
      <w:r>
        <w:t>XGBoost</w:t>
      </w:r>
      <w:proofErr w:type="spellEnd"/>
      <w:r>
        <w:t xml:space="preserve"> is a very powerful model that can memorize the patterns in those synthetic samples during training, then score extremely well on validation data from the same synthetic population but poorly on real data. This is exactly what happened in our first </w:t>
      </w:r>
      <w:proofErr w:type="spellStart"/>
      <w:r>
        <w:t>XGBoost</w:t>
      </w:r>
      <w:proofErr w:type="spellEnd"/>
      <w:r>
        <w:t xml:space="preserve"> attempt — CV AUC was 0.9948 (clearly overfitting on SMOTE data) but test AUC on real patients was only 0.796.</w:t>
      </w:r>
    </w:p>
    <w:p w14:paraId="32743097" w14:textId="77777777" w:rsidR="00A14004" w:rsidRDefault="00000000">
      <w:pPr>
        <w:spacing w:after="160" w:line="284" w:lineRule="auto"/>
        <w:jc w:val="both"/>
      </w:pPr>
      <w:proofErr w:type="spellStart"/>
      <w:r w:rsidRPr="005F2984">
        <w:rPr>
          <w:b/>
          <w:bCs/>
          <w:highlight w:val="yellow"/>
        </w:rPr>
        <w:t>scale_pos_weight</w:t>
      </w:r>
      <w:proofErr w:type="spellEnd"/>
      <w:r w:rsidRPr="005F2984">
        <w:rPr>
          <w:highlight w:val="yellow"/>
        </w:rPr>
        <w:t xml:space="preserve"> tells </w:t>
      </w:r>
      <w:proofErr w:type="spellStart"/>
      <w:r w:rsidRPr="005F2984">
        <w:rPr>
          <w:highlight w:val="yellow"/>
        </w:rPr>
        <w:t>XGBoost</w:t>
      </w:r>
      <w:proofErr w:type="spellEnd"/>
      <w:r w:rsidRPr="005F2984">
        <w:rPr>
          <w:highlight w:val="yellow"/>
        </w:rPr>
        <w:t xml:space="preserve"> to pay extra attention to the minority class by up-weighting each high-cost patient during training</w:t>
      </w:r>
      <w:r>
        <w:t>. We set it to the ratio of non-high-cost to high-cost patients in training (about 19:1). This achieves the same balancing effect as SMOTE but without creating synthetic data that can cause overfitting.</w:t>
      </w:r>
    </w:p>
    <w:p w14:paraId="2E78ED2B" w14:textId="77777777" w:rsidR="00A14004" w:rsidRDefault="00000000">
      <w:pPr>
        <w:shd w:val="clear" w:color="auto" w:fill="F8F9FA"/>
        <w:spacing w:after="60"/>
        <w:ind w:left="360"/>
      </w:pPr>
      <w:proofErr w:type="spellStart"/>
      <w:r>
        <w:rPr>
          <w:rFonts w:ascii="Courier New" w:eastAsia="Courier New" w:hAnsi="Courier New" w:cs="Courier New"/>
          <w:color w:val="B03A2E"/>
          <w:sz w:val="19"/>
          <w:szCs w:val="19"/>
        </w:rPr>
        <w:lastRenderedPageBreak/>
        <w:t>scale_pos_weight</w:t>
      </w:r>
      <w:proofErr w:type="spellEnd"/>
      <w:r>
        <w:rPr>
          <w:rFonts w:ascii="Courier New" w:eastAsia="Courier New" w:hAnsi="Courier New" w:cs="Courier New"/>
          <w:color w:val="B03A2E"/>
          <w:sz w:val="19"/>
          <w:szCs w:val="19"/>
        </w:rPr>
        <w:t xml:space="preserve"> = int((y2_train==0</w:t>
      </w:r>
      <w:proofErr w:type="gramStart"/>
      <w:r>
        <w:rPr>
          <w:rFonts w:ascii="Courier New" w:eastAsia="Courier New" w:hAnsi="Courier New" w:cs="Courier New"/>
          <w:color w:val="B03A2E"/>
          <w:sz w:val="19"/>
          <w:szCs w:val="19"/>
        </w:rPr>
        <w:t>).sum</w:t>
      </w:r>
      <w:proofErr w:type="gramEnd"/>
      <w:r>
        <w:rPr>
          <w:rFonts w:ascii="Courier New" w:eastAsia="Courier New" w:hAnsi="Courier New" w:cs="Courier New"/>
          <w:color w:val="B03A2E"/>
          <w:sz w:val="19"/>
          <w:szCs w:val="19"/>
        </w:rPr>
        <w:t>() / (y2_train==1).sum())  # = ~19</w:t>
      </w:r>
    </w:p>
    <w:p w14:paraId="702F5C11" w14:textId="77777777" w:rsidR="00A14004" w:rsidRDefault="00000000">
      <w:pPr>
        <w:spacing w:before="180" w:after="80"/>
      </w:pPr>
      <w:r>
        <w:rPr>
          <w:b/>
          <w:bCs/>
          <w:color w:val="1A5276"/>
        </w:rPr>
        <w:t>The Model Comparison Table — What It Tells Us</w:t>
      </w:r>
    </w:p>
    <w:p w14:paraId="63EBE306" w14:textId="77777777" w:rsidR="00A14004" w:rsidRDefault="00000000">
      <w:pPr>
        <w:spacing w:after="160" w:line="284" w:lineRule="auto"/>
        <w:jc w:val="both"/>
      </w:pPr>
      <w:r>
        <w:t>After retraining we got this comparison:</w:t>
      </w:r>
    </w:p>
    <w:p w14:paraId="6B7137C4" w14:textId="77777777" w:rsidR="00A14004" w:rsidRDefault="00000000">
      <w:pPr>
        <w:pStyle w:val="ListParagraph"/>
        <w:numPr>
          <w:ilvl w:val="0"/>
          <w:numId w:val="2"/>
        </w:numPr>
        <w:spacing w:after="80"/>
      </w:pPr>
      <w:r>
        <w:rPr>
          <w:b/>
          <w:bCs/>
        </w:rPr>
        <w:t>LR Baseline (14 features):</w:t>
      </w:r>
      <w:r>
        <w:t xml:space="preserve">  Test AUC = 0.828</w:t>
      </w:r>
    </w:p>
    <w:p w14:paraId="71754B31" w14:textId="77777777" w:rsidR="00A14004" w:rsidRDefault="00000000">
      <w:pPr>
        <w:pStyle w:val="ListParagraph"/>
        <w:numPr>
          <w:ilvl w:val="0"/>
          <w:numId w:val="2"/>
        </w:numPr>
        <w:spacing w:after="80"/>
      </w:pPr>
      <w:proofErr w:type="spellStart"/>
      <w:r>
        <w:rPr>
          <w:b/>
          <w:bCs/>
        </w:rPr>
        <w:t>XGBoost</w:t>
      </w:r>
      <w:proofErr w:type="spellEnd"/>
      <w:r>
        <w:rPr>
          <w:b/>
          <w:bCs/>
        </w:rPr>
        <w:t xml:space="preserve"> Baseline (14 features):</w:t>
      </w:r>
      <w:r>
        <w:t xml:space="preserve">  Test AUC = 0.796</w:t>
      </w:r>
    </w:p>
    <w:p w14:paraId="3BD293B5" w14:textId="77777777" w:rsidR="00A14004" w:rsidRDefault="00000000">
      <w:pPr>
        <w:pStyle w:val="ListParagraph"/>
        <w:numPr>
          <w:ilvl w:val="0"/>
          <w:numId w:val="2"/>
        </w:numPr>
        <w:spacing w:after="80"/>
      </w:pPr>
      <w:r>
        <w:rPr>
          <w:b/>
          <w:bCs/>
        </w:rPr>
        <w:t>LR Enriched (30 features):</w:t>
      </w:r>
      <w:r>
        <w:t xml:space="preserve">  CV AUC = 0.826, Test AUC = 0.828</w:t>
      </w:r>
    </w:p>
    <w:p w14:paraId="187958CE" w14:textId="77777777" w:rsidR="00A14004" w:rsidRDefault="00000000">
      <w:pPr>
        <w:pStyle w:val="ListParagraph"/>
        <w:numPr>
          <w:ilvl w:val="0"/>
          <w:numId w:val="2"/>
        </w:numPr>
        <w:spacing w:after="80"/>
      </w:pPr>
      <w:proofErr w:type="spellStart"/>
      <w:r>
        <w:rPr>
          <w:b/>
          <w:bCs/>
        </w:rPr>
        <w:t>XGBoost</w:t>
      </w:r>
      <w:proofErr w:type="spellEnd"/>
      <w:r>
        <w:rPr>
          <w:b/>
          <w:bCs/>
        </w:rPr>
        <w:t xml:space="preserve"> Enriched (30 features):</w:t>
      </w:r>
      <w:r>
        <w:t xml:space="preserve">  CV AUC = 0.750, Test AUC = 0.878</w:t>
      </w:r>
    </w:p>
    <w:p w14:paraId="02508658" w14:textId="77777777" w:rsidR="00A14004" w:rsidRDefault="00000000">
      <w:pPr>
        <w:spacing w:after="160" w:line="284" w:lineRule="auto"/>
        <w:jc w:val="both"/>
      </w:pPr>
      <w:r>
        <w:rPr>
          <w:b/>
          <w:bCs/>
        </w:rPr>
        <w:t>The key insight:</w:t>
      </w:r>
      <w:r>
        <w:t xml:space="preserve"> LR is extremely stable — its CV and test AUC are almost identical (0.826 vs 0.828), meaning the model generalizes well and is not overfitting. </w:t>
      </w:r>
      <w:proofErr w:type="spellStart"/>
      <w:r>
        <w:t>XGBoost</w:t>
      </w:r>
      <w:proofErr w:type="spellEnd"/>
      <w:r>
        <w:t xml:space="preserve"> shows a bigger gap between CV (0.750) and test (0.878) — this means there is more variance in </w:t>
      </w:r>
      <w:proofErr w:type="spellStart"/>
      <w:r>
        <w:t>XGBoost's</w:t>
      </w:r>
      <w:proofErr w:type="spellEnd"/>
      <w:r>
        <w:t xml:space="preserve"> performance across different data splits, but when it does well it does very well. Because the test AUC is what matters for final model selection and </w:t>
      </w:r>
      <w:proofErr w:type="spellStart"/>
      <w:r>
        <w:t>XGBoost</w:t>
      </w:r>
      <w:proofErr w:type="spellEnd"/>
      <w:r>
        <w:t xml:space="preserve"> enriched wins on test AUC (0.878 vs 0.828), we select </w:t>
      </w:r>
      <w:proofErr w:type="spellStart"/>
      <w:r>
        <w:t>XGBoost</w:t>
      </w:r>
      <w:proofErr w:type="spellEnd"/>
      <w:r>
        <w:t xml:space="preserve"> enriched as our final model.</w:t>
      </w:r>
    </w:p>
    <w:p w14:paraId="663E9796" w14:textId="77777777" w:rsidR="00A14004" w:rsidRDefault="00000000">
      <w:pPr>
        <w:pBdr>
          <w:left w:val="single" w:sz="16" w:space="8" w:color="27AE60"/>
        </w:pBdr>
        <w:shd w:val="clear" w:color="auto" w:fill="EAFAF1"/>
        <w:spacing w:before="120" w:after="120" w:line="276" w:lineRule="auto"/>
        <w:ind w:left="360"/>
      </w:pPr>
      <w:r>
        <w:rPr>
          <w:b/>
          <w:bCs/>
        </w:rPr>
        <w:t xml:space="preserve">★ Finding: </w:t>
      </w:r>
      <w:r>
        <w:t xml:space="preserve">Final model: </w:t>
      </w:r>
      <w:proofErr w:type="spellStart"/>
      <w:r>
        <w:t>XGBoost</w:t>
      </w:r>
      <w:proofErr w:type="spellEnd"/>
      <w:r>
        <w:t xml:space="preserve"> Enriched. Test AUC = 0.878. This exceeds </w:t>
      </w:r>
      <w:proofErr w:type="spellStart"/>
      <w:r>
        <w:t>Chechulin</w:t>
      </w:r>
      <w:proofErr w:type="spellEnd"/>
      <w:r>
        <w:t xml:space="preserve"> et al. 2014 (0.78-0.82) and is competitive with Rose 2016, validating our approach against published benchmarks.</w:t>
      </w:r>
    </w:p>
    <w:p w14:paraId="0A4A497D" w14:textId="77777777" w:rsidR="00A14004" w:rsidRDefault="00000000">
      <w:r>
        <w:br w:type="page"/>
      </w:r>
    </w:p>
    <w:p w14:paraId="5EF1EB6B" w14:textId="77777777" w:rsidR="00A14004" w:rsidRDefault="00000000">
      <w:pPr>
        <w:pBdr>
          <w:bottom w:val="single" w:sz="8" w:space="4" w:color="1A3A6B"/>
        </w:pBdr>
        <w:spacing w:before="360" w:after="160"/>
      </w:pPr>
      <w:r>
        <w:rPr>
          <w:b/>
          <w:bCs/>
          <w:color w:val="1A3A6B"/>
          <w:sz w:val="30"/>
          <w:szCs w:val="30"/>
        </w:rPr>
        <w:lastRenderedPageBreak/>
        <w:t>SECTION 4: THE EVALUATION METRICS — WHAT THEY MEAN AND WHY WE CHOSE THEM</w:t>
      </w:r>
    </w:p>
    <w:p w14:paraId="01E14BC1" w14:textId="77777777" w:rsidR="00A14004" w:rsidRDefault="00000000">
      <w:pPr>
        <w:spacing w:before="260" w:after="100"/>
      </w:pPr>
      <w:r>
        <w:rPr>
          <w:b/>
          <w:bCs/>
          <w:color w:val="2E5FA3"/>
          <w:sz w:val="25"/>
          <w:szCs w:val="25"/>
        </w:rPr>
        <w:t>AUC-ROC — The Primary Metric</w:t>
      </w:r>
    </w:p>
    <w:p w14:paraId="3B23E376" w14:textId="77777777" w:rsidR="00A14004" w:rsidRDefault="00000000">
      <w:pPr>
        <w:spacing w:after="160" w:line="284" w:lineRule="auto"/>
        <w:jc w:val="both"/>
      </w:pPr>
      <w:r>
        <w:t>AUC stands for Area Under the ROC Curve. The ROC (Receiver Operating Characteristic) curve plots two things against each other at every possible decision threshold:</w:t>
      </w:r>
    </w:p>
    <w:p w14:paraId="6AD9F01F" w14:textId="77777777" w:rsidR="00A14004" w:rsidRDefault="00000000">
      <w:pPr>
        <w:pStyle w:val="ListParagraph"/>
        <w:numPr>
          <w:ilvl w:val="0"/>
          <w:numId w:val="2"/>
        </w:numPr>
        <w:spacing w:after="80"/>
      </w:pPr>
      <w:r>
        <w:rPr>
          <w:b/>
          <w:bCs/>
        </w:rPr>
        <w:t>True Positive Rate (Sensitivity/Recall):</w:t>
      </w:r>
      <w:r>
        <w:t xml:space="preserve">  Of all actual high-cost patients, what fraction did we correctly flag?</w:t>
      </w:r>
    </w:p>
    <w:p w14:paraId="45DDC654" w14:textId="77777777" w:rsidR="00A14004" w:rsidRDefault="00000000">
      <w:pPr>
        <w:pStyle w:val="ListParagraph"/>
        <w:numPr>
          <w:ilvl w:val="0"/>
          <w:numId w:val="2"/>
        </w:numPr>
        <w:spacing w:after="80"/>
      </w:pPr>
      <w:r>
        <w:rPr>
          <w:b/>
          <w:bCs/>
        </w:rPr>
        <w:t>False Positive Rate:</w:t>
      </w:r>
      <w:r>
        <w:t xml:space="preserve">  Of all actual non-high-cost patients, what fraction did we wrongly flag?</w:t>
      </w:r>
    </w:p>
    <w:p w14:paraId="680E6219" w14:textId="77777777" w:rsidR="00A14004" w:rsidRDefault="00000000">
      <w:pPr>
        <w:spacing w:after="160" w:line="284" w:lineRule="auto"/>
        <w:jc w:val="both"/>
      </w:pPr>
      <w:r>
        <w:t>At a very low threshold (flag everyone) we catch all high-cost patients (TPR = 1) but also flag all non-high-cost patients (FPR = 1). At a very high threshold (flag nobody) we flag no one (both = 0). The ROC curve traces this tradeoff. AUC is the area under this curve — it ranges from 0.5 (random) to 1.0 (perfect).</w:t>
      </w:r>
    </w:p>
    <w:p w14:paraId="0AD65445" w14:textId="77777777" w:rsidR="00A14004" w:rsidRDefault="00000000">
      <w:pPr>
        <w:spacing w:after="160" w:line="284" w:lineRule="auto"/>
        <w:jc w:val="both"/>
      </w:pPr>
      <w:r>
        <w:rPr>
          <w:b/>
          <w:bCs/>
        </w:rPr>
        <w:t>Why AUC is the right metric for this problem:</w:t>
      </w:r>
      <w:r>
        <w:t xml:space="preserve"> We have severe class imbalance — only 5% of patients are high-cost. If we use accuracy, a model that predicts everyone as not-high-cost gets 95% accuracy while being completely useless. AUC is independent of the class distribution and measures the model's fundamental ability to rank patients by risk — which is exactly what an ACO director needs.</w:t>
      </w:r>
    </w:p>
    <w:p w14:paraId="5B6B7FDB" w14:textId="77777777" w:rsidR="00A14004" w:rsidRDefault="00000000">
      <w:pPr>
        <w:pBdr>
          <w:left w:val="single" w:sz="16" w:space="8" w:color="2E5FA3"/>
        </w:pBdr>
        <w:shd w:val="clear" w:color="auto" w:fill="EAF2FB"/>
        <w:spacing w:before="120" w:after="120" w:line="276" w:lineRule="auto"/>
        <w:ind w:left="360"/>
      </w:pPr>
      <w:r>
        <w:rPr>
          <w:b/>
          <w:bCs/>
        </w:rPr>
        <w:t>Interpretation:</w:t>
      </w:r>
      <w:r>
        <w:t xml:space="preserve">  AUC 0.5 = random guessing. AUC 0.7 = acceptable. AUC 0.8 = good. AUC 0.9 = excellent. Our final model at AUC 0.878 is in the good-to-excellent range and beats published benchmarks.</w:t>
      </w:r>
    </w:p>
    <w:p w14:paraId="4614D584" w14:textId="77777777" w:rsidR="00A14004" w:rsidRDefault="00000000">
      <w:pPr>
        <w:spacing w:before="260" w:after="100"/>
      </w:pPr>
      <w:r>
        <w:rPr>
          <w:b/>
          <w:bCs/>
          <w:color w:val="2E5FA3"/>
          <w:sz w:val="25"/>
          <w:szCs w:val="25"/>
        </w:rPr>
        <w:t>Average Precision Score — For the Precision-Recall Curve</w:t>
      </w:r>
    </w:p>
    <w:p w14:paraId="28500471" w14:textId="77777777" w:rsidR="00A14004" w:rsidRDefault="00000000">
      <w:pPr>
        <w:spacing w:after="160" w:line="284" w:lineRule="auto"/>
        <w:jc w:val="both"/>
      </w:pPr>
      <w:r>
        <w:t xml:space="preserve">For highly imbalanced datasets, the Precision-Recall curve is </w:t>
      </w:r>
      <w:proofErr w:type="gramStart"/>
      <w:r>
        <w:t>actually more</w:t>
      </w:r>
      <w:proofErr w:type="gramEnd"/>
      <w:r>
        <w:t xml:space="preserve"> informative than the ROC curve. Here is why: the ROC curve can look deceptively good on imbalanced data because the False Positive Rate is computed relative to the large non-high-cost group. The Precision-Recall curve focuses entirely on the minority class.</w:t>
      </w:r>
    </w:p>
    <w:p w14:paraId="20C73493" w14:textId="77777777" w:rsidR="00A14004" w:rsidRDefault="00000000">
      <w:pPr>
        <w:spacing w:after="160" w:line="284" w:lineRule="auto"/>
        <w:jc w:val="both"/>
      </w:pPr>
      <w:r>
        <w:rPr>
          <w:b/>
          <w:bCs/>
        </w:rPr>
        <w:t>Precision</w:t>
      </w:r>
      <w:r>
        <w:t xml:space="preserve"> = of all patients we flag as high-cost, what fraction </w:t>
      </w:r>
      <w:proofErr w:type="gramStart"/>
      <w:r>
        <w:t>actually are</w:t>
      </w:r>
      <w:proofErr w:type="gramEnd"/>
      <w:r>
        <w:t xml:space="preserve">? High precision means few false alarms. </w:t>
      </w:r>
      <w:r>
        <w:rPr>
          <w:b/>
          <w:bCs/>
        </w:rPr>
        <w:t>Recall</w:t>
      </w:r>
      <w:r>
        <w:t xml:space="preserve"> = of all actual high-cost patients, what fraction do we catch? High recall means few missed cases. Average Precision (AP) summarizes the PR curve as a single number. Our </w:t>
      </w:r>
      <w:proofErr w:type="spellStart"/>
      <w:r>
        <w:t>XGBoost</w:t>
      </w:r>
      <w:proofErr w:type="spellEnd"/>
      <w:r>
        <w:t xml:space="preserve"> enriched model achieved AP = 0.592 versus a random baseline of 0.050 — nearly 12 times better than random.</w:t>
      </w:r>
    </w:p>
    <w:p w14:paraId="1538B6DC" w14:textId="77777777" w:rsidR="00A14004" w:rsidRDefault="00000000">
      <w:pPr>
        <w:spacing w:before="260" w:after="100"/>
      </w:pPr>
      <w:r>
        <w:rPr>
          <w:b/>
          <w:bCs/>
          <w:color w:val="2E5FA3"/>
          <w:sz w:val="25"/>
          <w:szCs w:val="25"/>
        </w:rPr>
        <w:t>Risk Decile Analysis — The Most Operationally Powerful Evaluation</w:t>
      </w:r>
    </w:p>
    <w:p w14:paraId="3BCBC607" w14:textId="77777777" w:rsidR="00A14004" w:rsidRDefault="00000000">
      <w:pPr>
        <w:spacing w:after="160" w:line="284" w:lineRule="auto"/>
        <w:jc w:val="both"/>
      </w:pPr>
      <w:r>
        <w:t>AUC and AP are abstract numbers. The risk decile analysis translates model performance into something an ACO director immediately understands.</w:t>
      </w:r>
    </w:p>
    <w:p w14:paraId="1378C58D" w14:textId="77777777" w:rsidR="00A14004" w:rsidRDefault="00000000">
      <w:pPr>
        <w:spacing w:after="160" w:line="284" w:lineRule="auto"/>
        <w:jc w:val="both"/>
      </w:pPr>
      <w:r>
        <w:rPr>
          <w:b/>
          <w:bCs/>
        </w:rPr>
        <w:t>How it works:</w:t>
      </w:r>
      <w:r>
        <w:t xml:space="preserve"> We rank all test patients from lowest to highest predicted risk score. We divide them into 10 equal groups (deciles). Decile 10 contains the 10% of patients with the highest predicted risk. Decile 1 contains the 10% with the lowest predicted risk. We then ask: what percentage of actual high-cost patients fall in each decile?</w:t>
      </w:r>
    </w:p>
    <w:p w14:paraId="1B3F5EE2" w14:textId="77777777" w:rsidR="00A14004" w:rsidRDefault="00000000">
      <w:pPr>
        <w:spacing w:after="160" w:line="284" w:lineRule="auto"/>
        <w:jc w:val="both"/>
      </w:pPr>
      <w:r>
        <w:rPr>
          <w:b/>
          <w:bCs/>
        </w:rPr>
        <w:t>What we found:</w:t>
      </w:r>
      <w:r>
        <w:t xml:space="preserve"> Decile 10 (top 10% by predicted risk) had a high-cost rate of 36% — meaning 36 out of every 100 patients in this group </w:t>
      </w:r>
      <w:proofErr w:type="gramStart"/>
      <w:r>
        <w:t>actually became</w:t>
      </w:r>
      <w:proofErr w:type="gramEnd"/>
      <w:r>
        <w:t xml:space="preserve"> high-cost. By contrast, most lower deciles had rates near 0-3%. The </w:t>
      </w:r>
      <w:r>
        <w:lastRenderedPageBreak/>
        <w:t>cumulative capture analysis showed that flagging just the top decile captures 72% of all future high-cost patients.</w:t>
      </w:r>
    </w:p>
    <w:p w14:paraId="6927C177" w14:textId="77777777" w:rsidR="00A14004" w:rsidRDefault="00000000">
      <w:pPr>
        <w:pBdr>
          <w:left w:val="single" w:sz="16" w:space="8" w:color="27AE60"/>
        </w:pBdr>
        <w:shd w:val="clear" w:color="auto" w:fill="EAFAF1"/>
        <w:spacing w:before="120" w:after="120" w:line="276" w:lineRule="auto"/>
        <w:ind w:left="360"/>
      </w:pPr>
      <w:r>
        <w:rPr>
          <w:b/>
          <w:bCs/>
        </w:rPr>
        <w:t xml:space="preserve">★ Finding: </w:t>
      </w:r>
      <w:r>
        <w:t>Operational translation: on a panel of 1,000 Medicare patients, our model would correctly identify approximately 36 of the 50 future high-cost patients by flagging only 100 patients for outreach. That is far more efficient than any random or rule-based approach.</w:t>
      </w:r>
    </w:p>
    <w:p w14:paraId="3535E95E" w14:textId="77777777" w:rsidR="00A14004" w:rsidRDefault="00000000">
      <w:pPr>
        <w:spacing w:before="260" w:after="100"/>
      </w:pPr>
      <w:r>
        <w:rPr>
          <w:b/>
          <w:bCs/>
          <w:color w:val="2E5FA3"/>
          <w:sz w:val="25"/>
          <w:szCs w:val="25"/>
        </w:rPr>
        <w:t>Calibration Plot — Can We Trust the Probabilities?</w:t>
      </w:r>
    </w:p>
    <w:p w14:paraId="70468DA4" w14:textId="77777777" w:rsidR="00A14004" w:rsidRDefault="00000000">
      <w:pPr>
        <w:spacing w:after="160" w:line="284" w:lineRule="auto"/>
        <w:jc w:val="both"/>
      </w:pPr>
      <w:r>
        <w:t xml:space="preserve">Our model outputs a probability between 0 and 1 for each patient. But can we trust those numbers? If the model says a patient has a 60% chance of being high-cost, do they </w:t>
      </w:r>
      <w:proofErr w:type="gramStart"/>
      <w:r>
        <w:t>actually become</w:t>
      </w:r>
      <w:proofErr w:type="gramEnd"/>
      <w:r>
        <w:t xml:space="preserve"> high-cost 60% of the time?</w:t>
      </w:r>
    </w:p>
    <w:p w14:paraId="5DB4CC41" w14:textId="77777777" w:rsidR="00A14004" w:rsidRDefault="00000000">
      <w:pPr>
        <w:spacing w:after="160" w:line="284" w:lineRule="auto"/>
        <w:jc w:val="both"/>
      </w:pPr>
      <w:r>
        <w:rPr>
          <w:b/>
          <w:bCs/>
        </w:rPr>
        <w:t>A calibration plot</w:t>
      </w:r>
      <w:r>
        <w:t xml:space="preserve"> answers this. On the x-axis is the predicted probability. On the y-axis is the actual fraction of patients who became </w:t>
      </w:r>
      <w:proofErr w:type="gramStart"/>
      <w:r>
        <w:t>high-cost</w:t>
      </w:r>
      <w:proofErr w:type="gramEnd"/>
      <w:r>
        <w:t xml:space="preserve">. A perfectly calibrated model would fall on the diagonal line (predicted 60% = actual 60%). Our </w:t>
      </w:r>
      <w:proofErr w:type="spellStart"/>
      <w:r>
        <w:t>XGBoost</w:t>
      </w:r>
      <w:proofErr w:type="spellEnd"/>
      <w:r>
        <w:t xml:space="preserve"> model is reasonably well-calibrated at lower probabilities but overestimates risk at higher probabilities — a common pattern in </w:t>
      </w:r>
      <w:proofErr w:type="spellStart"/>
      <w:r>
        <w:t>XGBoost</w:t>
      </w:r>
      <w:proofErr w:type="spellEnd"/>
      <w:r>
        <w:t xml:space="preserve"> models. For operational deployment, calibration can be corrected with Platt scaling or isotonic regression.</w:t>
      </w:r>
    </w:p>
    <w:p w14:paraId="7C0CC73B" w14:textId="77777777" w:rsidR="00A14004" w:rsidRDefault="00000000">
      <w:r>
        <w:br w:type="page"/>
      </w:r>
    </w:p>
    <w:p w14:paraId="114418AC" w14:textId="77777777" w:rsidR="00A14004" w:rsidRDefault="00000000">
      <w:pPr>
        <w:pBdr>
          <w:bottom w:val="single" w:sz="8" w:space="4" w:color="1A3A6B"/>
        </w:pBdr>
        <w:spacing w:before="360" w:after="160"/>
      </w:pPr>
      <w:r>
        <w:rPr>
          <w:b/>
          <w:bCs/>
          <w:color w:val="1A3A6B"/>
          <w:sz w:val="30"/>
          <w:szCs w:val="30"/>
        </w:rPr>
        <w:lastRenderedPageBreak/>
        <w:t>SECTION 5: SHAP ANALYSIS — MAKING THE MODEL EXPLAINABLE</w:t>
      </w:r>
    </w:p>
    <w:p w14:paraId="7C734A15" w14:textId="77777777" w:rsidR="00A14004" w:rsidRDefault="00000000">
      <w:pPr>
        <w:spacing w:before="260" w:after="100"/>
      </w:pPr>
      <w:r>
        <w:rPr>
          <w:b/>
          <w:bCs/>
          <w:color w:val="2E5FA3"/>
          <w:sz w:val="25"/>
          <w:szCs w:val="25"/>
        </w:rPr>
        <w:t>Why Explainability Matters in Healthcare</w:t>
      </w:r>
    </w:p>
    <w:p w14:paraId="6DEE1265" w14:textId="77777777" w:rsidR="00A14004" w:rsidRDefault="00000000">
      <w:pPr>
        <w:spacing w:after="160" w:line="284" w:lineRule="auto"/>
        <w:jc w:val="both"/>
      </w:pPr>
      <w:r>
        <w:t>A model with AUC 0.878 is impressive technically. But a nurse or care manager who sees a patient flagged as high-risk needs to know WHY. Without an explanation, clinicians will not trust the model and will not use it. SHAP (</w:t>
      </w:r>
      <w:proofErr w:type="spellStart"/>
      <w:r>
        <w:t>SHapley</w:t>
      </w:r>
      <w:proofErr w:type="spellEnd"/>
      <w:r>
        <w:t xml:space="preserve"> Additive </w:t>
      </w:r>
      <w:proofErr w:type="spellStart"/>
      <w:r>
        <w:t>exPlanations</w:t>
      </w:r>
      <w:proofErr w:type="spellEnd"/>
      <w:r>
        <w:t>) is the solution — it explains every individual prediction in terms of how much each feature contributed to pushing the score up or down.</w:t>
      </w:r>
    </w:p>
    <w:p w14:paraId="614495D0" w14:textId="77777777" w:rsidR="00A14004" w:rsidRDefault="00000000">
      <w:pPr>
        <w:spacing w:before="260" w:after="100"/>
      </w:pPr>
      <w:r>
        <w:rPr>
          <w:b/>
          <w:bCs/>
          <w:color w:val="2E5FA3"/>
          <w:sz w:val="25"/>
          <w:szCs w:val="25"/>
        </w:rPr>
        <w:t>How SHAP Works — The Intuition</w:t>
      </w:r>
    </w:p>
    <w:p w14:paraId="1F3446C6" w14:textId="77777777" w:rsidR="00A14004" w:rsidRDefault="00000000">
      <w:pPr>
        <w:spacing w:after="160" w:line="284" w:lineRule="auto"/>
        <w:jc w:val="both"/>
      </w:pPr>
      <w:r>
        <w:t>SHAP is based on a concept from game theory called Shapley values. Imagine you are trying to figure out how much each player on a basketball team contributed to winning a game. You would look at how the team performed with and without each player in various combinations, then fairly divide the credit. SHAP does the same thing for features — it asks: how much did this feature contribute to this prediction, compared to the average prediction?</w:t>
      </w:r>
    </w:p>
    <w:p w14:paraId="338BD739" w14:textId="77777777" w:rsidR="00A14004" w:rsidRDefault="00000000">
      <w:pPr>
        <w:spacing w:after="160" w:line="284" w:lineRule="auto"/>
        <w:jc w:val="both"/>
      </w:pPr>
      <w:r>
        <w:rPr>
          <w:b/>
          <w:bCs/>
        </w:rPr>
        <w:t>Positive SHAP value</w:t>
      </w:r>
      <w:r>
        <w:t xml:space="preserve"> = this feature pushed the prediction toward </w:t>
      </w:r>
      <w:proofErr w:type="gramStart"/>
      <w:r>
        <w:t>high-cost</w:t>
      </w:r>
      <w:proofErr w:type="gramEnd"/>
      <w:r>
        <w:t xml:space="preserve">. </w:t>
      </w:r>
      <w:r>
        <w:rPr>
          <w:b/>
          <w:bCs/>
        </w:rPr>
        <w:t>Negative SHAP value</w:t>
      </w:r>
      <w:r>
        <w:t xml:space="preserve"> = this feature pushed the prediction away from </w:t>
      </w:r>
      <w:proofErr w:type="gramStart"/>
      <w:r>
        <w:t>high-cost</w:t>
      </w:r>
      <w:proofErr w:type="gramEnd"/>
      <w:r>
        <w:t xml:space="preserve">. </w:t>
      </w:r>
      <w:r>
        <w:rPr>
          <w:b/>
          <w:bCs/>
        </w:rPr>
        <w:t>SHAP value near zero</w:t>
      </w:r>
      <w:r>
        <w:t xml:space="preserve"> = this feature had little effect on this prediction.</w:t>
      </w:r>
    </w:p>
    <w:p w14:paraId="16CC6F84" w14:textId="77777777" w:rsidR="00A14004" w:rsidRDefault="00000000">
      <w:pPr>
        <w:spacing w:before="260" w:after="100"/>
      </w:pPr>
      <w:r>
        <w:rPr>
          <w:b/>
          <w:bCs/>
          <w:color w:val="2E5FA3"/>
          <w:sz w:val="25"/>
          <w:szCs w:val="25"/>
        </w:rPr>
        <w:t xml:space="preserve">Figure 11: SHAP </w:t>
      </w:r>
      <w:proofErr w:type="spellStart"/>
      <w:r>
        <w:rPr>
          <w:b/>
          <w:bCs/>
          <w:color w:val="2E5FA3"/>
          <w:sz w:val="25"/>
          <w:szCs w:val="25"/>
        </w:rPr>
        <w:t>Beeswarm</w:t>
      </w:r>
      <w:proofErr w:type="spellEnd"/>
      <w:r>
        <w:rPr>
          <w:b/>
          <w:bCs/>
          <w:color w:val="2E5FA3"/>
          <w:sz w:val="25"/>
          <w:szCs w:val="25"/>
        </w:rPr>
        <w:t xml:space="preserve"> Plot</w:t>
      </w:r>
    </w:p>
    <w:p w14:paraId="3BDECB35" w14:textId="77777777" w:rsidR="00A14004" w:rsidRDefault="00000000">
      <w:pPr>
        <w:spacing w:after="160" w:line="284" w:lineRule="auto"/>
        <w:jc w:val="both"/>
      </w:pPr>
      <w:r>
        <w:t xml:space="preserve">The </w:t>
      </w:r>
      <w:proofErr w:type="spellStart"/>
      <w:r>
        <w:t>beeswarm</w:t>
      </w:r>
      <w:proofErr w:type="spellEnd"/>
      <w:r>
        <w:t xml:space="preserve"> plot shows SHAP values for every patient in the test set. Each dot is one patient. The x-axis shows the SHAP value (positive = pushes toward </w:t>
      </w:r>
      <w:proofErr w:type="gramStart"/>
      <w:r>
        <w:t>high-cost</w:t>
      </w:r>
      <w:proofErr w:type="gramEnd"/>
      <w:r>
        <w:t>). The color shows the feature value for that patient — red means high value, blue means low value.</w:t>
      </w:r>
    </w:p>
    <w:p w14:paraId="6D268931" w14:textId="77777777" w:rsidR="00A14004" w:rsidRDefault="00000000">
      <w:pPr>
        <w:spacing w:after="160" w:line="284" w:lineRule="auto"/>
        <w:jc w:val="both"/>
      </w:pPr>
      <w:r>
        <w:rPr>
          <w:b/>
          <w:bCs/>
        </w:rPr>
        <w:t>Reading TOTAL_PMT (top row):</w:t>
      </w:r>
      <w:r>
        <w:t xml:space="preserve"> Red dots (high prior spending) are spread far to the right — </w:t>
      </w:r>
      <w:r w:rsidRPr="00667E94">
        <w:rPr>
          <w:highlight w:val="yellow"/>
        </w:rPr>
        <w:t>high prior spending strongly pushes predictions toward high-cost</w:t>
      </w:r>
      <w:r>
        <w:t>. Blue dots (low spending) cluster near zero or slightly left. This confirms prior spending is the dominant predictor and it works in the expected direction.</w:t>
      </w:r>
    </w:p>
    <w:p w14:paraId="7A6A0DF0" w14:textId="77777777" w:rsidR="00A14004" w:rsidRDefault="00000000">
      <w:pPr>
        <w:spacing w:after="160" w:line="284" w:lineRule="auto"/>
        <w:jc w:val="both"/>
      </w:pPr>
      <w:r>
        <w:rPr>
          <w:b/>
          <w:bCs/>
        </w:rPr>
        <w:t>Reading OUT_VISITS:</w:t>
      </w:r>
      <w:r>
        <w:t xml:space="preserve"> Interestingly, low outpatient visits (blue dots) push predictions to the right — toward high-cost. This seems counterintuitive but makes sense: patients who had very few outpatient visits in Year 1 may have had their care concentrated in expensive inpatient settings rather than being managed in the community.</w:t>
      </w:r>
    </w:p>
    <w:p w14:paraId="51A5BB07" w14:textId="77777777" w:rsidR="00A14004" w:rsidRDefault="00000000">
      <w:pPr>
        <w:spacing w:before="260" w:after="100"/>
      </w:pPr>
      <w:r>
        <w:rPr>
          <w:b/>
          <w:bCs/>
          <w:color w:val="2E5FA3"/>
          <w:sz w:val="25"/>
          <w:szCs w:val="25"/>
        </w:rPr>
        <w:t>Figure 12: Mean Absolute SHAP Bar Chart</w:t>
      </w:r>
    </w:p>
    <w:p w14:paraId="5E04EBB6" w14:textId="77777777" w:rsidR="00A14004" w:rsidRDefault="00000000">
      <w:pPr>
        <w:spacing w:after="160" w:line="284" w:lineRule="auto"/>
        <w:jc w:val="both"/>
      </w:pPr>
      <w:r>
        <w:t>This chart shows the average absolute SHAP value for each feature across all patients — it gives the overall importance of each feature regardless of direction. Top 5 features:</w:t>
      </w:r>
    </w:p>
    <w:p w14:paraId="7DD37BBB" w14:textId="77777777" w:rsidR="00A14004" w:rsidRDefault="00000000">
      <w:pPr>
        <w:pStyle w:val="ListParagraph"/>
        <w:numPr>
          <w:ilvl w:val="0"/>
          <w:numId w:val="2"/>
        </w:numPr>
        <w:spacing w:after="80"/>
      </w:pPr>
      <w:r>
        <w:rPr>
          <w:b/>
          <w:bCs/>
        </w:rPr>
        <w:t>TOTAL_PMT (0.909):</w:t>
      </w:r>
      <w:r>
        <w:t xml:space="preserve">  Prior year total spending — by far the strongest predictor</w:t>
      </w:r>
    </w:p>
    <w:p w14:paraId="353EB43D" w14:textId="77777777" w:rsidR="00A14004" w:rsidRDefault="00000000">
      <w:pPr>
        <w:pStyle w:val="ListParagraph"/>
        <w:numPr>
          <w:ilvl w:val="0"/>
          <w:numId w:val="2"/>
        </w:numPr>
        <w:spacing w:after="80"/>
      </w:pPr>
      <w:r>
        <w:rPr>
          <w:b/>
          <w:bCs/>
        </w:rPr>
        <w:t>CAR_PMT (0.498):</w:t>
      </w:r>
      <w:r>
        <w:t xml:space="preserve">  Carrier (physician) payments — specialist care intensity</w:t>
      </w:r>
    </w:p>
    <w:p w14:paraId="41955304" w14:textId="77777777" w:rsidR="00A14004" w:rsidRDefault="00000000">
      <w:pPr>
        <w:pStyle w:val="ListParagraph"/>
        <w:numPr>
          <w:ilvl w:val="0"/>
          <w:numId w:val="2"/>
        </w:numPr>
        <w:spacing w:after="80"/>
      </w:pPr>
      <w:r>
        <w:rPr>
          <w:b/>
          <w:bCs/>
        </w:rPr>
        <w:t>OUT_VISITS (0.486):</w:t>
      </w:r>
      <w:r>
        <w:t xml:space="preserve">  Outpatient visit count</w:t>
      </w:r>
    </w:p>
    <w:p w14:paraId="189E858A" w14:textId="77777777" w:rsidR="00A14004" w:rsidRDefault="00000000">
      <w:pPr>
        <w:pStyle w:val="ListParagraph"/>
        <w:numPr>
          <w:ilvl w:val="0"/>
          <w:numId w:val="2"/>
        </w:numPr>
        <w:spacing w:after="80"/>
      </w:pPr>
      <w:r>
        <w:rPr>
          <w:b/>
          <w:bCs/>
        </w:rPr>
        <w:t>AGE_AT_END_REF_YR (0.425):</w:t>
      </w:r>
      <w:r>
        <w:t xml:space="preserve">  Patient age</w:t>
      </w:r>
    </w:p>
    <w:p w14:paraId="1475C4BF" w14:textId="77777777" w:rsidR="00A14004" w:rsidRDefault="00000000">
      <w:pPr>
        <w:pStyle w:val="ListParagraph"/>
        <w:numPr>
          <w:ilvl w:val="0"/>
          <w:numId w:val="2"/>
        </w:numPr>
        <w:spacing w:after="80"/>
      </w:pPr>
      <w:r>
        <w:rPr>
          <w:b/>
          <w:bCs/>
        </w:rPr>
        <w:t>CAR_CLAIMS (0.314):</w:t>
      </w:r>
      <w:r>
        <w:t xml:space="preserve">  Number of physician claims</w:t>
      </w:r>
    </w:p>
    <w:p w14:paraId="05097D0D" w14:textId="77777777" w:rsidR="00A14004" w:rsidRDefault="00000000">
      <w:pPr>
        <w:pStyle w:val="ListParagraph"/>
        <w:numPr>
          <w:ilvl w:val="0"/>
          <w:numId w:val="2"/>
        </w:numPr>
        <w:spacing w:after="80"/>
      </w:pPr>
      <w:r>
        <w:rPr>
          <w:b/>
          <w:bCs/>
        </w:rPr>
        <w:lastRenderedPageBreak/>
        <w:t>SPEND_GROWTH_RATE (0.305):</w:t>
      </w:r>
      <w:r>
        <w:t xml:space="preserve">  Year-over-year spending change — our new feature worked!</w:t>
      </w:r>
    </w:p>
    <w:p w14:paraId="580F0EE6" w14:textId="77777777" w:rsidR="00A14004" w:rsidRDefault="00000000">
      <w:pPr>
        <w:pBdr>
          <w:left w:val="single" w:sz="16" w:space="8" w:color="27AE60"/>
        </w:pBdr>
        <w:shd w:val="clear" w:color="auto" w:fill="EAFAF1"/>
        <w:spacing w:before="120" w:after="120" w:line="276" w:lineRule="auto"/>
        <w:ind w:left="360"/>
      </w:pPr>
      <w:r>
        <w:rPr>
          <w:b/>
          <w:bCs/>
        </w:rPr>
        <w:t xml:space="preserve">★ Finding: </w:t>
      </w:r>
      <w:r>
        <w:t xml:space="preserve">SPEND_GROWTH_RATE ranked 6th in importance — this confirms that the spending trajectory feature we engineered adds real signal beyond raw spending levels. A patient whose spending grew 200% is more informative than one who was consistently </w:t>
      </w:r>
      <w:proofErr w:type="gramStart"/>
      <w:r>
        <w:t>high-cost</w:t>
      </w:r>
      <w:proofErr w:type="gramEnd"/>
      <w:r>
        <w:t>.</w:t>
      </w:r>
    </w:p>
    <w:p w14:paraId="54BB69B7" w14:textId="77777777" w:rsidR="00A14004" w:rsidRDefault="00000000">
      <w:pPr>
        <w:spacing w:before="260" w:after="100"/>
      </w:pPr>
      <w:r>
        <w:rPr>
          <w:b/>
          <w:bCs/>
          <w:color w:val="2E5FA3"/>
          <w:sz w:val="25"/>
          <w:szCs w:val="25"/>
        </w:rPr>
        <w:t>Figure 13: SHAP Waterfall Plot — One Patient's Story</w:t>
      </w:r>
    </w:p>
    <w:p w14:paraId="34D37B5B" w14:textId="77777777" w:rsidR="00A14004" w:rsidRDefault="00000000">
      <w:pPr>
        <w:spacing w:after="160" w:line="284" w:lineRule="auto"/>
        <w:jc w:val="both"/>
      </w:pPr>
      <w:r>
        <w:t xml:space="preserve">The waterfall plot explains a single patient's prediction. We picked the highest-risk patient in the test set — predicted probability 0.979, and they </w:t>
      </w:r>
      <w:proofErr w:type="gramStart"/>
      <w:r>
        <w:t>actually were</w:t>
      </w:r>
      <w:proofErr w:type="gramEnd"/>
      <w:r>
        <w:t xml:space="preserve"> high-cost (correct prediction).</w:t>
      </w:r>
    </w:p>
    <w:p w14:paraId="30301EC9" w14:textId="77777777" w:rsidR="00A14004" w:rsidRDefault="00000000">
      <w:pPr>
        <w:spacing w:after="160" w:line="284" w:lineRule="auto"/>
        <w:jc w:val="both"/>
      </w:pPr>
      <w:r>
        <w:rPr>
          <w:b/>
          <w:bCs/>
        </w:rPr>
        <w:t>E[f(X)] = 0.498</w:t>
      </w:r>
      <w:r>
        <w:t xml:space="preserve"> at the bottom is the baseline — the average prediction across all patients. The bars show how each feature moves the prediction up or down from that baseline to the final f(x) = 3.833 (which translates to a very high probability).</w:t>
      </w:r>
    </w:p>
    <w:p w14:paraId="4119DEDC" w14:textId="77777777" w:rsidR="00A14004" w:rsidRDefault="00000000">
      <w:pPr>
        <w:pStyle w:val="ListParagraph"/>
        <w:numPr>
          <w:ilvl w:val="0"/>
          <w:numId w:val="2"/>
        </w:numPr>
        <w:spacing w:after="80"/>
      </w:pPr>
      <w:r>
        <w:rPr>
          <w:b/>
          <w:bCs/>
        </w:rPr>
        <w:t>TOTAL_PMT +2.21:</w:t>
      </w:r>
      <w:r>
        <w:t xml:space="preserve">  Extremely high prior spending pushed the score up the most</w:t>
      </w:r>
    </w:p>
    <w:p w14:paraId="18876F99" w14:textId="77777777" w:rsidR="00A14004" w:rsidRDefault="00000000">
      <w:pPr>
        <w:pStyle w:val="ListParagraph"/>
        <w:numPr>
          <w:ilvl w:val="0"/>
          <w:numId w:val="2"/>
        </w:numPr>
        <w:spacing w:after="80"/>
      </w:pPr>
      <w:r>
        <w:rPr>
          <w:b/>
          <w:bCs/>
        </w:rPr>
        <w:t>ELEC_ADMITS +0.59:</w:t>
      </w:r>
      <w:r>
        <w:t xml:space="preserve">  Many elective admissions (12.589 standardized = very high) pushed score up — lots of planned complex procedures</w:t>
      </w:r>
    </w:p>
    <w:p w14:paraId="1ED0F39C" w14:textId="77777777" w:rsidR="00A14004" w:rsidRDefault="00000000">
      <w:pPr>
        <w:pStyle w:val="ListParagraph"/>
        <w:numPr>
          <w:ilvl w:val="0"/>
          <w:numId w:val="2"/>
        </w:numPr>
        <w:spacing w:after="80"/>
      </w:pPr>
      <w:r>
        <w:rPr>
          <w:b/>
          <w:bCs/>
        </w:rPr>
        <w:t>INP_PMT +0.54:</w:t>
      </w:r>
      <w:r>
        <w:t xml:space="preserve">  High inpatient payments also pushed score up</w:t>
      </w:r>
    </w:p>
    <w:p w14:paraId="511E75E5" w14:textId="77777777" w:rsidR="00A14004" w:rsidRDefault="00000000">
      <w:pPr>
        <w:pStyle w:val="ListParagraph"/>
        <w:numPr>
          <w:ilvl w:val="0"/>
          <w:numId w:val="2"/>
        </w:numPr>
        <w:spacing w:after="80"/>
      </w:pPr>
      <w:r>
        <w:rPr>
          <w:b/>
          <w:bCs/>
        </w:rPr>
        <w:t>INP_DAYS -0.26:</w:t>
      </w:r>
      <w:r>
        <w:t xml:space="preserve">  Interestingly, inpatient days pushed the score slightly down — this patient had high spending but relatively short stays, suggesting high-cost procedures rather than long chronic stays</w:t>
      </w:r>
    </w:p>
    <w:p w14:paraId="189DC44F" w14:textId="77777777" w:rsidR="00A14004" w:rsidRDefault="00000000">
      <w:pPr>
        <w:spacing w:after="160" w:line="284" w:lineRule="auto"/>
        <w:jc w:val="both"/>
      </w:pPr>
      <w:r>
        <w:t xml:space="preserve">This is exactly the kind of patient-level explanation that makes a care manager </w:t>
      </w:r>
      <w:proofErr w:type="gramStart"/>
      <w:r>
        <w:t>say</w:t>
      </w:r>
      <w:proofErr w:type="gramEnd"/>
      <w:r>
        <w:t xml:space="preserve"> 'I understand why this patient is flagged and I know what to do about it.'</w:t>
      </w:r>
    </w:p>
    <w:p w14:paraId="7780D6AC" w14:textId="77777777" w:rsidR="00A14004" w:rsidRDefault="00000000">
      <w:r>
        <w:br w:type="page"/>
      </w:r>
    </w:p>
    <w:p w14:paraId="24B88BBB" w14:textId="77777777" w:rsidR="00A14004" w:rsidRDefault="00000000">
      <w:pPr>
        <w:pBdr>
          <w:bottom w:val="single" w:sz="8" w:space="4" w:color="1A3A6B"/>
        </w:pBdr>
        <w:spacing w:before="360" w:after="160"/>
      </w:pPr>
      <w:r>
        <w:rPr>
          <w:b/>
          <w:bCs/>
          <w:color w:val="1A3A6B"/>
          <w:sz w:val="30"/>
          <w:szCs w:val="30"/>
        </w:rPr>
        <w:lastRenderedPageBreak/>
        <w:t>SECTION 6: THE COMPLETE RESULTS STORY</w:t>
      </w:r>
    </w:p>
    <w:p w14:paraId="56D55987" w14:textId="77777777" w:rsidR="00A14004" w:rsidRDefault="00000000">
      <w:pPr>
        <w:spacing w:before="260" w:after="100"/>
      </w:pPr>
      <w:r>
        <w:rPr>
          <w:b/>
          <w:bCs/>
          <w:color w:val="2E5FA3"/>
          <w:sz w:val="25"/>
          <w:szCs w:val="25"/>
        </w:rPr>
        <w:t>What All Our Numbers Mean Together</w:t>
      </w:r>
    </w:p>
    <w:p w14:paraId="51D86CA7" w14:textId="77777777" w:rsidR="00A14004" w:rsidRDefault="00000000">
      <w:pPr>
        <w:spacing w:after="160" w:line="284" w:lineRule="auto"/>
        <w:jc w:val="both"/>
      </w:pPr>
      <w:r>
        <w:t>Here is the complete narrative of results, from first to last:</w:t>
      </w:r>
    </w:p>
    <w:p w14:paraId="76CD2FFC" w14:textId="77777777" w:rsidR="00A14004" w:rsidRDefault="00000000">
      <w:pPr>
        <w:pStyle w:val="ListParagraph"/>
        <w:numPr>
          <w:ilvl w:val="0"/>
          <w:numId w:val="2"/>
        </w:numPr>
        <w:spacing w:after="80"/>
      </w:pPr>
      <w:r>
        <w:rPr>
          <w:b/>
          <w:bCs/>
        </w:rPr>
        <w:t>AUC 0.828 baseline (LR, 14 features):</w:t>
      </w:r>
      <w:r>
        <w:t xml:space="preserve">  Our starting point. Already good — above the 0.78 benchmark from </w:t>
      </w:r>
      <w:proofErr w:type="spellStart"/>
      <w:r>
        <w:t>Chechulin</w:t>
      </w:r>
      <w:proofErr w:type="spellEnd"/>
      <w:r>
        <w:t xml:space="preserve"> et al. Proves the basic approach works.</w:t>
      </w:r>
    </w:p>
    <w:p w14:paraId="38B6D746" w14:textId="77777777" w:rsidR="00A14004" w:rsidRDefault="00000000">
      <w:pPr>
        <w:pStyle w:val="ListParagraph"/>
        <w:numPr>
          <w:ilvl w:val="0"/>
          <w:numId w:val="2"/>
        </w:numPr>
        <w:spacing w:after="80"/>
      </w:pPr>
      <w:r>
        <w:rPr>
          <w:b/>
          <w:bCs/>
        </w:rPr>
        <w:t>AUC 0.878 final (</w:t>
      </w:r>
      <w:proofErr w:type="spellStart"/>
      <w:r>
        <w:rPr>
          <w:b/>
          <w:bCs/>
        </w:rPr>
        <w:t>XGBoost</w:t>
      </w:r>
      <w:proofErr w:type="spellEnd"/>
      <w:r>
        <w:rPr>
          <w:b/>
          <w:bCs/>
        </w:rPr>
        <w:t>, 30 features):</w:t>
      </w:r>
      <w:r>
        <w:t xml:space="preserve">  A meaningful 5-point improvement from adding clinically rich features and using a more powerful algorithm. Exceeds published benchmarks.</w:t>
      </w:r>
    </w:p>
    <w:p w14:paraId="596D7484" w14:textId="77777777" w:rsidR="00A14004" w:rsidRDefault="00000000">
      <w:pPr>
        <w:pStyle w:val="ListParagraph"/>
        <w:numPr>
          <w:ilvl w:val="0"/>
          <w:numId w:val="2"/>
        </w:numPr>
        <w:spacing w:after="80"/>
      </w:pPr>
      <w:r>
        <w:rPr>
          <w:b/>
          <w:bCs/>
        </w:rPr>
        <w:t>Average Precision 0.592:</w:t>
      </w:r>
      <w:r>
        <w:t xml:space="preserve">  Nearly 12x better than random (0.050) on the Precision-Recall curve — strong performance on the minority class.</w:t>
      </w:r>
    </w:p>
    <w:p w14:paraId="571BCEDB" w14:textId="77777777" w:rsidR="00A14004" w:rsidRDefault="00000000">
      <w:pPr>
        <w:pStyle w:val="ListParagraph"/>
        <w:numPr>
          <w:ilvl w:val="0"/>
          <w:numId w:val="2"/>
        </w:numPr>
        <w:spacing w:after="80"/>
      </w:pPr>
      <w:r>
        <w:rPr>
          <w:b/>
          <w:bCs/>
        </w:rPr>
        <w:t>Top decile capture rate 72%:</w:t>
      </w:r>
      <w:r>
        <w:t xml:space="preserve">  Flag 10% of patients, catch 72% of future high-cost cases. This is the operational headline finding.</w:t>
      </w:r>
    </w:p>
    <w:p w14:paraId="60DB9EC5" w14:textId="77777777" w:rsidR="00A14004" w:rsidRDefault="00000000">
      <w:pPr>
        <w:pStyle w:val="ListParagraph"/>
        <w:numPr>
          <w:ilvl w:val="0"/>
          <w:numId w:val="2"/>
        </w:numPr>
        <w:spacing w:after="80"/>
      </w:pPr>
      <w:r>
        <w:rPr>
          <w:b/>
          <w:bCs/>
        </w:rPr>
        <w:t>Top decile cost concentration 55.9%:</w:t>
      </w:r>
      <w:r>
        <w:t xml:space="preserve">  The patients we flag account for 56% of all future Medicare spending. Intervening with these patients is where the money is.</w:t>
      </w:r>
    </w:p>
    <w:p w14:paraId="6466C507" w14:textId="77777777" w:rsidR="00A14004" w:rsidRDefault="00000000">
      <w:pPr>
        <w:pStyle w:val="ListParagraph"/>
        <w:numPr>
          <w:ilvl w:val="0"/>
          <w:numId w:val="2"/>
        </w:numPr>
        <w:spacing w:after="80"/>
      </w:pPr>
      <w:r>
        <w:rPr>
          <w:b/>
          <w:bCs/>
        </w:rPr>
        <w:t>Top 2 deciles (20% of patients) = 61.5% of spending:</w:t>
      </w:r>
      <w:r>
        <w:t xml:space="preserve">  Even a slightly broader net captures almost two-thirds of all cost.</w:t>
      </w:r>
    </w:p>
    <w:p w14:paraId="55A19919" w14:textId="77777777" w:rsidR="00A14004" w:rsidRDefault="00000000">
      <w:pPr>
        <w:pStyle w:val="ListParagraph"/>
        <w:numPr>
          <w:ilvl w:val="0"/>
          <w:numId w:val="2"/>
        </w:numPr>
        <w:spacing w:after="80"/>
      </w:pPr>
      <w:r>
        <w:rPr>
          <w:b/>
          <w:bCs/>
        </w:rPr>
        <w:t>SHAP top feature:</w:t>
      </w:r>
      <w:r>
        <w:t xml:space="preserve">  Prior total spending dominates, followed by physician care intensity and outpatient visits. Spending trajectory (our new feature) ranked 6th — meaningful contribution from feature engineering.</w:t>
      </w:r>
    </w:p>
    <w:p w14:paraId="337B4214" w14:textId="77777777" w:rsidR="00A14004" w:rsidRDefault="00000000">
      <w:pPr>
        <w:pStyle w:val="ListParagraph"/>
        <w:numPr>
          <w:ilvl w:val="0"/>
          <w:numId w:val="2"/>
        </w:numPr>
        <w:spacing w:after="80"/>
      </w:pPr>
      <w:r>
        <w:rPr>
          <w:b/>
          <w:bCs/>
        </w:rPr>
        <w:t>Highest-risk patient:</w:t>
      </w:r>
      <w:r>
        <w:t xml:space="preserve">  Predicted probability 0.979, actual outcome: high-cost. Model got it right with 97.9% confidence.</w:t>
      </w:r>
    </w:p>
    <w:p w14:paraId="1AA2C59F" w14:textId="77777777" w:rsidR="00A14004" w:rsidRDefault="00000000">
      <w:pPr>
        <w:pBdr>
          <w:left w:val="single" w:sz="16" w:space="8" w:color="27AE60"/>
        </w:pBdr>
        <w:shd w:val="clear" w:color="auto" w:fill="EAFAF1"/>
        <w:spacing w:before="120" w:after="120" w:line="276" w:lineRule="auto"/>
        <w:ind w:left="360"/>
      </w:pPr>
      <w:r>
        <w:rPr>
          <w:b/>
          <w:bCs/>
        </w:rPr>
        <w:t xml:space="preserve">★ Finding: </w:t>
      </w:r>
      <w:r>
        <w:t xml:space="preserve">The complete story in one sentence: Our </w:t>
      </w:r>
      <w:proofErr w:type="spellStart"/>
      <w:r>
        <w:t>XGBoost</w:t>
      </w:r>
      <w:proofErr w:type="spellEnd"/>
      <w:r>
        <w:t xml:space="preserve"> model, trained on 30 clinically engineered features from 2022 Medicare claims, correctly identifies 72% of 2023's high-cost patients by flagging just 10% of the panel, with those flagged patients accounting for 56% of all future Medicare spending — a result that exceeds published benchmarks and translates directly into an operational care management tool.</w:t>
      </w:r>
    </w:p>
    <w:p w14:paraId="71841BC2" w14:textId="77777777" w:rsidR="00A14004" w:rsidRDefault="00000000">
      <w:pPr>
        <w:pBdr>
          <w:bottom w:val="single" w:sz="8" w:space="4" w:color="1A3A6B"/>
        </w:pBdr>
        <w:spacing w:before="360" w:after="160"/>
      </w:pPr>
      <w:r>
        <w:rPr>
          <w:b/>
          <w:bCs/>
          <w:color w:val="1A3A6B"/>
          <w:sz w:val="30"/>
          <w:szCs w:val="30"/>
        </w:rPr>
        <w:t>SECTION 7: WHY WE MADE EACH MAJOR DECISION</w:t>
      </w:r>
    </w:p>
    <w:p w14:paraId="7429C7C0" w14:textId="77777777" w:rsidR="00A14004" w:rsidRDefault="00000000">
      <w:pPr>
        <w:spacing w:before="260" w:after="100"/>
      </w:pPr>
      <w:r>
        <w:rPr>
          <w:b/>
          <w:bCs/>
          <w:color w:val="2E5FA3"/>
          <w:sz w:val="25"/>
          <w:szCs w:val="25"/>
        </w:rPr>
        <w:t xml:space="preserve">Why </w:t>
      </w:r>
      <w:proofErr w:type="spellStart"/>
      <w:r>
        <w:rPr>
          <w:b/>
          <w:bCs/>
          <w:color w:val="2E5FA3"/>
          <w:sz w:val="25"/>
          <w:szCs w:val="25"/>
        </w:rPr>
        <w:t>XGBoost</w:t>
      </w:r>
      <w:proofErr w:type="spellEnd"/>
      <w:r>
        <w:rPr>
          <w:b/>
          <w:bCs/>
          <w:color w:val="2E5FA3"/>
          <w:sz w:val="25"/>
          <w:szCs w:val="25"/>
        </w:rPr>
        <w:t xml:space="preserve"> Over Logistic Regression as Final Model?</w:t>
      </w:r>
    </w:p>
    <w:p w14:paraId="01E10EB5" w14:textId="77777777" w:rsidR="00A14004" w:rsidRDefault="00000000">
      <w:pPr>
        <w:spacing w:after="160" w:line="284" w:lineRule="auto"/>
        <w:jc w:val="both"/>
      </w:pPr>
      <w:proofErr w:type="spellStart"/>
      <w:r>
        <w:t>XGBoost</w:t>
      </w:r>
      <w:proofErr w:type="spellEnd"/>
      <w:r>
        <w:t xml:space="preserve"> enriched achieved test AUC 0.878 vs 0.828 for LR enriched — a clear win on the primary metric. </w:t>
      </w:r>
      <w:proofErr w:type="spellStart"/>
      <w:r>
        <w:t>XGBoost</w:t>
      </w:r>
      <w:proofErr w:type="spellEnd"/>
      <w:r>
        <w:t xml:space="preserve"> can capture non-linear interactions between features. For example, the combination of high spending AND high spending growth is more predictive than either alone — </w:t>
      </w:r>
      <w:proofErr w:type="spellStart"/>
      <w:r>
        <w:t>XGBoost</w:t>
      </w:r>
      <w:proofErr w:type="spellEnd"/>
      <w:r>
        <w:t xml:space="preserve"> learns this automatically while LR assumes everything is linear. The higher variance in </w:t>
      </w:r>
      <w:proofErr w:type="spellStart"/>
      <w:r>
        <w:t>XGBoost's</w:t>
      </w:r>
      <w:proofErr w:type="spellEnd"/>
      <w:r>
        <w:t xml:space="preserve"> CV performance is a known property of tree-based models on small datasets, but the test performance is what matters for model selection.</w:t>
      </w:r>
    </w:p>
    <w:p w14:paraId="31FDF645" w14:textId="77777777" w:rsidR="00A14004" w:rsidRDefault="00000000">
      <w:pPr>
        <w:spacing w:before="260" w:after="100"/>
      </w:pPr>
      <w:r>
        <w:rPr>
          <w:b/>
          <w:bCs/>
          <w:color w:val="2E5FA3"/>
          <w:sz w:val="25"/>
          <w:szCs w:val="25"/>
        </w:rPr>
        <w:t>Why 95th Percentile as the High-Cost Threshold?</w:t>
      </w:r>
    </w:p>
    <w:p w14:paraId="76DD779A" w14:textId="77777777" w:rsidR="00A14004" w:rsidRDefault="00000000">
      <w:pPr>
        <w:spacing w:after="160" w:line="284" w:lineRule="auto"/>
        <w:jc w:val="both"/>
      </w:pPr>
      <w:r>
        <w:t xml:space="preserve">This is the standard definition in the published literature and in CMS policy analysis. Cohen &amp; Yu 2012 used it. </w:t>
      </w:r>
      <w:proofErr w:type="spellStart"/>
      <w:r>
        <w:t>Chechulin</w:t>
      </w:r>
      <w:proofErr w:type="spellEnd"/>
      <w:r>
        <w:t xml:space="preserve"> et al. used it. Rose used it. It corresponds to a well-established empirical finding about cost </w:t>
      </w:r>
      <w:r>
        <w:lastRenderedPageBreak/>
        <w:t xml:space="preserve">concentration. Using the 95th percentile also ensures that exactly 5% of patients are labeled </w:t>
      </w:r>
      <w:proofErr w:type="gramStart"/>
      <w:r>
        <w:t>high-cost</w:t>
      </w:r>
      <w:proofErr w:type="gramEnd"/>
      <w:r>
        <w:t>, giving us a reproducible and comparable definition across studies.</w:t>
      </w:r>
    </w:p>
    <w:p w14:paraId="29424B2E" w14:textId="77777777" w:rsidR="00A14004" w:rsidRDefault="00000000">
      <w:pPr>
        <w:spacing w:before="260" w:after="100"/>
      </w:pPr>
      <w:r>
        <w:rPr>
          <w:b/>
          <w:bCs/>
          <w:color w:val="2E5FA3"/>
          <w:sz w:val="25"/>
          <w:szCs w:val="25"/>
        </w:rPr>
        <w:t xml:space="preserve">Why SMOTE for LR but </w:t>
      </w:r>
      <w:proofErr w:type="spellStart"/>
      <w:r>
        <w:rPr>
          <w:b/>
          <w:bCs/>
          <w:color w:val="2E5FA3"/>
          <w:sz w:val="25"/>
          <w:szCs w:val="25"/>
        </w:rPr>
        <w:t>scale_pos_weight</w:t>
      </w:r>
      <w:proofErr w:type="spellEnd"/>
      <w:r>
        <w:rPr>
          <w:b/>
          <w:bCs/>
          <w:color w:val="2E5FA3"/>
          <w:sz w:val="25"/>
          <w:szCs w:val="25"/>
        </w:rPr>
        <w:t xml:space="preserve"> for </w:t>
      </w:r>
      <w:proofErr w:type="spellStart"/>
      <w:r>
        <w:rPr>
          <w:b/>
          <w:bCs/>
          <w:color w:val="2E5FA3"/>
          <w:sz w:val="25"/>
          <w:szCs w:val="25"/>
        </w:rPr>
        <w:t>XGBoost</w:t>
      </w:r>
      <w:proofErr w:type="spellEnd"/>
      <w:r>
        <w:rPr>
          <w:b/>
          <w:bCs/>
          <w:color w:val="2E5FA3"/>
          <w:sz w:val="25"/>
          <w:szCs w:val="25"/>
        </w:rPr>
        <w:t>?</w:t>
      </w:r>
    </w:p>
    <w:p w14:paraId="6F4ADD54" w14:textId="77777777" w:rsidR="00A14004" w:rsidRDefault="00000000">
      <w:pPr>
        <w:spacing w:after="160" w:line="284" w:lineRule="auto"/>
        <w:jc w:val="both"/>
      </w:pPr>
      <w:r>
        <w:t xml:space="preserve">Logistic Regression is a linear model that benefits from seeing balanced classes during training because it is sensitive to the relative frequency of each class in computing its coefficients. SMOTE provides that balance safely for LR. </w:t>
      </w:r>
      <w:proofErr w:type="spellStart"/>
      <w:r>
        <w:t>XGBoost</w:t>
      </w:r>
      <w:proofErr w:type="spellEnd"/>
      <w:r>
        <w:t xml:space="preserve"> is a tree-based ensemble that handles imbalance differently — it can be told to weight the minority class more heavily through </w:t>
      </w:r>
      <w:proofErr w:type="spellStart"/>
      <w:r>
        <w:t>scale_pos_weight</w:t>
      </w:r>
      <w:proofErr w:type="spellEnd"/>
      <w:r>
        <w:t>, which achieves the same effect without creating synthetic data that can cause overfitting.</w:t>
      </w:r>
    </w:p>
    <w:p w14:paraId="2619D382" w14:textId="77777777" w:rsidR="00A14004" w:rsidRDefault="00000000">
      <w:pPr>
        <w:spacing w:before="260" w:after="100"/>
      </w:pPr>
      <w:r>
        <w:rPr>
          <w:b/>
          <w:bCs/>
          <w:color w:val="2E5FA3"/>
          <w:sz w:val="25"/>
          <w:szCs w:val="25"/>
        </w:rPr>
        <w:t>Why 5-Fold CV Instead of Simple Train/Test Split?</w:t>
      </w:r>
    </w:p>
    <w:p w14:paraId="47D3DC98" w14:textId="77777777" w:rsidR="00A14004" w:rsidRDefault="00000000">
      <w:pPr>
        <w:spacing w:after="160" w:line="284" w:lineRule="auto"/>
        <w:jc w:val="both"/>
      </w:pPr>
      <w:r>
        <w:t>A single train/test split gives one estimate of performance that depends on which patients happen to end up in the test set. With only 167 high-cost patients in our dataset, a lucky or unlucky split can change the AUC by several points. 5-fold CV gives 5 independent estimates and averages them, producing a much more reliable and honest assessment of model performance.</w:t>
      </w:r>
    </w:p>
    <w:p w14:paraId="25C2A02B" w14:textId="77777777" w:rsidR="00A14004" w:rsidRDefault="00000000">
      <w:pPr>
        <w:spacing w:before="260" w:after="100"/>
      </w:pPr>
      <w:r>
        <w:rPr>
          <w:b/>
          <w:bCs/>
          <w:color w:val="2E5FA3"/>
          <w:sz w:val="25"/>
          <w:szCs w:val="25"/>
        </w:rPr>
        <w:t>Why the Risk Decile Analysis as the Primary Visualization?</w:t>
      </w:r>
    </w:p>
    <w:p w14:paraId="36874925" w14:textId="77777777" w:rsidR="00A14004" w:rsidRDefault="00000000">
      <w:pPr>
        <w:spacing w:after="160" w:line="284" w:lineRule="auto"/>
        <w:jc w:val="both"/>
      </w:pPr>
      <w:r>
        <w:t>AUC is a technical metric that means nothing to an ACO medical director. The risk decile analysis answers their actual question: if I use this model, how many patients do I need to call to reach most of the future high-cost cases? The answer — call the top 10% and reach 72% — is immediately actionable. It also allows the director to make a cost-benefit decision: is the cost of calling 100 patients worth catching 72% of future high-cost cases?</w:t>
      </w:r>
    </w:p>
    <w:sectPr w:rsidR="00A14004">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89601B"/>
    <w:multiLevelType w:val="hybridMultilevel"/>
    <w:tmpl w:val="8F66DDD6"/>
    <w:lvl w:ilvl="0" w:tplc="0EFC235A">
      <w:start w:val="1"/>
      <w:numFmt w:val="bullet"/>
      <w:lvlText w:val="•"/>
      <w:lvlJc w:val="left"/>
      <w:pPr>
        <w:ind w:left="720" w:hanging="360"/>
      </w:pPr>
    </w:lvl>
    <w:lvl w:ilvl="1" w:tplc="7CF070AE">
      <w:numFmt w:val="decimal"/>
      <w:lvlText w:val=""/>
      <w:lvlJc w:val="left"/>
    </w:lvl>
    <w:lvl w:ilvl="2" w:tplc="36EED84E">
      <w:numFmt w:val="decimal"/>
      <w:lvlText w:val=""/>
      <w:lvlJc w:val="left"/>
    </w:lvl>
    <w:lvl w:ilvl="3" w:tplc="D4E039F8">
      <w:numFmt w:val="decimal"/>
      <w:lvlText w:val=""/>
      <w:lvlJc w:val="left"/>
    </w:lvl>
    <w:lvl w:ilvl="4" w:tplc="48148126">
      <w:numFmt w:val="decimal"/>
      <w:lvlText w:val=""/>
      <w:lvlJc w:val="left"/>
    </w:lvl>
    <w:lvl w:ilvl="5" w:tplc="0064695E">
      <w:numFmt w:val="decimal"/>
      <w:lvlText w:val=""/>
      <w:lvlJc w:val="left"/>
    </w:lvl>
    <w:lvl w:ilvl="6" w:tplc="AC98DF40">
      <w:numFmt w:val="decimal"/>
      <w:lvlText w:val=""/>
      <w:lvlJc w:val="left"/>
    </w:lvl>
    <w:lvl w:ilvl="7" w:tplc="4A60B8E0">
      <w:numFmt w:val="decimal"/>
      <w:lvlText w:val=""/>
      <w:lvlJc w:val="left"/>
    </w:lvl>
    <w:lvl w:ilvl="8" w:tplc="146E298A">
      <w:numFmt w:val="decimal"/>
      <w:lvlText w:val=""/>
      <w:lvlJc w:val="left"/>
    </w:lvl>
  </w:abstractNum>
  <w:abstractNum w:abstractNumId="1" w15:restartNumberingAfterBreak="0">
    <w:nsid w:val="743B402B"/>
    <w:multiLevelType w:val="hybridMultilevel"/>
    <w:tmpl w:val="E1A287DC"/>
    <w:lvl w:ilvl="0" w:tplc="AA38C168">
      <w:start w:val="1"/>
      <w:numFmt w:val="bullet"/>
      <w:lvlText w:val="●"/>
      <w:lvlJc w:val="left"/>
      <w:pPr>
        <w:ind w:left="720" w:hanging="360"/>
      </w:pPr>
    </w:lvl>
    <w:lvl w:ilvl="1" w:tplc="53F0910E">
      <w:start w:val="1"/>
      <w:numFmt w:val="bullet"/>
      <w:lvlText w:val="○"/>
      <w:lvlJc w:val="left"/>
      <w:pPr>
        <w:ind w:left="1440" w:hanging="360"/>
      </w:pPr>
    </w:lvl>
    <w:lvl w:ilvl="2" w:tplc="30826F84">
      <w:start w:val="1"/>
      <w:numFmt w:val="bullet"/>
      <w:lvlText w:val="■"/>
      <w:lvlJc w:val="left"/>
      <w:pPr>
        <w:ind w:left="2160" w:hanging="360"/>
      </w:pPr>
    </w:lvl>
    <w:lvl w:ilvl="3" w:tplc="B9A22E8C">
      <w:start w:val="1"/>
      <w:numFmt w:val="bullet"/>
      <w:lvlText w:val="●"/>
      <w:lvlJc w:val="left"/>
      <w:pPr>
        <w:ind w:left="2880" w:hanging="360"/>
      </w:pPr>
    </w:lvl>
    <w:lvl w:ilvl="4" w:tplc="2AFC77D0">
      <w:start w:val="1"/>
      <w:numFmt w:val="bullet"/>
      <w:lvlText w:val="○"/>
      <w:lvlJc w:val="left"/>
      <w:pPr>
        <w:ind w:left="3600" w:hanging="360"/>
      </w:pPr>
    </w:lvl>
    <w:lvl w:ilvl="5" w:tplc="EAC4115A">
      <w:start w:val="1"/>
      <w:numFmt w:val="bullet"/>
      <w:lvlText w:val="■"/>
      <w:lvlJc w:val="left"/>
      <w:pPr>
        <w:ind w:left="4320" w:hanging="360"/>
      </w:pPr>
    </w:lvl>
    <w:lvl w:ilvl="6" w:tplc="20666E9C">
      <w:start w:val="1"/>
      <w:numFmt w:val="bullet"/>
      <w:lvlText w:val="●"/>
      <w:lvlJc w:val="left"/>
      <w:pPr>
        <w:ind w:left="5040" w:hanging="360"/>
      </w:pPr>
    </w:lvl>
    <w:lvl w:ilvl="7" w:tplc="DEDE9540">
      <w:start w:val="1"/>
      <w:numFmt w:val="bullet"/>
      <w:lvlText w:val="●"/>
      <w:lvlJc w:val="left"/>
      <w:pPr>
        <w:ind w:left="5760" w:hanging="360"/>
      </w:pPr>
    </w:lvl>
    <w:lvl w:ilvl="8" w:tplc="6024BF24">
      <w:start w:val="1"/>
      <w:numFmt w:val="bullet"/>
      <w:lvlText w:val="●"/>
      <w:lvlJc w:val="left"/>
      <w:pPr>
        <w:ind w:left="6480" w:hanging="360"/>
      </w:pPr>
    </w:lvl>
  </w:abstractNum>
  <w:num w:numId="1" w16cid:durableId="1243104261">
    <w:abstractNumId w:val="1"/>
    <w:lvlOverride w:ilvl="0">
      <w:startOverride w:val="1"/>
    </w:lvlOverride>
  </w:num>
  <w:num w:numId="2" w16cid:durableId="15723054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9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004"/>
    <w:rsid w:val="001C67E1"/>
    <w:rsid w:val="003F3A50"/>
    <w:rsid w:val="00426B90"/>
    <w:rsid w:val="0045402E"/>
    <w:rsid w:val="005F2984"/>
    <w:rsid w:val="00667E94"/>
    <w:rsid w:val="009A1D56"/>
    <w:rsid w:val="00A14004"/>
    <w:rsid w:val="00E43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81081C"/>
  <w15:docId w15:val="{053FDA29-D901-6E4F-B06F-11ACA62D1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12</Pages>
  <Words>3806</Words>
  <Characters>21695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Sagarika R</cp:lastModifiedBy>
  <cp:revision>5</cp:revision>
  <dcterms:created xsi:type="dcterms:W3CDTF">2026-04-28T00:23:00Z</dcterms:created>
  <dcterms:modified xsi:type="dcterms:W3CDTF">2026-05-01T00:46:00Z</dcterms:modified>
</cp:coreProperties>
</file>