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BA3B7E" w14:textId="77777777" w:rsidR="00F8378D" w:rsidRDefault="00000000">
      <w:pPr>
        <w:spacing w:after="80"/>
        <w:jc w:val="center"/>
      </w:pPr>
      <w:r>
        <w:rPr>
          <w:b/>
          <w:bCs/>
          <w:sz w:val="32"/>
          <w:szCs w:val="32"/>
        </w:rPr>
        <w:t>MY PROJECT GUIDE</w:t>
      </w:r>
    </w:p>
    <w:p w14:paraId="4F891ACD" w14:textId="77777777" w:rsidR="00F8378D" w:rsidRDefault="00000000">
      <w:pPr>
        <w:spacing w:after="80"/>
        <w:jc w:val="center"/>
      </w:pPr>
      <w:r>
        <w:rPr>
          <w:b/>
          <w:bCs/>
          <w:i/>
          <w:iCs/>
          <w:color w:val="2E75B6"/>
          <w:sz w:val="24"/>
          <w:szCs w:val="24"/>
        </w:rPr>
        <w:t>ISE 503 Health Analytics — Complete Project Understanding</w:t>
      </w:r>
    </w:p>
    <w:p w14:paraId="59D615FE" w14:textId="77777777" w:rsidR="00F8378D" w:rsidRDefault="00000000">
      <w:pPr>
        <w:spacing w:after="320"/>
        <w:jc w:val="center"/>
      </w:pPr>
      <w:r>
        <w:t xml:space="preserve">Sagarika </w:t>
      </w:r>
      <w:proofErr w:type="gramStart"/>
      <w:r>
        <w:t>Raju  |</w:t>
      </w:r>
      <w:proofErr w:type="gramEnd"/>
      <w:r>
        <w:t xml:space="preserve">  Spring 2026  |  Personal Reference Document</w:t>
      </w:r>
    </w:p>
    <w:p w14:paraId="0516A438" w14:textId="77777777" w:rsidR="00F8378D" w:rsidRDefault="00000000">
      <w:pPr>
        <w:pBdr>
          <w:bottom w:val="single" w:sz="8" w:space="4" w:color="1F3864"/>
        </w:pBdr>
        <w:spacing w:before="320" w:after="140"/>
      </w:pPr>
      <w:r>
        <w:rPr>
          <w:b/>
          <w:bCs/>
          <w:color w:val="1F3864"/>
          <w:sz w:val="28"/>
          <w:szCs w:val="28"/>
        </w:rPr>
        <w:t>PART 1: THE BIG PICTURE — WHAT ARE WE DOING AND WHY?</w:t>
      </w:r>
    </w:p>
    <w:p w14:paraId="50A69DE2" w14:textId="77777777" w:rsidR="00F8378D" w:rsidRDefault="00000000">
      <w:pPr>
        <w:spacing w:before="220" w:after="100"/>
      </w:pPr>
      <w:r>
        <w:rPr>
          <w:b/>
          <w:bCs/>
          <w:color w:val="2E75B6"/>
          <w:sz w:val="24"/>
          <w:szCs w:val="24"/>
        </w:rPr>
        <w:t>The Core Problem in Plain English</w:t>
      </w:r>
    </w:p>
    <w:p w14:paraId="2303C105" w14:textId="77777777" w:rsidR="00F8378D" w:rsidRDefault="00000000">
      <w:pPr>
        <w:spacing w:after="160" w:line="280" w:lineRule="auto"/>
        <w:jc w:val="both"/>
      </w:pPr>
      <w:r>
        <w:t>Imagine you run a hospital network that is financially responsible for your patients' healthcare costs. This happens under a system called value-based care, where hospitals and ACOs (Accountable Care Organizations) agree to share financial risk with insurers like Medicare. The deal is: if you keep patients healthy and costs low, you profit. If patients get very sick and costs skyrocket, you lose money.</w:t>
      </w:r>
    </w:p>
    <w:p w14:paraId="62108F17" w14:textId="77777777" w:rsidR="00F8378D" w:rsidRDefault="00000000">
      <w:pPr>
        <w:spacing w:after="160" w:line="280" w:lineRule="auto"/>
        <w:jc w:val="both"/>
      </w:pPr>
      <w:r>
        <w:t xml:space="preserve">The problem is that a tiny group of patients — about 5% — is responsible for about half of all Medicare spending </w:t>
      </w:r>
      <w:proofErr w:type="gramStart"/>
      <w:r>
        <w:t>in a given year</w:t>
      </w:r>
      <w:proofErr w:type="gramEnd"/>
      <w:r>
        <w:t>. These are patients with multiple chronic conditions, frequent hospitalizations, or complex medical needs. If you could identify them BEFORE they become expensive, you could intervene early with targeted outreach, medication management, or care coordination and potentially prevent some of those costs.</w:t>
      </w:r>
    </w:p>
    <w:p w14:paraId="304E60FD" w14:textId="77777777" w:rsidR="00F8378D" w:rsidRDefault="00000000">
      <w:pPr>
        <w:spacing w:after="160" w:line="280" w:lineRule="auto"/>
        <w:jc w:val="both"/>
      </w:pPr>
      <w:r>
        <w:t>But right now, hospitals only find out who these high-cost patients are AFTER the year is over, when the bills are already paid. By then, it is too late to intervene. Our project asks: can we predict, using last year's data, who will be in the top 5% of spending next year? If yes, care teams can act proactively.</w:t>
      </w:r>
    </w:p>
    <w:p w14:paraId="49EB9882" w14:textId="77777777" w:rsidR="00F8378D" w:rsidRDefault="00000000">
      <w:pPr>
        <w:pBdr>
          <w:left w:val="single" w:sz="16" w:space="8" w:color="2E75B6"/>
        </w:pBdr>
        <w:shd w:val="clear" w:color="auto" w:fill="E8F4FD"/>
        <w:spacing w:before="120" w:after="120" w:line="280" w:lineRule="auto"/>
        <w:ind w:left="360"/>
      </w:pPr>
      <w:r>
        <w:t xml:space="preserve">In one sentence: We are building a machine learning model that looks at a Medicare patient's history from 2022 and predicts whether they will become a </w:t>
      </w:r>
      <w:proofErr w:type="gramStart"/>
      <w:r>
        <w:t>top-5</w:t>
      </w:r>
      <w:proofErr w:type="gramEnd"/>
      <w:r>
        <w:t>% spender in 2023, so care teams can intervene before costs spiral.</w:t>
      </w:r>
    </w:p>
    <w:p w14:paraId="6E46A1D1" w14:textId="77777777" w:rsidR="00F8378D" w:rsidRDefault="00000000">
      <w:pPr>
        <w:spacing w:before="220" w:after="100"/>
      </w:pPr>
      <w:r>
        <w:rPr>
          <w:b/>
          <w:bCs/>
          <w:color w:val="2E75B6"/>
          <w:sz w:val="24"/>
          <w:szCs w:val="24"/>
        </w:rPr>
        <w:t>Why Does This Matter to Healthcare?</w:t>
      </w:r>
    </w:p>
    <w:p w14:paraId="26BAD307" w14:textId="77777777" w:rsidR="00F8378D" w:rsidRDefault="00000000">
      <w:pPr>
        <w:spacing w:after="160" w:line="280" w:lineRule="auto"/>
        <w:jc w:val="both"/>
      </w:pPr>
      <w:r>
        <w:t>This is not just an academic exercise. In the real world, ACOs managing Medicare populations need exactly this kind of tool. If a care manager has 5,000 patients and can only call 250 of them for a proactive wellness check, they need to know which 250 to call. A model that ranks patients by predicted risk makes that decision principled and data-driven instead of ad hoc.</w:t>
      </w:r>
    </w:p>
    <w:p w14:paraId="683E7002" w14:textId="77777777" w:rsidR="00F8378D" w:rsidRDefault="00000000">
      <w:pPr>
        <w:spacing w:after="160" w:line="280" w:lineRule="auto"/>
        <w:jc w:val="both"/>
      </w:pPr>
      <w:r>
        <w:t>Beyond individual hospitals, CMS (Centers for Medicare and Medicaid Services) itself is trying to understand what drives cost concentration so that payment policies can be designed to reduce avoidable spending. Our project contributes directly to this real-world decision-making problem.</w:t>
      </w:r>
    </w:p>
    <w:p w14:paraId="3E5BECF8" w14:textId="77777777" w:rsidR="00F8378D" w:rsidRDefault="00000000">
      <w:r>
        <w:br w:type="page"/>
      </w:r>
    </w:p>
    <w:p w14:paraId="679EC3AD" w14:textId="77777777" w:rsidR="00F8378D" w:rsidRDefault="00000000">
      <w:pPr>
        <w:pBdr>
          <w:bottom w:val="single" w:sz="8" w:space="4" w:color="1F3864"/>
        </w:pBdr>
        <w:spacing w:before="320" w:after="140"/>
      </w:pPr>
      <w:r>
        <w:rPr>
          <w:b/>
          <w:bCs/>
          <w:color w:val="1F3864"/>
          <w:sz w:val="28"/>
          <w:szCs w:val="28"/>
        </w:rPr>
        <w:lastRenderedPageBreak/>
        <w:t>PART 2: THE DATASET — WHAT DATA ARE WE USING AND WHY?</w:t>
      </w:r>
    </w:p>
    <w:p w14:paraId="50C5BF07" w14:textId="77777777" w:rsidR="00F8378D" w:rsidRDefault="00000000">
      <w:pPr>
        <w:spacing w:before="220" w:after="100"/>
      </w:pPr>
      <w:r>
        <w:rPr>
          <w:b/>
          <w:bCs/>
          <w:color w:val="2E75B6"/>
          <w:sz w:val="24"/>
          <w:szCs w:val="24"/>
        </w:rPr>
        <w:t>What is the CMS Synthetic Medicare PUF?</w:t>
      </w:r>
    </w:p>
    <w:p w14:paraId="4D3E610F" w14:textId="77777777" w:rsidR="00F8378D" w:rsidRDefault="00000000">
      <w:pPr>
        <w:spacing w:after="160" w:line="280" w:lineRule="auto"/>
        <w:jc w:val="both"/>
      </w:pPr>
      <w:r>
        <w:t>CMS stands for Centers for Medicare and Medicaid Services — the U.S. government agency that runs Medicare. They have created a publicly available synthetic dataset that mimics the structure of real Medicare claims data exactly. The word synthetic means the individual patients are not real people, but the statistical patterns, distributions, spending levels, age distributions, and claim structures are all designed to match real Medicare data closely.</w:t>
      </w:r>
    </w:p>
    <w:p w14:paraId="6D1E5D67" w14:textId="77777777" w:rsidR="00F8378D" w:rsidRDefault="00000000">
      <w:pPr>
        <w:spacing w:after="160" w:line="280" w:lineRule="auto"/>
        <w:jc w:val="both"/>
      </w:pPr>
      <w:r>
        <w:t xml:space="preserve">This dataset is the gold standard for academic Medicare research because it has the exact same column names, file structures, and data formats as the real claims data that researchers access through CMS. </w:t>
      </w:r>
      <w:proofErr w:type="gramStart"/>
      <w:r>
        <w:t>So</w:t>
      </w:r>
      <w:proofErr w:type="gramEnd"/>
      <w:r>
        <w:t xml:space="preserve"> our pipeline built on this data would work identically on real Medicare data.</w:t>
      </w:r>
    </w:p>
    <w:p w14:paraId="40F23A45" w14:textId="77777777" w:rsidR="00F8378D" w:rsidRDefault="00000000">
      <w:pPr>
        <w:spacing w:before="220" w:after="100"/>
      </w:pPr>
      <w:r>
        <w:rPr>
          <w:b/>
          <w:bCs/>
          <w:color w:val="2E75B6"/>
          <w:sz w:val="24"/>
          <w:szCs w:val="24"/>
        </w:rPr>
        <w:t xml:space="preserve">What Files Did We Download and What Is </w:t>
      </w:r>
      <w:proofErr w:type="gramStart"/>
      <w:r>
        <w:rPr>
          <w:b/>
          <w:bCs/>
          <w:color w:val="2E75B6"/>
          <w:sz w:val="24"/>
          <w:szCs w:val="24"/>
        </w:rPr>
        <w:t>In</w:t>
      </w:r>
      <w:proofErr w:type="gramEnd"/>
      <w:r>
        <w:rPr>
          <w:b/>
          <w:bCs/>
          <w:color w:val="2E75B6"/>
          <w:sz w:val="24"/>
          <w:szCs w:val="24"/>
        </w:rPr>
        <w:t xml:space="preserve"> Each?</w:t>
      </w:r>
    </w:p>
    <w:p w14:paraId="27B23AAA" w14:textId="77777777" w:rsidR="00F8378D" w:rsidRDefault="00000000">
      <w:pPr>
        <w:spacing w:before="160" w:after="80"/>
      </w:pPr>
      <w:r>
        <w:rPr>
          <w:b/>
          <w:bCs/>
          <w:color w:val="404040"/>
        </w:rPr>
        <w:t>Beneficiary Summary Files (2022 and 2023)</w:t>
      </w:r>
    </w:p>
    <w:p w14:paraId="7B815E2D" w14:textId="77777777" w:rsidR="00F8378D" w:rsidRDefault="00000000">
      <w:pPr>
        <w:spacing w:after="160" w:line="280" w:lineRule="auto"/>
        <w:jc w:val="both"/>
      </w:pPr>
      <w:r>
        <w:t>These are like the master patient roster. One row per patient. Contains demographic information: age at end of year, sex, race, state/county, whether the patient is enrolled in Medicare Part A (hospital) and Part B (medical), how many months they were covered, whether they are dual-eligible for Medicaid (a marker of low income/high need), and their HMO enrollment status.</w:t>
      </w:r>
    </w:p>
    <w:p w14:paraId="2D06DD0F" w14:textId="77777777" w:rsidR="00F8378D" w:rsidRDefault="00000000">
      <w:pPr>
        <w:spacing w:after="160" w:line="280" w:lineRule="auto"/>
        <w:jc w:val="both"/>
      </w:pPr>
      <w:r>
        <w:t>We use 2022 as Year 1 demographics and 2023 as Year 2. Together they give us 8,671 patients in 2022 and 9,179 in 2023.</w:t>
      </w:r>
    </w:p>
    <w:p w14:paraId="7B5B53E6" w14:textId="77777777" w:rsidR="00F8378D" w:rsidRDefault="00000000">
      <w:pPr>
        <w:spacing w:before="160" w:after="80"/>
      </w:pPr>
      <w:r>
        <w:rPr>
          <w:b/>
          <w:bCs/>
          <w:color w:val="404040"/>
        </w:rPr>
        <w:t>Inpatient Claims File</w:t>
      </w:r>
    </w:p>
    <w:p w14:paraId="79AE9B62" w14:textId="77777777" w:rsidR="00F8378D" w:rsidRDefault="00000000">
      <w:pPr>
        <w:spacing w:after="160" w:line="280" w:lineRule="auto"/>
        <w:jc w:val="both"/>
      </w:pPr>
      <w:r>
        <w:t>One row per hospital admission. Contains: who was admitted (BENE_ID), when (CLM_FROM_DT), how much Medicare paid (CLM_PMT_AMT), total charges (CLM_TOT_CHRG_AMT), how many days they stayed (CLM_UTLZTN_DAY_CNT), and diagnosis codes. A hospital admission is a big deal financially — this file captures the most expensive type of care.</w:t>
      </w:r>
    </w:p>
    <w:p w14:paraId="3A8BEFF8" w14:textId="77777777" w:rsidR="00F8378D" w:rsidRDefault="00000000">
      <w:pPr>
        <w:spacing w:before="160" w:after="80"/>
      </w:pPr>
      <w:r>
        <w:rPr>
          <w:b/>
          <w:bCs/>
          <w:color w:val="404040"/>
        </w:rPr>
        <w:t>Outpatient Claims File</w:t>
      </w:r>
    </w:p>
    <w:p w14:paraId="2581D031" w14:textId="77777777" w:rsidR="00F8378D" w:rsidRDefault="00000000">
      <w:pPr>
        <w:spacing w:after="160" w:line="280" w:lineRule="auto"/>
        <w:jc w:val="both"/>
      </w:pPr>
      <w:r>
        <w:t>One row per outpatient visit. Contains: patient ID, date, payment amount, and charges. Outpatient means visits where the patient is not admitted overnight — emergency room visits, same-day procedures, clinic visits, imaging. Much higher volume than inpatient but generally lower cost per claim.</w:t>
      </w:r>
    </w:p>
    <w:p w14:paraId="001CAC24" w14:textId="77777777" w:rsidR="00F8378D" w:rsidRDefault="00000000">
      <w:pPr>
        <w:spacing w:before="160" w:after="80"/>
      </w:pPr>
      <w:r>
        <w:rPr>
          <w:b/>
          <w:bCs/>
          <w:color w:val="404040"/>
        </w:rPr>
        <w:t>Carrier Claims File</w:t>
      </w:r>
    </w:p>
    <w:p w14:paraId="6704875D" w14:textId="77777777" w:rsidR="00F8378D" w:rsidRDefault="00000000">
      <w:pPr>
        <w:spacing w:after="160" w:line="280" w:lineRule="auto"/>
        <w:jc w:val="both"/>
      </w:pPr>
      <w:r>
        <w:t>One row per physician service. Contains: patient ID, date, payment amount. This is everything a doctor bills Medicare for — office visits, consultations, procedures performed in a clinic. The highest volume file with over 1 million rows.</w:t>
      </w:r>
    </w:p>
    <w:p w14:paraId="33C9F406" w14:textId="77777777" w:rsidR="00F8378D" w:rsidRDefault="00000000">
      <w:pPr>
        <w:spacing w:before="220" w:after="100"/>
      </w:pPr>
      <w:r>
        <w:rPr>
          <w:b/>
          <w:bCs/>
          <w:color w:val="2E75B6"/>
          <w:sz w:val="24"/>
          <w:szCs w:val="24"/>
        </w:rPr>
        <w:t>Why These Files Together?</w:t>
      </w:r>
    </w:p>
    <w:p w14:paraId="65A347FE" w14:textId="77777777" w:rsidR="00F8378D" w:rsidRDefault="00000000">
      <w:pPr>
        <w:spacing w:after="160" w:line="280" w:lineRule="auto"/>
        <w:jc w:val="both"/>
      </w:pPr>
      <w:r>
        <w:t>Total Medicare spending = inpatient payments + outpatient payments + carrier payments. To know how much a patient cost in a year, you need all three. No single file gives you the full picture. That is why we merged all three using BENE_ID (the patient identifier) and filtered by year.</w:t>
      </w:r>
    </w:p>
    <w:p w14:paraId="440DD5DB" w14:textId="77777777" w:rsidR="00F8378D" w:rsidRDefault="00000000">
      <w:pPr>
        <w:spacing w:before="220" w:after="100"/>
      </w:pPr>
      <w:r>
        <w:rPr>
          <w:b/>
          <w:bCs/>
          <w:color w:val="2E75B6"/>
          <w:sz w:val="24"/>
          <w:szCs w:val="24"/>
        </w:rPr>
        <w:lastRenderedPageBreak/>
        <w:t>What Years and Why 2022/2023?</w:t>
      </w:r>
    </w:p>
    <w:p w14:paraId="61D212B1" w14:textId="77777777" w:rsidR="00F8378D" w:rsidRDefault="00000000">
      <w:pPr>
        <w:spacing w:after="160" w:line="280" w:lineRule="auto"/>
        <w:jc w:val="both"/>
      </w:pPr>
      <w:r>
        <w:t>The claims files span 2015 to 2023. We chose 2022 as Year 1 (features) and 2023 as Year 2 (label) because they are the most recent complete years in the dataset, giving us the most relevant and statistically robust data. Using the most recent years also makes the model most applicable to current clinical practice.</w:t>
      </w:r>
    </w:p>
    <w:p w14:paraId="5323EBDD" w14:textId="77777777" w:rsidR="00F8378D" w:rsidRDefault="00000000">
      <w:r>
        <w:br w:type="page"/>
      </w:r>
    </w:p>
    <w:p w14:paraId="241C55C7" w14:textId="77777777" w:rsidR="00F8378D" w:rsidRDefault="00000000">
      <w:pPr>
        <w:pBdr>
          <w:bottom w:val="single" w:sz="8" w:space="4" w:color="1F3864"/>
        </w:pBdr>
        <w:spacing w:before="320" w:after="140"/>
      </w:pPr>
      <w:r>
        <w:rPr>
          <w:b/>
          <w:bCs/>
          <w:color w:val="1F3864"/>
          <w:sz w:val="28"/>
          <w:szCs w:val="28"/>
        </w:rPr>
        <w:lastRenderedPageBreak/>
        <w:t>PART 3: THE REFERENCES — WHY THESE PAPERS?</w:t>
      </w:r>
    </w:p>
    <w:p w14:paraId="6E137A9F" w14:textId="77777777" w:rsidR="00F8378D" w:rsidRDefault="00000000">
      <w:pPr>
        <w:spacing w:before="220" w:after="100"/>
      </w:pPr>
      <w:r>
        <w:rPr>
          <w:b/>
          <w:bCs/>
          <w:color w:val="2E75B6"/>
          <w:sz w:val="24"/>
          <w:szCs w:val="24"/>
        </w:rPr>
        <w:t>Cohen &amp; Yu (2012) — AHRQ Statistical Brief</w:t>
      </w:r>
    </w:p>
    <w:p w14:paraId="7C5422F7" w14:textId="77777777" w:rsidR="00F8378D" w:rsidRDefault="00000000">
      <w:pPr>
        <w:spacing w:after="160" w:line="280" w:lineRule="auto"/>
        <w:jc w:val="both"/>
      </w:pPr>
      <w:r>
        <w:t>This is the source of the foundational fact that 5% of Medicare beneficiaries account for 50% of spending. This is our motivation statistic — the entire project is built around this skewness. We cite it in the introduction to establish that the problem is real, well-documented, and significant. Without this citation, we would just be asserting something without evidence. With it, we are grounding our work in government-published research.</w:t>
      </w:r>
    </w:p>
    <w:p w14:paraId="42CE4BA7" w14:textId="77777777" w:rsidR="00F8378D" w:rsidRDefault="00000000">
      <w:pPr>
        <w:spacing w:before="220" w:after="100"/>
      </w:pPr>
      <w:proofErr w:type="spellStart"/>
      <w:r>
        <w:rPr>
          <w:b/>
          <w:bCs/>
          <w:color w:val="2E75B6"/>
          <w:sz w:val="24"/>
          <w:szCs w:val="24"/>
        </w:rPr>
        <w:t>Chechulin</w:t>
      </w:r>
      <w:proofErr w:type="spellEnd"/>
      <w:r>
        <w:rPr>
          <w:b/>
          <w:bCs/>
          <w:color w:val="2E75B6"/>
          <w:sz w:val="24"/>
          <w:szCs w:val="24"/>
        </w:rPr>
        <w:t xml:space="preserve"> et al. (2014) — Healthcare Policy</w:t>
      </w:r>
    </w:p>
    <w:p w14:paraId="7F390B1F" w14:textId="77777777" w:rsidR="00F8378D" w:rsidRDefault="00000000">
      <w:pPr>
        <w:spacing w:after="160" w:line="280" w:lineRule="auto"/>
        <w:jc w:val="both"/>
      </w:pPr>
      <w:r>
        <w:t xml:space="preserve">This paper did essentially the same project as ours but for Ontario, Canada's provincial health system. They predicted which patients would become high-cost users using prior claims data. We cite this paper for two reasons. First, it validates that our approach is established in the literature — we are not inventing something new, we are applying a proven methodology to Medicare data. Second, their reported model performance gives us a benchmark to compare our results against. When we say our AUC of 0.828 is good, we can say it is comparable to or better than what </w:t>
      </w:r>
      <w:proofErr w:type="spellStart"/>
      <w:r>
        <w:t>Chechulin</w:t>
      </w:r>
      <w:proofErr w:type="spellEnd"/>
      <w:r>
        <w:t xml:space="preserve"> et al. achieved, which makes our result credible.</w:t>
      </w:r>
    </w:p>
    <w:p w14:paraId="4A6CB313" w14:textId="77777777" w:rsidR="00F8378D" w:rsidRDefault="00000000">
      <w:pPr>
        <w:spacing w:before="220" w:after="100"/>
      </w:pPr>
      <w:r>
        <w:rPr>
          <w:b/>
          <w:bCs/>
          <w:color w:val="2E75B6"/>
          <w:sz w:val="24"/>
          <w:szCs w:val="24"/>
        </w:rPr>
        <w:t>Rose (2016) — American Journal of Health Economics</w:t>
      </w:r>
    </w:p>
    <w:p w14:paraId="471EC1AF" w14:textId="77777777" w:rsidR="00F8378D" w:rsidRDefault="00000000">
      <w:pPr>
        <w:spacing w:after="160" w:line="280" w:lineRule="auto"/>
        <w:jc w:val="both"/>
      </w:pPr>
      <w:r>
        <w:t>This paper developed a machine learning framework specifically for Medicare payment normalization and risk stratification. It is particularly relevant because it uses similar CMS data to what we are using and demonstrates that machine learning outperforms traditional actuarial methods for predicting healthcare costs. We cite it as a second benchmark and as methodological support for our choice of gradient boosting (</w:t>
      </w:r>
      <w:proofErr w:type="spellStart"/>
      <w:r>
        <w:t>XGBoost</w:t>
      </w:r>
      <w:proofErr w:type="spellEnd"/>
      <w:r>
        <w:t>) as our primary model.</w:t>
      </w:r>
    </w:p>
    <w:p w14:paraId="01F931FE" w14:textId="77777777" w:rsidR="00F8378D" w:rsidRDefault="00000000">
      <w:pPr>
        <w:spacing w:before="220" w:after="100"/>
      </w:pPr>
      <w:r>
        <w:rPr>
          <w:b/>
          <w:bCs/>
          <w:color w:val="2E75B6"/>
          <w:sz w:val="24"/>
          <w:szCs w:val="24"/>
        </w:rPr>
        <w:t>Quan et al. (2005) — Medical Care</w:t>
      </w:r>
    </w:p>
    <w:p w14:paraId="4FFF8177" w14:textId="77777777" w:rsidR="00F8378D" w:rsidRDefault="00000000">
      <w:pPr>
        <w:spacing w:after="160" w:line="280" w:lineRule="auto"/>
        <w:jc w:val="both"/>
      </w:pPr>
      <w:r>
        <w:t xml:space="preserve">This paper provides the coding algorithms for computing </w:t>
      </w:r>
      <w:proofErr w:type="spellStart"/>
      <w:r>
        <w:t>Charlson</w:t>
      </w:r>
      <w:proofErr w:type="spellEnd"/>
      <w:r>
        <w:t xml:space="preserve"> Comorbidity Index and </w:t>
      </w:r>
      <w:proofErr w:type="spellStart"/>
      <w:r>
        <w:t>Elixhauser</w:t>
      </w:r>
      <w:proofErr w:type="spellEnd"/>
      <w:r>
        <w:t xml:space="preserve"> scores from ICD diagnosis codes. These are standard clinical severity measures that count and weight a patient's chronic conditions into a single score. We planned to use these in our feature engineering. We cite this paper because if anyone asks where our comorbidity calculation came from, this is the authoritative reference. It is essentially the industry standard methodology.</w:t>
      </w:r>
    </w:p>
    <w:p w14:paraId="181681CF" w14:textId="77777777" w:rsidR="00F8378D" w:rsidRDefault="00000000">
      <w:pPr>
        <w:spacing w:before="220" w:after="100"/>
      </w:pPr>
      <w:r>
        <w:rPr>
          <w:b/>
          <w:bCs/>
          <w:color w:val="2E75B6"/>
          <w:sz w:val="24"/>
          <w:szCs w:val="24"/>
        </w:rPr>
        <w:t xml:space="preserve">Lundberg &amp; Lee (2017) — </w:t>
      </w:r>
      <w:proofErr w:type="spellStart"/>
      <w:r>
        <w:rPr>
          <w:b/>
          <w:bCs/>
          <w:color w:val="2E75B6"/>
          <w:sz w:val="24"/>
          <w:szCs w:val="24"/>
        </w:rPr>
        <w:t>NeurIPS</w:t>
      </w:r>
      <w:proofErr w:type="spellEnd"/>
    </w:p>
    <w:p w14:paraId="327EA8EF" w14:textId="77777777" w:rsidR="00F8378D" w:rsidRDefault="00000000">
      <w:pPr>
        <w:spacing w:after="160" w:line="280" w:lineRule="auto"/>
        <w:jc w:val="both"/>
      </w:pPr>
      <w:r>
        <w:t>This is the original SHAP paper. SHAP (</w:t>
      </w:r>
      <w:proofErr w:type="spellStart"/>
      <w:r>
        <w:t>SHapley</w:t>
      </w:r>
      <w:proofErr w:type="spellEnd"/>
      <w:r>
        <w:t xml:space="preserve"> Additive </w:t>
      </w:r>
      <w:proofErr w:type="spellStart"/>
      <w:r>
        <w:t>exPlanations</w:t>
      </w:r>
      <w:proofErr w:type="spellEnd"/>
      <w:r>
        <w:t xml:space="preserve">) is the method we use to explain our </w:t>
      </w:r>
      <w:proofErr w:type="spellStart"/>
      <w:r>
        <w:t>XGBoost</w:t>
      </w:r>
      <w:proofErr w:type="spellEnd"/>
      <w:r>
        <w:t xml:space="preserve"> model — it tells us </w:t>
      </w:r>
      <w:r w:rsidRPr="008953CA">
        <w:rPr>
          <w:highlight w:val="magenta"/>
        </w:rPr>
        <w:t>which features most influenced each prediction</w:t>
      </w:r>
      <w:r>
        <w:t>. We cite this because any time you use SHAP in a research paper, you are required to cite the paper that introduced it. It is also one of the most cited machine learning papers of the past decade, so citing it signals that we know the field.</w:t>
      </w:r>
    </w:p>
    <w:p w14:paraId="40239E48" w14:textId="77777777" w:rsidR="00F8378D" w:rsidRDefault="00000000">
      <w:pPr>
        <w:spacing w:before="220" w:after="100"/>
      </w:pPr>
      <w:r>
        <w:rPr>
          <w:b/>
          <w:bCs/>
          <w:color w:val="2E75B6"/>
          <w:sz w:val="24"/>
          <w:szCs w:val="24"/>
        </w:rPr>
        <w:t>CMS (2023) — Data Source Citation</w:t>
      </w:r>
    </w:p>
    <w:p w14:paraId="317C189C" w14:textId="77777777" w:rsidR="00F8378D" w:rsidRDefault="00000000">
      <w:pPr>
        <w:spacing w:after="160" w:line="280" w:lineRule="auto"/>
        <w:jc w:val="both"/>
      </w:pPr>
      <w:r>
        <w:t>We cite the CMS data portal directly as our data source. This is important because the professor explicitly distinguishes between verified government sources and unverified Kaggle datasets. By citing this directly, we signal that our data is from a legitimate, authoritative source with proper provenance.</w:t>
      </w:r>
    </w:p>
    <w:p w14:paraId="00C8D418" w14:textId="77777777" w:rsidR="00F8378D" w:rsidRDefault="00000000">
      <w:r>
        <w:br w:type="page"/>
      </w:r>
    </w:p>
    <w:p w14:paraId="337D51C5" w14:textId="77777777" w:rsidR="00F8378D" w:rsidRDefault="00000000">
      <w:pPr>
        <w:pBdr>
          <w:bottom w:val="single" w:sz="8" w:space="4" w:color="1F3864"/>
        </w:pBdr>
        <w:spacing w:before="320" w:after="140"/>
      </w:pPr>
      <w:r>
        <w:rPr>
          <w:b/>
          <w:bCs/>
          <w:color w:val="1F3864"/>
          <w:sz w:val="28"/>
          <w:szCs w:val="28"/>
        </w:rPr>
        <w:lastRenderedPageBreak/>
        <w:t>PART 4: THE MODELING APPROACH — WHAT ARE WE BUILDING?</w:t>
      </w:r>
    </w:p>
    <w:p w14:paraId="69B6BD1E" w14:textId="77777777" w:rsidR="00F8378D" w:rsidRDefault="00000000">
      <w:pPr>
        <w:spacing w:before="220" w:after="100"/>
      </w:pPr>
      <w:r>
        <w:rPr>
          <w:b/>
          <w:bCs/>
          <w:color w:val="2E75B6"/>
          <w:sz w:val="24"/>
          <w:szCs w:val="24"/>
        </w:rPr>
        <w:t>The Problem Type: Binary Classification</w:t>
      </w:r>
    </w:p>
    <w:p w14:paraId="22822957" w14:textId="77777777" w:rsidR="00F8378D" w:rsidRDefault="00000000">
      <w:pPr>
        <w:spacing w:after="160" w:line="280" w:lineRule="auto"/>
        <w:jc w:val="both"/>
      </w:pPr>
      <w:r>
        <w:t>We are building a binary classifier. Binary means two outcomes: either a patient will be high-cost next year (label = 1) or they will not (label = 0). Classification means we are predicting a category, not a number. This is the right framing because our end goal is a ranked list of patients to prioritize for outreach — we need a yes/no prediction, not a dollar amount.</w:t>
      </w:r>
    </w:p>
    <w:p w14:paraId="7678AD05" w14:textId="77777777" w:rsidR="00F8378D" w:rsidRDefault="00000000">
      <w:pPr>
        <w:spacing w:before="220" w:after="100"/>
      </w:pPr>
      <w:r>
        <w:rPr>
          <w:b/>
          <w:bCs/>
          <w:color w:val="2E75B6"/>
          <w:sz w:val="24"/>
          <w:szCs w:val="24"/>
        </w:rPr>
        <w:t>How We Define High-Cost</w:t>
      </w:r>
    </w:p>
    <w:p w14:paraId="0E927E6C" w14:textId="77777777" w:rsidR="00F8378D" w:rsidRDefault="00000000">
      <w:pPr>
        <w:spacing w:after="160" w:line="280" w:lineRule="auto"/>
        <w:jc w:val="both"/>
      </w:pPr>
      <w:r>
        <w:t xml:space="preserve">We look at all patients who had claims in 2023 and sum up their total Medicare payments. We then find the 95th percentile of that spending distribution. Anyone above that threshold gets labeled as </w:t>
      </w:r>
      <w:proofErr w:type="gramStart"/>
      <w:r>
        <w:t>high-cost</w:t>
      </w:r>
      <w:proofErr w:type="gramEnd"/>
      <w:r>
        <w:t xml:space="preserve"> (1). In our data, that threshold came out to </w:t>
      </w:r>
      <w:r w:rsidRPr="008953CA">
        <w:rPr>
          <w:highlight w:val="magenta"/>
        </w:rPr>
        <w:t>$85,798</w:t>
      </w:r>
      <w:r>
        <w:t>. Exactly 5% of patients are above it, which matches the literature perfectly.</w:t>
      </w:r>
    </w:p>
    <w:p w14:paraId="2508B467" w14:textId="77777777" w:rsidR="00F8378D" w:rsidRDefault="00000000">
      <w:pPr>
        <w:spacing w:before="220" w:after="100"/>
      </w:pPr>
      <w:r>
        <w:rPr>
          <w:b/>
          <w:bCs/>
          <w:color w:val="2E75B6"/>
          <w:sz w:val="24"/>
          <w:szCs w:val="24"/>
        </w:rPr>
        <w:t>Why Logistic Regression as Baseline?</w:t>
      </w:r>
    </w:p>
    <w:p w14:paraId="59FD8B9D" w14:textId="77777777" w:rsidR="00F8378D" w:rsidRDefault="00000000">
      <w:pPr>
        <w:spacing w:after="160" w:line="280" w:lineRule="auto"/>
        <w:jc w:val="both"/>
      </w:pPr>
      <w:r>
        <w:t xml:space="preserve">Logistic Regression is the simplest sensible model for binary classification. It is fast, interpretable, and well-understood. We use it as a baseline because it sets a floor — if our fancy </w:t>
      </w:r>
      <w:proofErr w:type="spellStart"/>
      <w:r>
        <w:t>XGBoost</w:t>
      </w:r>
      <w:proofErr w:type="spellEnd"/>
      <w:r>
        <w:t xml:space="preserve"> model cannot beat Logistic Regression, something is wrong. It also gives us a simple benchmark to report. Our baseline achieved AUC = 0.828, which is already quite strong.</w:t>
      </w:r>
    </w:p>
    <w:p w14:paraId="6EE1E8B7" w14:textId="77777777" w:rsidR="00F8378D" w:rsidRDefault="00000000">
      <w:pPr>
        <w:spacing w:before="220" w:after="100"/>
      </w:pPr>
      <w:r>
        <w:rPr>
          <w:b/>
          <w:bCs/>
          <w:color w:val="2E75B6"/>
          <w:sz w:val="24"/>
          <w:szCs w:val="24"/>
        </w:rPr>
        <w:t xml:space="preserve">Why </w:t>
      </w:r>
      <w:proofErr w:type="spellStart"/>
      <w:r>
        <w:rPr>
          <w:b/>
          <w:bCs/>
          <w:color w:val="2E75B6"/>
          <w:sz w:val="24"/>
          <w:szCs w:val="24"/>
        </w:rPr>
        <w:t>XGBoost</w:t>
      </w:r>
      <w:proofErr w:type="spellEnd"/>
      <w:r>
        <w:rPr>
          <w:b/>
          <w:bCs/>
          <w:color w:val="2E75B6"/>
          <w:sz w:val="24"/>
          <w:szCs w:val="24"/>
        </w:rPr>
        <w:t xml:space="preserve"> as Primary Model?</w:t>
      </w:r>
    </w:p>
    <w:p w14:paraId="6BA996C9" w14:textId="77777777" w:rsidR="00F8378D" w:rsidRDefault="00000000">
      <w:pPr>
        <w:spacing w:after="160" w:line="280" w:lineRule="auto"/>
        <w:jc w:val="both"/>
      </w:pPr>
      <w:proofErr w:type="spellStart"/>
      <w:r>
        <w:t>XGBoost</w:t>
      </w:r>
      <w:proofErr w:type="spellEnd"/>
      <w:r>
        <w:t xml:space="preserve"> (Extreme Gradient Boosting) is an ensemble tree-based model that consistently outperforms Logistic Regression on tabular healthcare data. It handles non-linear relationships between features automatically, is robust to outliers (which we have a lot of in spending data</w:t>
      </w:r>
      <w:proofErr w:type="gramStart"/>
      <w:r>
        <w:t>), and</w:t>
      </w:r>
      <w:proofErr w:type="gramEnd"/>
      <w:r>
        <w:t xml:space="preserve"> handles class imbalance better than simpler models. It is also the model used in Rose (2016) and similar Medicare prediction papers, making it the methodologically appropriate choice.</w:t>
      </w:r>
    </w:p>
    <w:p w14:paraId="640A82D8" w14:textId="77777777" w:rsidR="00F8378D" w:rsidRDefault="00000000">
      <w:pPr>
        <w:spacing w:before="220" w:after="100"/>
      </w:pPr>
      <w:r>
        <w:rPr>
          <w:b/>
          <w:bCs/>
          <w:color w:val="2E75B6"/>
          <w:sz w:val="24"/>
          <w:szCs w:val="24"/>
        </w:rPr>
        <w:t>What is SMOTE and Why Do We Need It?</w:t>
      </w:r>
    </w:p>
    <w:p w14:paraId="024A92FB" w14:textId="77777777" w:rsidR="00F8378D" w:rsidRDefault="00000000">
      <w:pPr>
        <w:spacing w:after="160" w:line="280" w:lineRule="auto"/>
        <w:jc w:val="both"/>
      </w:pPr>
      <w:r>
        <w:t>SMOTE stands for Synthetic Minority Oversampling Technique. Our data has a 5:95 class imbalance — only 5% of patients are high-cost. If we train a model on this raw data, it will just predict everyone as not-high-cost and be 95% accurate while being completely useless. SMOTE creates synthetic examples of the minority class (high-cost patients) by interpolating between existing high-cost patients, giving the model a balanced view of both classes during training.</w:t>
      </w:r>
    </w:p>
    <w:p w14:paraId="01F559FD" w14:textId="77777777" w:rsidR="00F8378D" w:rsidRDefault="00000000">
      <w:pPr>
        <w:spacing w:before="220" w:after="100"/>
      </w:pPr>
      <w:r>
        <w:rPr>
          <w:b/>
          <w:bCs/>
          <w:color w:val="2E75B6"/>
          <w:sz w:val="24"/>
          <w:szCs w:val="24"/>
        </w:rPr>
        <w:t>What is AUC-ROC and Why Do We Use It?</w:t>
      </w:r>
    </w:p>
    <w:p w14:paraId="3C89F83C" w14:textId="77777777" w:rsidR="00F8378D" w:rsidRDefault="00000000">
      <w:pPr>
        <w:spacing w:after="160" w:line="280" w:lineRule="auto"/>
        <w:jc w:val="both"/>
      </w:pPr>
      <w:r w:rsidRPr="008953CA">
        <w:rPr>
          <w:highlight w:val="magenta"/>
        </w:rPr>
        <w:t>AUC stands for Area Under the Curve.</w:t>
      </w:r>
      <w:r>
        <w:t xml:space="preserve"> The ROC (Receiver Operating Characteristic) curve plots the True Positive Rate (how many high-cost patients we correctly flag) against the False Positive Rate (how many non-high-cost patients we wrongly flag) at every possible classification threshold. AUC is the area under this curve — it ranges from 0.5 (random guessing) to 1.0 (perfect). AUC is the right metric for imbalanced classification because it measures discrimination ability regardless of threshold. Accuracy alone would be misleading here because a model that predicts everyone as low-cost gets 95% accuracy but AUC of 0.5.</w:t>
      </w:r>
    </w:p>
    <w:p w14:paraId="1404DE8D" w14:textId="77777777" w:rsidR="00F8378D" w:rsidRDefault="00000000">
      <w:pPr>
        <w:spacing w:before="220" w:after="100"/>
      </w:pPr>
      <w:r>
        <w:rPr>
          <w:b/>
          <w:bCs/>
          <w:color w:val="2E75B6"/>
          <w:sz w:val="24"/>
          <w:szCs w:val="24"/>
        </w:rPr>
        <w:lastRenderedPageBreak/>
        <w:t>What is SHAP and Why Does It Matter?</w:t>
      </w:r>
    </w:p>
    <w:p w14:paraId="19DA815F" w14:textId="77777777" w:rsidR="00F8378D" w:rsidRDefault="00000000">
      <w:pPr>
        <w:spacing w:after="160" w:line="280" w:lineRule="auto"/>
        <w:jc w:val="both"/>
      </w:pPr>
      <w:r>
        <w:t>SHAP explains individual predictions by computing how much each feature contributed to pushing a prediction above or below the baseline. For example, it can tell us: for this specific patient, their high number of inpatient stays contributed +0.3 to the prediction score, while their young age contributed -0.1. This is critical for clinical adoption — a care manager needs to understand WHY a patient is flagged as high-risk, not just that they are. Without explainability, clinicians will not trust or use the model.</w:t>
      </w:r>
    </w:p>
    <w:p w14:paraId="6EA1CB30" w14:textId="77777777" w:rsidR="00F8378D" w:rsidRDefault="00000000">
      <w:pPr>
        <w:spacing w:before="220" w:after="100"/>
      </w:pPr>
      <w:r>
        <w:rPr>
          <w:b/>
          <w:bCs/>
          <w:color w:val="2E75B6"/>
          <w:sz w:val="24"/>
          <w:szCs w:val="24"/>
        </w:rPr>
        <w:t>Our Final Goal</w:t>
      </w:r>
    </w:p>
    <w:p w14:paraId="4FFCDAAF" w14:textId="77777777" w:rsidR="00F8378D" w:rsidRDefault="00000000">
      <w:pPr>
        <w:spacing w:after="160" w:line="280" w:lineRule="auto"/>
        <w:jc w:val="both"/>
      </w:pPr>
      <w:r>
        <w:t xml:space="preserve">The final deliverable is a model pipeline that takes a Medicare patient's Year 1 claims data and outputs a risk score between 0 and 1 representing their probability of being a </w:t>
      </w:r>
      <w:proofErr w:type="gramStart"/>
      <w:r>
        <w:t>top-5</w:t>
      </w:r>
      <w:proofErr w:type="gramEnd"/>
      <w:r>
        <w:t>% spender in Year 2. We will rank all patients by this score and show that the top-ranked patients are indeed disproportionately likely to become high-cost. We will also provide SHAP-based explanations showing which clinical and utilization features most strongly drive the predictions.</w:t>
      </w:r>
    </w:p>
    <w:p w14:paraId="325E5B25" w14:textId="77777777" w:rsidR="00F8378D" w:rsidRDefault="00000000">
      <w:pPr>
        <w:pBdr>
          <w:left w:val="single" w:sz="16" w:space="8" w:color="2E75B6"/>
        </w:pBdr>
        <w:shd w:val="clear" w:color="auto" w:fill="E8F4FD"/>
        <w:spacing w:before="120" w:after="120" w:line="280" w:lineRule="auto"/>
        <w:ind w:left="360"/>
      </w:pPr>
      <w:r>
        <w:t>The business value: an ACO with 10,000 Medicare patients could use our model to identify the 200-300 patients most likely to become high-cost next year and allocate their care management resources — nurse outreach, pharmacy consultations, social work — to exactly those patients, potentially preventing avoidable hospitalizations and saving millions of dollars.</w:t>
      </w:r>
    </w:p>
    <w:sectPr w:rsidR="00F8378D">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34F1B"/>
    <w:multiLevelType w:val="hybridMultilevel"/>
    <w:tmpl w:val="0E24C900"/>
    <w:lvl w:ilvl="0" w:tplc="B0A2EC3A">
      <w:start w:val="1"/>
      <w:numFmt w:val="bullet"/>
      <w:lvlText w:val="•"/>
      <w:lvlJc w:val="left"/>
      <w:pPr>
        <w:ind w:left="720" w:hanging="360"/>
      </w:pPr>
    </w:lvl>
    <w:lvl w:ilvl="1" w:tplc="298401D2">
      <w:numFmt w:val="decimal"/>
      <w:lvlText w:val=""/>
      <w:lvlJc w:val="left"/>
    </w:lvl>
    <w:lvl w:ilvl="2" w:tplc="24BA68D4">
      <w:numFmt w:val="decimal"/>
      <w:lvlText w:val=""/>
      <w:lvlJc w:val="left"/>
    </w:lvl>
    <w:lvl w:ilvl="3" w:tplc="1C703A50">
      <w:numFmt w:val="decimal"/>
      <w:lvlText w:val=""/>
      <w:lvlJc w:val="left"/>
    </w:lvl>
    <w:lvl w:ilvl="4" w:tplc="6398291C">
      <w:numFmt w:val="decimal"/>
      <w:lvlText w:val=""/>
      <w:lvlJc w:val="left"/>
    </w:lvl>
    <w:lvl w:ilvl="5" w:tplc="68F8750E">
      <w:numFmt w:val="decimal"/>
      <w:lvlText w:val=""/>
      <w:lvlJc w:val="left"/>
    </w:lvl>
    <w:lvl w:ilvl="6" w:tplc="29C865AE">
      <w:numFmt w:val="decimal"/>
      <w:lvlText w:val=""/>
      <w:lvlJc w:val="left"/>
    </w:lvl>
    <w:lvl w:ilvl="7" w:tplc="59B04598">
      <w:numFmt w:val="decimal"/>
      <w:lvlText w:val=""/>
      <w:lvlJc w:val="left"/>
    </w:lvl>
    <w:lvl w:ilvl="8" w:tplc="47DAD704">
      <w:numFmt w:val="decimal"/>
      <w:lvlText w:val=""/>
      <w:lvlJc w:val="left"/>
    </w:lvl>
  </w:abstractNum>
  <w:abstractNum w:abstractNumId="1" w15:restartNumberingAfterBreak="0">
    <w:nsid w:val="78A7010C"/>
    <w:multiLevelType w:val="hybridMultilevel"/>
    <w:tmpl w:val="B2F29664"/>
    <w:lvl w:ilvl="0" w:tplc="21725578">
      <w:start w:val="1"/>
      <w:numFmt w:val="bullet"/>
      <w:lvlText w:val="●"/>
      <w:lvlJc w:val="left"/>
      <w:pPr>
        <w:ind w:left="720" w:hanging="360"/>
      </w:pPr>
    </w:lvl>
    <w:lvl w:ilvl="1" w:tplc="48426530">
      <w:start w:val="1"/>
      <w:numFmt w:val="bullet"/>
      <w:lvlText w:val="○"/>
      <w:lvlJc w:val="left"/>
      <w:pPr>
        <w:ind w:left="1440" w:hanging="360"/>
      </w:pPr>
    </w:lvl>
    <w:lvl w:ilvl="2" w:tplc="53EC135E">
      <w:start w:val="1"/>
      <w:numFmt w:val="bullet"/>
      <w:lvlText w:val="■"/>
      <w:lvlJc w:val="left"/>
      <w:pPr>
        <w:ind w:left="2160" w:hanging="360"/>
      </w:pPr>
    </w:lvl>
    <w:lvl w:ilvl="3" w:tplc="56382C9E">
      <w:start w:val="1"/>
      <w:numFmt w:val="bullet"/>
      <w:lvlText w:val="●"/>
      <w:lvlJc w:val="left"/>
      <w:pPr>
        <w:ind w:left="2880" w:hanging="360"/>
      </w:pPr>
    </w:lvl>
    <w:lvl w:ilvl="4" w:tplc="2F3A42BA">
      <w:start w:val="1"/>
      <w:numFmt w:val="bullet"/>
      <w:lvlText w:val="○"/>
      <w:lvlJc w:val="left"/>
      <w:pPr>
        <w:ind w:left="3600" w:hanging="360"/>
      </w:pPr>
    </w:lvl>
    <w:lvl w:ilvl="5" w:tplc="4ED81A62">
      <w:start w:val="1"/>
      <w:numFmt w:val="bullet"/>
      <w:lvlText w:val="■"/>
      <w:lvlJc w:val="left"/>
      <w:pPr>
        <w:ind w:left="4320" w:hanging="360"/>
      </w:pPr>
    </w:lvl>
    <w:lvl w:ilvl="6" w:tplc="7F241532">
      <w:start w:val="1"/>
      <w:numFmt w:val="bullet"/>
      <w:lvlText w:val="●"/>
      <w:lvlJc w:val="left"/>
      <w:pPr>
        <w:ind w:left="5040" w:hanging="360"/>
      </w:pPr>
    </w:lvl>
    <w:lvl w:ilvl="7" w:tplc="9E9A02B0">
      <w:start w:val="1"/>
      <w:numFmt w:val="bullet"/>
      <w:lvlText w:val="●"/>
      <w:lvlJc w:val="left"/>
      <w:pPr>
        <w:ind w:left="5760" w:hanging="360"/>
      </w:pPr>
    </w:lvl>
    <w:lvl w:ilvl="8" w:tplc="8690B662">
      <w:start w:val="1"/>
      <w:numFmt w:val="bullet"/>
      <w:lvlText w:val="●"/>
      <w:lvlJc w:val="left"/>
      <w:pPr>
        <w:ind w:left="6480" w:hanging="360"/>
      </w:pPr>
    </w:lvl>
  </w:abstractNum>
  <w:num w:numId="1" w16cid:durableId="17665373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78D"/>
    <w:rsid w:val="003F3A50"/>
    <w:rsid w:val="008953CA"/>
    <w:rsid w:val="008F20F9"/>
    <w:rsid w:val="00F8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104179"/>
  <w15:docId w15:val="{053FDA29-D901-6E4F-B06F-11ACA62D1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1883</Words>
  <Characters>10737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Sagarika R</cp:lastModifiedBy>
  <cp:revision>2</cp:revision>
  <dcterms:created xsi:type="dcterms:W3CDTF">2026-04-16T23:55:00Z</dcterms:created>
  <dcterms:modified xsi:type="dcterms:W3CDTF">2026-04-29T21:57:00Z</dcterms:modified>
</cp:coreProperties>
</file>