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FE5AA4" w14:textId="77777777" w:rsidR="004E3784" w:rsidRDefault="00000000">
      <w:pPr>
        <w:spacing w:after="80"/>
        <w:jc w:val="center"/>
      </w:pPr>
      <w:r>
        <w:rPr>
          <w:b/>
          <w:bCs/>
          <w:sz w:val="32"/>
          <w:szCs w:val="32"/>
        </w:rPr>
        <w:t>WHAT WE HAVE DONE SO FAR</w:t>
      </w:r>
    </w:p>
    <w:p w14:paraId="61E8099C" w14:textId="77777777" w:rsidR="004E3784" w:rsidRDefault="00000000">
      <w:pPr>
        <w:spacing w:after="80"/>
        <w:jc w:val="center"/>
      </w:pPr>
      <w:r>
        <w:rPr>
          <w:b/>
          <w:bCs/>
          <w:i/>
          <w:iCs/>
          <w:color w:val="2E75B6"/>
          <w:sz w:val="24"/>
          <w:szCs w:val="24"/>
        </w:rPr>
        <w:t>Every Step Explained — EDA, Modeling, and What It All Means</w:t>
      </w:r>
    </w:p>
    <w:p w14:paraId="1DC5A32E" w14:textId="3DFC90F2" w:rsidR="004E3784" w:rsidRDefault="00000000">
      <w:pPr>
        <w:spacing w:after="320"/>
        <w:jc w:val="center"/>
      </w:pPr>
      <w:r>
        <w:t xml:space="preserve">Sagarika Raju </w:t>
      </w:r>
      <w:proofErr w:type="gramStart"/>
      <w:r>
        <w:t>|  ISE</w:t>
      </w:r>
      <w:proofErr w:type="gramEnd"/>
      <w:r>
        <w:t xml:space="preserve"> 503  |  Personal Reference Document</w:t>
      </w:r>
    </w:p>
    <w:p w14:paraId="4211D8B4" w14:textId="77777777" w:rsidR="004E3784" w:rsidRDefault="00000000">
      <w:pPr>
        <w:pBdr>
          <w:bottom w:val="single" w:sz="8" w:space="4" w:color="1F3864"/>
        </w:pBdr>
        <w:spacing w:before="320" w:after="140"/>
      </w:pPr>
      <w:r>
        <w:rPr>
          <w:b/>
          <w:bCs/>
          <w:color w:val="1F3864"/>
          <w:sz w:val="28"/>
          <w:szCs w:val="28"/>
        </w:rPr>
        <w:t>STEP 1: SETTING UP THE ENVIRONMENT (Cell 1)</w:t>
      </w:r>
    </w:p>
    <w:p w14:paraId="41B345AF" w14:textId="77777777" w:rsidR="004E3784" w:rsidRDefault="00000000">
      <w:pPr>
        <w:spacing w:after="160" w:line="280" w:lineRule="auto"/>
        <w:jc w:val="both"/>
      </w:pPr>
      <w:r>
        <w:t>Before writing any analysis code, we imported all the Python libraries we would need. Here is what each library does and why we chose it.</w:t>
      </w:r>
    </w:p>
    <w:p w14:paraId="158531AE" w14:textId="77777777" w:rsidR="004E3784" w:rsidRDefault="00000000">
      <w:pPr>
        <w:spacing w:before="160" w:after="80"/>
      </w:pPr>
      <w:r>
        <w:rPr>
          <w:b/>
          <w:bCs/>
          <w:color w:val="1A5276"/>
        </w:rPr>
        <w:t>pandas — data manipulation</w:t>
      </w:r>
    </w:p>
    <w:p w14:paraId="31CF914A" w14:textId="77777777" w:rsidR="004E3784" w:rsidRDefault="00000000">
      <w:pPr>
        <w:spacing w:after="160" w:line="280" w:lineRule="auto"/>
        <w:jc w:val="both"/>
      </w:pPr>
      <w:r>
        <w:t xml:space="preserve">Pandas is the backbone of all data work in Python. It lets us load CSV files into </w:t>
      </w:r>
      <w:proofErr w:type="spellStart"/>
      <w:r>
        <w:t>DataFrames</w:t>
      </w:r>
      <w:proofErr w:type="spellEnd"/>
      <w:r>
        <w:t xml:space="preserve"> (think Excel spreadsheets in Python), filter rows, merge tables, compute group statistics, and handle missing values. Almost every line of our data processing uses pandas.</w:t>
      </w:r>
    </w:p>
    <w:p w14:paraId="03059CC0" w14:textId="77777777" w:rsidR="004E3784" w:rsidRDefault="00000000">
      <w:pPr>
        <w:spacing w:before="160" w:after="80"/>
      </w:pPr>
      <w:proofErr w:type="spellStart"/>
      <w:r>
        <w:rPr>
          <w:b/>
          <w:bCs/>
          <w:color w:val="1A5276"/>
        </w:rPr>
        <w:t>numpy</w:t>
      </w:r>
      <w:proofErr w:type="spellEnd"/>
      <w:r>
        <w:rPr>
          <w:b/>
          <w:bCs/>
          <w:color w:val="1A5276"/>
        </w:rPr>
        <w:t xml:space="preserve"> — numerical computing</w:t>
      </w:r>
    </w:p>
    <w:p w14:paraId="095B3590" w14:textId="77777777" w:rsidR="004E3784" w:rsidRDefault="00000000">
      <w:pPr>
        <w:spacing w:after="160" w:line="280" w:lineRule="auto"/>
        <w:jc w:val="both"/>
      </w:pPr>
      <w:r>
        <w:t>NumPy provides fast mathematical operations on arrays. We use it for things like computing log transformations of spending (np.log1p), which helps visualize skewed distributions. It is also the foundation that pandas and scikit-learn are built on.</w:t>
      </w:r>
    </w:p>
    <w:p w14:paraId="0B22978E" w14:textId="77777777" w:rsidR="004E3784" w:rsidRDefault="00000000">
      <w:pPr>
        <w:spacing w:before="160" w:after="80"/>
      </w:pPr>
      <w:r>
        <w:rPr>
          <w:b/>
          <w:bCs/>
          <w:color w:val="1A5276"/>
        </w:rPr>
        <w:t>matplotlib and seaborn — visualization</w:t>
      </w:r>
    </w:p>
    <w:p w14:paraId="491CDC92" w14:textId="77777777" w:rsidR="004E3784" w:rsidRDefault="00000000">
      <w:pPr>
        <w:spacing w:after="160" w:line="280" w:lineRule="auto"/>
        <w:jc w:val="both"/>
      </w:pPr>
      <w:r>
        <w:t>Matplotlib is the base plotting library in Python. Seaborn is built on top of it and makes statistical plots (box plots, KDE plots, bar charts) much easier to create with better default styling. All our EDA figures use these two together.</w:t>
      </w:r>
    </w:p>
    <w:p w14:paraId="7346AE3F" w14:textId="77777777" w:rsidR="004E3784" w:rsidRDefault="00000000">
      <w:pPr>
        <w:spacing w:before="160" w:after="80"/>
      </w:pPr>
      <w:r>
        <w:rPr>
          <w:b/>
          <w:bCs/>
          <w:color w:val="1A5276"/>
        </w:rPr>
        <w:t>scikit-learn — machine learning</w:t>
      </w:r>
    </w:p>
    <w:p w14:paraId="79979EB2" w14:textId="77777777" w:rsidR="004E3784" w:rsidRDefault="00000000">
      <w:pPr>
        <w:spacing w:after="160" w:line="280" w:lineRule="auto"/>
        <w:jc w:val="both"/>
      </w:pPr>
      <w:r>
        <w:t>Scikit-learn provides the tools for splitting data into train and test sets, scaling features, running Logistic Regression, and computing evaluation metrics like AUC-ROC and classification reports. It is the industry standard ML library for tabular data in Python.</w:t>
      </w:r>
    </w:p>
    <w:p w14:paraId="48AFFD96" w14:textId="77777777" w:rsidR="004E3784" w:rsidRDefault="00000000">
      <w:pPr>
        <w:spacing w:before="160" w:after="80"/>
      </w:pPr>
      <w:r>
        <w:rPr>
          <w:b/>
          <w:bCs/>
          <w:color w:val="1A5276"/>
        </w:rPr>
        <w:t>imbalanced-learn — SMOTE</w:t>
      </w:r>
    </w:p>
    <w:p w14:paraId="22A04520" w14:textId="77777777" w:rsidR="004E3784" w:rsidRDefault="00000000">
      <w:pPr>
        <w:spacing w:after="160" w:line="280" w:lineRule="auto"/>
        <w:jc w:val="both"/>
      </w:pPr>
      <w:r>
        <w:t>This library extends scikit-learn to handle class imbalance. It provides SMOTE, the oversampling technique we use to balance our 5:95 class ratio during model training.</w:t>
      </w:r>
    </w:p>
    <w:p w14:paraId="7988AA19" w14:textId="77777777" w:rsidR="004E3784" w:rsidRDefault="00000000">
      <w:pPr>
        <w:spacing w:before="160" w:after="80"/>
      </w:pPr>
      <w:proofErr w:type="spellStart"/>
      <w:r>
        <w:rPr>
          <w:b/>
          <w:bCs/>
          <w:color w:val="1A5276"/>
        </w:rPr>
        <w:t>xgboost</w:t>
      </w:r>
      <w:proofErr w:type="spellEnd"/>
      <w:r>
        <w:rPr>
          <w:b/>
          <w:bCs/>
          <w:color w:val="1A5276"/>
        </w:rPr>
        <w:t xml:space="preserve"> — gradient boosting</w:t>
      </w:r>
    </w:p>
    <w:p w14:paraId="0AF27A3F" w14:textId="77777777" w:rsidR="004E3784" w:rsidRDefault="00000000">
      <w:pPr>
        <w:spacing w:after="160" w:line="280" w:lineRule="auto"/>
        <w:jc w:val="both"/>
      </w:pPr>
      <w:proofErr w:type="spellStart"/>
      <w:r>
        <w:t>XGBoost</w:t>
      </w:r>
      <w:proofErr w:type="spellEnd"/>
      <w:r>
        <w:t xml:space="preserve"> is our primary model library. It implements gradient boosted decision trees, which is the most effective algorithm for tabular healthcare prediction tasks.</w:t>
      </w:r>
    </w:p>
    <w:p w14:paraId="13486B6D" w14:textId="77777777" w:rsidR="004E3784" w:rsidRDefault="00000000">
      <w:pPr>
        <w:spacing w:before="160" w:after="80"/>
      </w:pPr>
      <w:proofErr w:type="spellStart"/>
      <w:r>
        <w:rPr>
          <w:b/>
          <w:bCs/>
          <w:color w:val="1A5276"/>
        </w:rPr>
        <w:t>shap</w:t>
      </w:r>
      <w:proofErr w:type="spellEnd"/>
      <w:r>
        <w:rPr>
          <w:b/>
          <w:bCs/>
          <w:color w:val="1A5276"/>
        </w:rPr>
        <w:t xml:space="preserve"> — model explainability</w:t>
      </w:r>
    </w:p>
    <w:p w14:paraId="5C4DF256" w14:textId="77777777" w:rsidR="004E3784" w:rsidRDefault="00000000">
      <w:pPr>
        <w:spacing w:after="160" w:line="280" w:lineRule="auto"/>
        <w:jc w:val="both"/>
      </w:pPr>
      <w:r>
        <w:t xml:space="preserve">SHAP provides tools to explain any machine learning model's predictions. We will use it after building </w:t>
      </w:r>
      <w:proofErr w:type="spellStart"/>
      <w:r>
        <w:t>XGBoost</w:t>
      </w:r>
      <w:proofErr w:type="spellEnd"/>
      <w:r>
        <w:t xml:space="preserve"> to show which features most influenced each prediction.</w:t>
      </w:r>
    </w:p>
    <w:p w14:paraId="3556C0DC" w14:textId="77777777" w:rsidR="004E3784" w:rsidRDefault="00000000">
      <w:r>
        <w:br w:type="page"/>
      </w:r>
    </w:p>
    <w:p w14:paraId="5C3175D0" w14:textId="77777777" w:rsidR="004E3784" w:rsidRDefault="00000000">
      <w:pPr>
        <w:pBdr>
          <w:bottom w:val="single" w:sz="8" w:space="4" w:color="1F3864"/>
        </w:pBdr>
        <w:spacing w:before="320" w:after="140"/>
      </w:pPr>
      <w:r>
        <w:rPr>
          <w:b/>
          <w:bCs/>
          <w:color w:val="1F3864"/>
          <w:sz w:val="28"/>
          <w:szCs w:val="28"/>
        </w:rPr>
        <w:lastRenderedPageBreak/>
        <w:t>STEP 2: LOADING THE DATA (Cell 2)</w:t>
      </w:r>
    </w:p>
    <w:p w14:paraId="708187BF" w14:textId="77777777" w:rsidR="004E3784" w:rsidRDefault="00000000">
      <w:pPr>
        <w:spacing w:after="160" w:line="280" w:lineRule="auto"/>
        <w:jc w:val="both"/>
      </w:pPr>
      <w:r>
        <w:t xml:space="preserve">We loaded five files: beneficiary_2022.csv, beneficiary_2023.csv, inpatient.csv, outpatient.csv, and carrier.csv. Here is the critical technical detail: these files are pipe-delimited, meaning the columns are separated by | instead of commas. This is how CMS formats their data files. We handled this with </w:t>
      </w:r>
      <w:proofErr w:type="spellStart"/>
      <w:r>
        <w:t>sep</w:t>
      </w:r>
      <w:proofErr w:type="spellEnd"/>
      <w:r>
        <w:t xml:space="preserve">='|' in the </w:t>
      </w:r>
      <w:proofErr w:type="spellStart"/>
      <w:r>
        <w:t>read_csv</w:t>
      </w:r>
      <w:proofErr w:type="spellEnd"/>
      <w:r>
        <w:t xml:space="preserve"> call.</w:t>
      </w:r>
    </w:p>
    <w:p w14:paraId="3441ACC3" w14:textId="77777777" w:rsidR="004E3784" w:rsidRDefault="00000000">
      <w:pPr>
        <w:spacing w:after="160" w:line="280" w:lineRule="auto"/>
        <w:jc w:val="both"/>
      </w:pPr>
      <w:r>
        <w:t xml:space="preserve">For the </w:t>
      </w:r>
      <w:proofErr w:type="gramStart"/>
      <w:r>
        <w:t>claims</w:t>
      </w:r>
      <w:proofErr w:type="gramEnd"/>
      <w:r>
        <w:t xml:space="preserve"> files, we used </w:t>
      </w:r>
      <w:proofErr w:type="spellStart"/>
      <w:r>
        <w:t>usecols</w:t>
      </w:r>
      <w:proofErr w:type="spellEnd"/>
      <w:r>
        <w:t xml:space="preserve"> to load only the columns we actually need. The full inpatient file has 197 columns — most of which are ICD diagnosis codes we are not using yet. Loading only 5-6 columns instead of 197 makes the loading much faster and uses far less memory, which matters when carrier.csv alone has over 1 million rows.</w:t>
      </w:r>
    </w:p>
    <w:p w14:paraId="568D90C7" w14:textId="77777777" w:rsidR="004E3784" w:rsidRDefault="00000000">
      <w:pPr>
        <w:spacing w:after="160" w:line="280" w:lineRule="auto"/>
        <w:jc w:val="both"/>
      </w:pPr>
      <w:r>
        <w:t xml:space="preserve">We then parsed the CLM_FROM_DT (claim from date) column as a proper date and extracted the year. This lets us filter claims by year, which is essential since our </w:t>
      </w:r>
      <w:proofErr w:type="gramStart"/>
      <w:r>
        <w:t>claims</w:t>
      </w:r>
      <w:proofErr w:type="gramEnd"/>
      <w:r>
        <w:t xml:space="preserve"> files span 2015-2023 and we only want 2022 and 2023.</w:t>
      </w:r>
    </w:p>
    <w:p w14:paraId="0FF7F744" w14:textId="77777777" w:rsidR="004E3784" w:rsidRDefault="00000000">
      <w:pPr>
        <w:pBdr>
          <w:left w:val="single" w:sz="16" w:space="8" w:color="2E75B6"/>
        </w:pBdr>
        <w:shd w:val="clear" w:color="auto" w:fill="E8F4FD"/>
        <w:spacing w:before="120" w:after="120" w:line="280" w:lineRule="auto"/>
        <w:ind w:left="360"/>
      </w:pPr>
      <w:r>
        <w:t>After loading: inpatient = 58,066 rows, outpatient = 575,092 rows, carrier = 1,121,004 rows. The beneficiary files have 8,671 patients in 2022 and 9,179 in 2023. Each has 185 columns covering all enrollment and demographic information.</w:t>
      </w:r>
    </w:p>
    <w:p w14:paraId="36D59E6E" w14:textId="77777777" w:rsidR="004E3784" w:rsidRDefault="00000000">
      <w:pPr>
        <w:pBdr>
          <w:bottom w:val="single" w:sz="8" w:space="4" w:color="1F3864"/>
        </w:pBdr>
        <w:spacing w:before="320" w:after="140"/>
      </w:pPr>
      <w:r>
        <w:rPr>
          <w:b/>
          <w:bCs/>
          <w:color w:val="1F3864"/>
          <w:sz w:val="28"/>
          <w:szCs w:val="28"/>
        </w:rPr>
        <w:t>STEP 3: BUILDING SPENDING AGGREGATIONS (Cell 3)</w:t>
      </w:r>
    </w:p>
    <w:p w14:paraId="3C2BBAAD" w14:textId="77777777" w:rsidR="004E3784" w:rsidRDefault="00000000">
      <w:pPr>
        <w:spacing w:after="160" w:line="280" w:lineRule="auto"/>
        <w:jc w:val="both"/>
      </w:pPr>
      <w:r>
        <w:t>This is the most important data engineering step. The raw claims files have one row per claim — a patient who was hospitalized 3 times in 2022 would have 3 rows in the inpatient file. We need to collapse all of that into one row per patient per year showing their total spending.</w:t>
      </w:r>
    </w:p>
    <w:p w14:paraId="74A55B15" w14:textId="77777777" w:rsidR="004E3784" w:rsidRDefault="00000000">
      <w:pPr>
        <w:spacing w:before="160" w:after="80"/>
      </w:pPr>
      <w:r>
        <w:rPr>
          <w:b/>
          <w:bCs/>
          <w:color w:val="1A5276"/>
        </w:rPr>
        <w:t xml:space="preserve">What the </w:t>
      </w:r>
      <w:proofErr w:type="spellStart"/>
      <w:r>
        <w:rPr>
          <w:b/>
          <w:bCs/>
          <w:color w:val="1A5276"/>
        </w:rPr>
        <w:t>get_spending_by_year</w:t>
      </w:r>
      <w:proofErr w:type="spellEnd"/>
      <w:r>
        <w:rPr>
          <w:b/>
          <w:bCs/>
          <w:color w:val="1A5276"/>
        </w:rPr>
        <w:t xml:space="preserve"> function does</w:t>
      </w:r>
    </w:p>
    <w:p w14:paraId="06A4257A" w14:textId="77777777" w:rsidR="004E3784" w:rsidRDefault="00000000">
      <w:pPr>
        <w:spacing w:after="160" w:line="280" w:lineRule="auto"/>
        <w:jc w:val="both"/>
      </w:pPr>
      <w:r>
        <w:t xml:space="preserve">For each claims type (inpatient, outpatient, carrier), we filter to only claims from the target year. Then we group by BENE_ID (patient ID) and compute aggregate statistics: sum of payments, count of claims, and for inpatient specifically, sum of utilization days. Then we merge all three aggregated tables together using an outer </w:t>
      </w:r>
      <w:proofErr w:type="gramStart"/>
      <w:r>
        <w:t>join</w:t>
      </w:r>
      <w:proofErr w:type="gramEnd"/>
      <w:r>
        <w:t xml:space="preserve"> so we keep all patients who had any type of claim, and fill missing values with zero (a patient with no inpatient stays gets INP_PMT = 0, not </w:t>
      </w:r>
      <w:proofErr w:type="spellStart"/>
      <w:r>
        <w:t>NaN</w:t>
      </w:r>
      <w:proofErr w:type="spellEnd"/>
      <w:r>
        <w:t>).</w:t>
      </w:r>
    </w:p>
    <w:p w14:paraId="623E5B90" w14:textId="77777777" w:rsidR="004E3784" w:rsidRDefault="00000000">
      <w:pPr>
        <w:spacing w:after="160" w:line="280" w:lineRule="auto"/>
        <w:jc w:val="both"/>
      </w:pPr>
      <w:proofErr w:type="gramStart"/>
      <w:r w:rsidRPr="005242D2">
        <w:rPr>
          <w:highlight w:val="magenta"/>
        </w:rPr>
        <w:t>Finally</w:t>
      </w:r>
      <w:proofErr w:type="gramEnd"/>
      <w:r w:rsidRPr="005242D2">
        <w:rPr>
          <w:highlight w:val="magenta"/>
        </w:rPr>
        <w:t xml:space="preserve"> we compute TOTAL_PMT = INP_PMT + OUT_PMT + CAR_PMT. This is the patient's total Medicare cost</w:t>
      </w:r>
      <w:r>
        <w:t xml:space="preserve"> </w:t>
      </w:r>
      <w:r w:rsidRPr="005242D2">
        <w:rPr>
          <w:highlight w:val="magenta"/>
        </w:rPr>
        <w:t>for the year.</w:t>
      </w:r>
    </w:p>
    <w:p w14:paraId="0D4B7D88" w14:textId="77777777" w:rsidR="004E3784" w:rsidRDefault="00000000">
      <w:pPr>
        <w:pBdr>
          <w:left w:val="single" w:sz="16" w:space="8" w:color="2E75B6"/>
        </w:pBdr>
        <w:shd w:val="clear" w:color="auto" w:fill="E8F4FD"/>
        <w:spacing w:before="120" w:after="120" w:line="280" w:lineRule="auto"/>
        <w:ind w:left="360"/>
      </w:pPr>
      <w:r>
        <w:t>Result: spend_2022 has 8,301 patients. spend_2023 has 3,494 patients. The difference is because not all 2022 patients necessarily had claims in 2023 — some may have died, left Medicare, or simply had no healthcare utilization in 2023.</w:t>
      </w:r>
    </w:p>
    <w:p w14:paraId="241B7232" w14:textId="77777777" w:rsidR="004E3784" w:rsidRDefault="00000000">
      <w:pPr>
        <w:pBdr>
          <w:bottom w:val="single" w:sz="8" w:space="4" w:color="1F3864"/>
        </w:pBdr>
        <w:spacing w:before="320" w:after="140"/>
      </w:pPr>
      <w:r>
        <w:rPr>
          <w:b/>
          <w:bCs/>
          <w:color w:val="1F3864"/>
          <w:sz w:val="28"/>
          <w:szCs w:val="28"/>
        </w:rPr>
        <w:t>STEP 4: CREATING THE LABEL (Cell 3 continued)</w:t>
      </w:r>
    </w:p>
    <w:p w14:paraId="4BF8ACF3" w14:textId="77777777" w:rsidR="004E3784" w:rsidRDefault="00000000">
      <w:pPr>
        <w:spacing w:after="160" w:line="280" w:lineRule="auto"/>
        <w:jc w:val="both"/>
      </w:pPr>
      <w:r>
        <w:t>We define our prediction target using the Year 2 (2023) spending distribution. The label HIGH_COST = 1 if a patient's 2023 total spending is at or above the 95th percentile of the 2023 spending distribution. The 95th percentile came out to $85,798.</w:t>
      </w:r>
    </w:p>
    <w:p w14:paraId="1E0FB661" w14:textId="77777777" w:rsidR="004E3784" w:rsidRDefault="00000000">
      <w:pPr>
        <w:spacing w:after="160" w:line="280" w:lineRule="auto"/>
        <w:jc w:val="both"/>
      </w:pPr>
      <w:r>
        <w:lastRenderedPageBreak/>
        <w:t>Why the 95th percentile? Because that is the definition of the top 5% threshold that appears in Cohen &amp; Yu (2012) and throughout the Medicare cost concentration literature. It is not arbitrary — it corresponds to a well-established and clinically meaningful cutoff that separates the concentration of extreme costs from the rest of the population.</w:t>
      </w:r>
    </w:p>
    <w:p w14:paraId="5BD46162" w14:textId="77777777" w:rsidR="004E3784" w:rsidRDefault="00000000">
      <w:pPr>
        <w:pBdr>
          <w:left w:val="single" w:sz="16" w:space="8" w:color="27AE60"/>
        </w:pBdr>
        <w:shd w:val="clear" w:color="auto" w:fill="E9F7EF"/>
        <w:spacing w:before="120" w:after="120" w:line="280" w:lineRule="auto"/>
        <w:ind w:left="360"/>
      </w:pPr>
      <w:r>
        <w:rPr>
          <w:b/>
          <w:bCs/>
        </w:rPr>
        <w:t xml:space="preserve">Finding: </w:t>
      </w:r>
      <w:r>
        <w:t>Class distribution in Year 2: 175 high-cost patients (5%) and 3,319 non-high-cost patients (95%). This perfectly matches our research question and the literature.</w:t>
      </w:r>
    </w:p>
    <w:p w14:paraId="7DA8C4A4" w14:textId="77777777" w:rsidR="004E3784" w:rsidRDefault="00000000">
      <w:pPr>
        <w:pBdr>
          <w:bottom w:val="single" w:sz="8" w:space="4" w:color="1F3864"/>
        </w:pBdr>
        <w:spacing w:before="320" w:after="140"/>
      </w:pPr>
      <w:r>
        <w:rPr>
          <w:b/>
          <w:bCs/>
          <w:color w:val="1F3864"/>
          <w:sz w:val="28"/>
          <w:szCs w:val="28"/>
        </w:rPr>
        <w:t>STEP 5: BUILDING THE FINAL DATASET (Cell 4)</w:t>
      </w:r>
    </w:p>
    <w:p w14:paraId="4E8CB1D3" w14:textId="77777777" w:rsidR="004E3784" w:rsidRDefault="00000000">
      <w:pPr>
        <w:spacing w:after="160" w:line="280" w:lineRule="auto"/>
        <w:jc w:val="both"/>
      </w:pPr>
      <w:r>
        <w:t>We now need to combine three things into one analytical dataset: Year 1 demographics (from bene_2022), Year 1 spending and utilization (from spend_2022), and Year 2 labels (from spend_2023). We do this through two sequential merges, both using BENE_ID as the join key.</w:t>
      </w:r>
    </w:p>
    <w:p w14:paraId="068EDB39" w14:textId="77777777" w:rsidR="004E3784" w:rsidRDefault="00000000">
      <w:pPr>
        <w:spacing w:after="160" w:line="280" w:lineRule="auto"/>
        <w:jc w:val="both"/>
      </w:pPr>
      <w:r>
        <w:t>The first merge joins bene_2022 demographics with spend_2022 features using an inner join — only keeping patients who appear in both (i.e., patients in the 2022 beneficiary file who also had 2022 claims). The second merge joins that result with the Year 2 labels, again using inner join — only keeping patients who had claims in both 2022 AND 2023.</w:t>
      </w:r>
    </w:p>
    <w:p w14:paraId="317CDEF1" w14:textId="77777777" w:rsidR="004E3784" w:rsidRDefault="00000000">
      <w:pPr>
        <w:spacing w:after="160" w:line="280" w:lineRule="auto"/>
        <w:jc w:val="both"/>
      </w:pPr>
      <w:r>
        <w:t>We select specific demographic columns that are clinically meaningful and likely to be predictive: age, sex, race, ESRD indicator (end-stage renal disease — a marker of severe chronic illness), dual eligibility months (proxy for low income), and coverage months (tells us how long they were enrolled).</w:t>
      </w:r>
    </w:p>
    <w:p w14:paraId="1E819719" w14:textId="77777777" w:rsidR="004E3784" w:rsidRDefault="00000000">
      <w:pPr>
        <w:pBdr>
          <w:left w:val="single" w:sz="16" w:space="8" w:color="2E75B6"/>
        </w:pBdr>
        <w:shd w:val="clear" w:color="auto" w:fill="E8F4FD"/>
        <w:spacing w:before="120" w:after="120" w:line="280" w:lineRule="auto"/>
        <w:ind w:left="360"/>
      </w:pPr>
      <w:r>
        <w:t>Final dataset: 3,339 patients, 21 columns (14 features + BENE_ID + spending components + label), 0 missing values. This is clean and ready for modeling.</w:t>
      </w:r>
    </w:p>
    <w:p w14:paraId="6C8E61DC" w14:textId="77777777" w:rsidR="004E3784" w:rsidRDefault="00000000">
      <w:r>
        <w:br w:type="page"/>
      </w:r>
    </w:p>
    <w:p w14:paraId="2D4D3593" w14:textId="77777777" w:rsidR="004E3784" w:rsidRDefault="00000000">
      <w:pPr>
        <w:pBdr>
          <w:bottom w:val="single" w:sz="8" w:space="4" w:color="1F3864"/>
        </w:pBdr>
        <w:spacing w:before="320" w:after="140"/>
      </w:pPr>
      <w:r>
        <w:rPr>
          <w:b/>
          <w:bCs/>
          <w:color w:val="1F3864"/>
          <w:sz w:val="28"/>
          <w:szCs w:val="28"/>
        </w:rPr>
        <w:lastRenderedPageBreak/>
        <w:t>STEP 6: EDA — FIGURE 1 (Spending Distribution)</w:t>
      </w:r>
    </w:p>
    <w:p w14:paraId="060D1D9A" w14:textId="77777777" w:rsidR="004E3784" w:rsidRDefault="00000000">
      <w:pPr>
        <w:spacing w:before="160" w:after="80"/>
      </w:pPr>
      <w:r>
        <w:rPr>
          <w:b/>
          <w:bCs/>
          <w:color w:val="1A5276"/>
        </w:rPr>
        <w:t>What we plotted</w:t>
      </w:r>
    </w:p>
    <w:p w14:paraId="40353E37" w14:textId="77777777" w:rsidR="004E3784" w:rsidRDefault="00000000">
      <w:pPr>
        <w:spacing w:after="160" w:line="280" w:lineRule="auto"/>
        <w:jc w:val="both"/>
      </w:pPr>
      <w:r>
        <w:t>Two side-by-side histograms of Year 2 total Medicare spending. The left histogram shows the raw distribution with a red dashed line marking the $85,798 threshold. The right histogram shows the same data on a log scale (using np.log1p which is log(x+1), to handle zeros).</w:t>
      </w:r>
    </w:p>
    <w:p w14:paraId="55A09055" w14:textId="77777777" w:rsidR="004E3784" w:rsidRDefault="00000000">
      <w:pPr>
        <w:spacing w:before="160" w:after="80"/>
      </w:pPr>
      <w:r>
        <w:rPr>
          <w:b/>
          <w:bCs/>
          <w:color w:val="1A5276"/>
        </w:rPr>
        <w:t>Why we did this</w:t>
      </w:r>
    </w:p>
    <w:p w14:paraId="0BCDEA3E" w14:textId="77777777" w:rsidR="004E3784" w:rsidRDefault="00000000">
      <w:pPr>
        <w:spacing w:after="160" w:line="280" w:lineRule="auto"/>
        <w:jc w:val="both"/>
      </w:pPr>
      <w:r>
        <w:t xml:space="preserve">The first thing you always do in any data project is visualize your outcome variable. Before building any model, you need to understand: what does the thing you are trying to predict </w:t>
      </w:r>
      <w:proofErr w:type="gramStart"/>
      <w:r>
        <w:t>actually look</w:t>
      </w:r>
      <w:proofErr w:type="gramEnd"/>
      <w:r>
        <w:t xml:space="preserve"> like? Is it normally distributed? Skewed? Are there outliers?</w:t>
      </w:r>
    </w:p>
    <w:p w14:paraId="75A00C6F" w14:textId="77777777" w:rsidR="004E3784" w:rsidRDefault="00000000">
      <w:pPr>
        <w:spacing w:before="160" w:after="80"/>
      </w:pPr>
      <w:r>
        <w:rPr>
          <w:b/>
          <w:bCs/>
          <w:color w:val="1A5276"/>
        </w:rPr>
        <w:t>What the log transform is for</w:t>
      </w:r>
    </w:p>
    <w:p w14:paraId="1809FC35" w14:textId="77777777" w:rsidR="004E3784" w:rsidRDefault="00000000">
      <w:pPr>
        <w:spacing w:after="160" w:line="280" w:lineRule="auto"/>
        <w:jc w:val="both"/>
      </w:pPr>
      <w:r w:rsidRPr="00AF2673">
        <w:rPr>
          <w:highlight w:val="magenta"/>
        </w:rPr>
        <w:t>The raw spending distribution is extremely right-skewed</w:t>
      </w:r>
      <w:r>
        <w:t xml:space="preserve"> — most people spend a small </w:t>
      </w:r>
      <w:proofErr w:type="gramStart"/>
      <w:r>
        <w:t>amount,</w:t>
      </w:r>
      <w:proofErr w:type="gramEnd"/>
      <w:r>
        <w:t xml:space="preserve"> a few people spend an enormous amount. This skewness makes it hard to see the underlying shape of the distribution in a regular histogram because the x-axis gets stretched by extreme values. Taking the log compresses the scale and reveals the underlying bell-curve shape. This is a standard technique in healthcare cost analysis.</w:t>
      </w:r>
    </w:p>
    <w:p w14:paraId="521D36B9" w14:textId="77777777" w:rsidR="004E3784" w:rsidRDefault="00000000">
      <w:pPr>
        <w:pBdr>
          <w:left w:val="single" w:sz="16" w:space="8" w:color="27AE60"/>
        </w:pBdr>
        <w:shd w:val="clear" w:color="auto" w:fill="E9F7EF"/>
        <w:spacing w:before="120" w:after="120" w:line="280" w:lineRule="auto"/>
        <w:ind w:left="360"/>
      </w:pPr>
      <w:r>
        <w:rPr>
          <w:b/>
          <w:bCs/>
        </w:rPr>
        <w:t xml:space="preserve">Finding: </w:t>
      </w:r>
      <w:r>
        <w:t xml:space="preserve">Year 2 spending is heavily </w:t>
      </w:r>
      <w:proofErr w:type="gramStart"/>
      <w:r>
        <w:t>right-skewed</w:t>
      </w:r>
      <w:proofErr w:type="gramEnd"/>
      <w:r>
        <w:t xml:space="preserve"> with most patients near zero and extreme outliers above $1M. The log-scale histogram reveals an approximately normal underlying distribution. The $85,798 threshold cleanly separates the top 5% tail. This confirms the well-documented cost concentration pattern in Medicare.</w:t>
      </w:r>
    </w:p>
    <w:p w14:paraId="45C93D42" w14:textId="77777777" w:rsidR="004E3784" w:rsidRDefault="00000000">
      <w:pPr>
        <w:pBdr>
          <w:bottom w:val="single" w:sz="8" w:space="4" w:color="1F3864"/>
        </w:pBdr>
        <w:spacing w:before="320" w:after="140"/>
      </w:pPr>
      <w:r>
        <w:rPr>
          <w:b/>
          <w:bCs/>
          <w:color w:val="1F3864"/>
          <w:sz w:val="28"/>
          <w:szCs w:val="28"/>
        </w:rPr>
        <w:t>STEP 7: EDA — FIGURE 2 (Year 1 Spending by Label)</w:t>
      </w:r>
    </w:p>
    <w:p w14:paraId="543FF5F3" w14:textId="77777777" w:rsidR="004E3784" w:rsidRDefault="00000000">
      <w:pPr>
        <w:spacing w:before="160" w:after="80"/>
      </w:pPr>
      <w:r>
        <w:rPr>
          <w:b/>
          <w:bCs/>
          <w:color w:val="1A5276"/>
        </w:rPr>
        <w:t>What we plotted</w:t>
      </w:r>
    </w:p>
    <w:p w14:paraId="34CB577A" w14:textId="77777777" w:rsidR="004E3784" w:rsidRDefault="00000000">
      <w:pPr>
        <w:spacing w:after="160" w:line="280" w:lineRule="auto"/>
        <w:jc w:val="both"/>
      </w:pPr>
      <w:r>
        <w:t>Two plots: a box plot showing the distribution of Year 1 total spending separately for future high-cost and non-high-cost patients, and a bar chart showing the mean Year 1 spending for each group.</w:t>
      </w:r>
    </w:p>
    <w:p w14:paraId="77E7A1E2" w14:textId="77777777" w:rsidR="004E3784" w:rsidRDefault="00000000">
      <w:pPr>
        <w:spacing w:before="160" w:after="80"/>
      </w:pPr>
      <w:r>
        <w:rPr>
          <w:b/>
          <w:bCs/>
          <w:color w:val="1A5276"/>
        </w:rPr>
        <w:t>Why we did this</w:t>
      </w:r>
    </w:p>
    <w:p w14:paraId="0C3A4EA5" w14:textId="77777777" w:rsidR="004E3784" w:rsidRDefault="00000000">
      <w:pPr>
        <w:spacing w:after="160" w:line="280" w:lineRule="auto"/>
        <w:jc w:val="both"/>
      </w:pPr>
      <w:r>
        <w:t xml:space="preserve">This is the most important EDA plot from a modeling perspective. We are asking: does Year 1 spending predict Year 2 high-cost status? If future high-cost patients were already expensive in Year 1, then prior spending is a strong predictive </w:t>
      </w:r>
      <w:proofErr w:type="gramStart"/>
      <w:r>
        <w:t>feature</w:t>
      </w:r>
      <w:proofErr w:type="gramEnd"/>
      <w:r>
        <w:t xml:space="preserve"> and our model should work. If there was no difference, we would have a much harder problem.</w:t>
      </w:r>
    </w:p>
    <w:p w14:paraId="33E7C6DD" w14:textId="77777777" w:rsidR="004E3784" w:rsidRDefault="00000000">
      <w:pPr>
        <w:spacing w:before="160" w:after="80"/>
      </w:pPr>
      <w:r>
        <w:rPr>
          <w:b/>
          <w:bCs/>
          <w:color w:val="1A5276"/>
        </w:rPr>
        <w:t>What the box plot shows</w:t>
      </w:r>
    </w:p>
    <w:p w14:paraId="5DC4EB98" w14:textId="77777777" w:rsidR="004E3784" w:rsidRDefault="00000000">
      <w:pPr>
        <w:spacing w:after="160" w:line="280" w:lineRule="auto"/>
        <w:jc w:val="both"/>
      </w:pPr>
      <w:r>
        <w:t>Box plots show the median (middle line), interquartile range (box), and range excluding outliers (whiskers). Outliers are shown as individual dots. The high-cost group's box sits much higher than the non-high-cost group, confirming that future high-cost patients were already heavy healthcare users in Year 1.</w:t>
      </w:r>
    </w:p>
    <w:p w14:paraId="668F01DB" w14:textId="77777777" w:rsidR="004E3784" w:rsidRDefault="00000000">
      <w:pPr>
        <w:pBdr>
          <w:left w:val="single" w:sz="16" w:space="8" w:color="27AE60"/>
        </w:pBdr>
        <w:shd w:val="clear" w:color="auto" w:fill="E9F7EF"/>
        <w:spacing w:before="120" w:after="120" w:line="280" w:lineRule="auto"/>
        <w:ind w:left="360"/>
      </w:pPr>
      <w:r>
        <w:rPr>
          <w:b/>
          <w:bCs/>
        </w:rPr>
        <w:t xml:space="preserve">Finding: </w:t>
      </w:r>
      <w:r>
        <w:t xml:space="preserve">Future high-cost patients had a mean Year 1 spending of $1,160.8K versus $88.4K for non-high-cost patients — a 13x differential. This is the single most powerful finding in our EDA. It tells us that the model has genuine signal to work </w:t>
      </w:r>
      <w:proofErr w:type="gramStart"/>
      <w:r>
        <w:t>with, and</w:t>
      </w:r>
      <w:proofErr w:type="gramEnd"/>
      <w:r>
        <w:t xml:space="preserve"> validates that prior-year spending is a key feature.</w:t>
      </w:r>
    </w:p>
    <w:p w14:paraId="17470E05" w14:textId="77777777" w:rsidR="004E3784" w:rsidRDefault="00000000">
      <w:pPr>
        <w:pBdr>
          <w:bottom w:val="single" w:sz="8" w:space="4" w:color="1F3864"/>
        </w:pBdr>
        <w:spacing w:before="320" w:after="140"/>
      </w:pPr>
      <w:r>
        <w:rPr>
          <w:b/>
          <w:bCs/>
          <w:color w:val="1F3864"/>
          <w:sz w:val="28"/>
          <w:szCs w:val="28"/>
        </w:rPr>
        <w:lastRenderedPageBreak/>
        <w:t>STEP 8: EDA — FIGURE 3 (Demographics)</w:t>
      </w:r>
    </w:p>
    <w:p w14:paraId="1BF19908" w14:textId="77777777" w:rsidR="004E3784" w:rsidRDefault="00000000">
      <w:pPr>
        <w:spacing w:before="160" w:after="80"/>
      </w:pPr>
      <w:r>
        <w:rPr>
          <w:b/>
          <w:bCs/>
          <w:color w:val="1A5276"/>
        </w:rPr>
        <w:t>What we plotted</w:t>
      </w:r>
    </w:p>
    <w:p w14:paraId="1E8878C3" w14:textId="77777777" w:rsidR="004E3784" w:rsidRDefault="00000000">
      <w:pPr>
        <w:spacing w:after="160" w:line="280" w:lineRule="auto"/>
        <w:jc w:val="both"/>
      </w:pPr>
      <w:r>
        <w:t>Three plots: a KDE (Kernel Density Estimate) plot of age distributions for both groups, a bar chart of high-cost rates by sex, and a bar chart of high-cost rates by dual eligibility status.</w:t>
      </w:r>
    </w:p>
    <w:p w14:paraId="748D94CC" w14:textId="77777777" w:rsidR="004E3784" w:rsidRDefault="00000000">
      <w:pPr>
        <w:spacing w:before="160" w:after="80"/>
      </w:pPr>
      <w:r>
        <w:rPr>
          <w:b/>
          <w:bCs/>
          <w:color w:val="1A5276"/>
        </w:rPr>
        <w:t>What is a KDE plot?</w:t>
      </w:r>
    </w:p>
    <w:p w14:paraId="76924CA5" w14:textId="77777777" w:rsidR="004E3784" w:rsidRDefault="00000000">
      <w:pPr>
        <w:spacing w:after="160" w:line="280" w:lineRule="auto"/>
        <w:jc w:val="both"/>
      </w:pPr>
      <w:r>
        <w:t>A KDE (Kernel Density Estimate) is a smoothed version of a histogram. Instead of counting patients in discrete age bins, it draws a smooth curve showing the probability density of age at each point. It is better than a histogram here because we want to compare the shapes of two distributions, and smoothing removes the noise of bin boundaries.</w:t>
      </w:r>
    </w:p>
    <w:p w14:paraId="65933D6A" w14:textId="77777777" w:rsidR="004E3784" w:rsidRDefault="00000000">
      <w:pPr>
        <w:spacing w:before="160" w:after="80"/>
      </w:pPr>
      <w:r>
        <w:rPr>
          <w:b/>
          <w:bCs/>
          <w:color w:val="1A5276"/>
        </w:rPr>
        <w:t>Why demographics?</w:t>
      </w:r>
    </w:p>
    <w:p w14:paraId="5CA805DD" w14:textId="77777777" w:rsidR="004E3784" w:rsidRDefault="00000000">
      <w:pPr>
        <w:spacing w:after="160" w:line="280" w:lineRule="auto"/>
        <w:jc w:val="both"/>
      </w:pPr>
      <w:r>
        <w:t>Demographics are features we will include in the model, so we need to understand how they relate to the outcome. If males have a higher high-cost rate than females, sex is a useful predictor. If the age distributions of the two groups differ, age is useful. This step justifies our feature selection decisions.</w:t>
      </w:r>
    </w:p>
    <w:p w14:paraId="34F5E0E1" w14:textId="77777777" w:rsidR="004E3784" w:rsidRDefault="00000000">
      <w:pPr>
        <w:pBdr>
          <w:left w:val="single" w:sz="16" w:space="8" w:color="27AE60"/>
        </w:pBdr>
        <w:shd w:val="clear" w:color="auto" w:fill="E9F7EF"/>
        <w:spacing w:before="120" w:after="120" w:line="280" w:lineRule="auto"/>
        <w:ind w:left="360"/>
      </w:pPr>
      <w:r>
        <w:rPr>
          <w:b/>
          <w:bCs/>
        </w:rPr>
        <w:t xml:space="preserve">Age finding: </w:t>
      </w:r>
      <w:r>
        <w:t>High-cost patients peak around age 65 while non-high-cost patients peak around age 70. This is counterintuitive — you might expect older patients to be sicker. But it likely reflects that patients who become extremely high-cost often do so due to acute catastrophic events (major surgeries, cancer diagnoses) that can happen at any age, while very elderly patients may have lower measured spending due to hospice or end-of-life decisions.</w:t>
      </w:r>
    </w:p>
    <w:p w14:paraId="57C0D94D" w14:textId="77777777" w:rsidR="004E3784" w:rsidRDefault="00000000">
      <w:pPr>
        <w:pBdr>
          <w:left w:val="single" w:sz="16" w:space="8" w:color="27AE60"/>
        </w:pBdr>
        <w:shd w:val="clear" w:color="auto" w:fill="E9F7EF"/>
        <w:spacing w:before="120" w:after="120" w:line="280" w:lineRule="auto"/>
        <w:ind w:left="360"/>
      </w:pPr>
      <w:r>
        <w:rPr>
          <w:b/>
          <w:bCs/>
        </w:rPr>
        <w:t xml:space="preserve">Sex finding: </w:t>
      </w:r>
      <w:r>
        <w:t>Males have a 5.8% high-cost rate versus 4.3% for females. This is consistent with the general finding that men tend to use more acute inpatient care while women use more outpatient and preventive care.</w:t>
      </w:r>
    </w:p>
    <w:p w14:paraId="1C5D3657" w14:textId="77777777" w:rsidR="004E3784" w:rsidRDefault="00000000">
      <w:pPr>
        <w:pBdr>
          <w:left w:val="single" w:sz="16" w:space="8" w:color="27AE60"/>
        </w:pBdr>
        <w:shd w:val="clear" w:color="auto" w:fill="E9F7EF"/>
        <w:spacing w:before="120" w:after="120" w:line="280" w:lineRule="auto"/>
        <w:ind w:left="360"/>
      </w:pPr>
      <w:r>
        <w:rPr>
          <w:b/>
          <w:bCs/>
        </w:rPr>
        <w:t xml:space="preserve">Dual eligibility finding: </w:t>
      </w:r>
      <w:r>
        <w:t>Only one bar appeared, meaning all patients in our dataset had zero dual-eligible months. This is a limitation of the synthetic data sample rather than a real clinical finding. We note this in the report.</w:t>
      </w:r>
    </w:p>
    <w:p w14:paraId="3EFA7981" w14:textId="77777777" w:rsidR="004E3784" w:rsidRDefault="00000000">
      <w:r>
        <w:br w:type="page"/>
      </w:r>
    </w:p>
    <w:p w14:paraId="2A1411CC" w14:textId="77777777" w:rsidR="004E3784" w:rsidRDefault="00000000">
      <w:pPr>
        <w:pBdr>
          <w:bottom w:val="single" w:sz="8" w:space="4" w:color="1F3864"/>
        </w:pBdr>
        <w:spacing w:before="320" w:after="140"/>
      </w:pPr>
      <w:r>
        <w:rPr>
          <w:b/>
          <w:bCs/>
          <w:color w:val="1F3864"/>
          <w:sz w:val="28"/>
          <w:szCs w:val="28"/>
        </w:rPr>
        <w:lastRenderedPageBreak/>
        <w:t>STEP 9: EDA — FIGURE 4 (Utilization Patterns)</w:t>
      </w:r>
    </w:p>
    <w:p w14:paraId="5EFB80F8" w14:textId="77777777" w:rsidR="004E3784" w:rsidRDefault="00000000">
      <w:pPr>
        <w:spacing w:before="160" w:after="80"/>
      </w:pPr>
      <w:r>
        <w:rPr>
          <w:b/>
          <w:bCs/>
          <w:color w:val="1A5276"/>
        </w:rPr>
        <w:t>What we plotted</w:t>
      </w:r>
    </w:p>
    <w:p w14:paraId="718F9D55" w14:textId="77777777" w:rsidR="004E3784" w:rsidRDefault="00000000">
      <w:pPr>
        <w:spacing w:after="160" w:line="280" w:lineRule="auto"/>
        <w:jc w:val="both"/>
      </w:pPr>
      <w:r>
        <w:t xml:space="preserve">Three side-by-side box plots showing Year 1 inpatient claim count, outpatient visit count, and carrier claim count, separately for future high-cost and non-high-cost patients. We used </w:t>
      </w:r>
      <w:proofErr w:type="spellStart"/>
      <w:r>
        <w:t>showfliers</w:t>
      </w:r>
      <w:proofErr w:type="spellEnd"/>
      <w:r>
        <w:t>=False to hide outliers and focus on the main distribution shape.</w:t>
      </w:r>
    </w:p>
    <w:p w14:paraId="2D93ADA8" w14:textId="77777777" w:rsidR="004E3784" w:rsidRDefault="00000000">
      <w:pPr>
        <w:spacing w:before="160" w:after="80"/>
      </w:pPr>
      <w:r>
        <w:rPr>
          <w:b/>
          <w:bCs/>
          <w:color w:val="1A5276"/>
        </w:rPr>
        <w:t>Why utilization matters</w:t>
      </w:r>
    </w:p>
    <w:p w14:paraId="1579CF8A" w14:textId="77777777" w:rsidR="004E3784" w:rsidRDefault="00000000">
      <w:pPr>
        <w:spacing w:after="160" w:line="280" w:lineRule="auto"/>
        <w:jc w:val="both"/>
      </w:pPr>
      <w:r>
        <w:t xml:space="preserve">Total spending is one </w:t>
      </w:r>
      <w:proofErr w:type="gramStart"/>
      <w:r>
        <w:t>feature, but</w:t>
      </w:r>
      <w:proofErr w:type="gramEnd"/>
      <w:r>
        <w:t xml:space="preserve"> breaking it down by care type tells us more about what drives costs. A patient with high inpatient stays is very different from a patient with high outpatient visits — the clinical and cost drivers are different. By looking at each type separately, we can see which dimension of care use best predicts future high costs.</w:t>
      </w:r>
    </w:p>
    <w:p w14:paraId="7D1B9BE0" w14:textId="77777777" w:rsidR="004E3784" w:rsidRDefault="00000000">
      <w:pPr>
        <w:spacing w:before="160" w:after="80"/>
      </w:pPr>
      <w:r>
        <w:rPr>
          <w:b/>
          <w:bCs/>
          <w:color w:val="1A5276"/>
        </w:rPr>
        <w:t>Why hide outliers?</w:t>
      </w:r>
    </w:p>
    <w:p w14:paraId="2737C9CD" w14:textId="77777777" w:rsidR="004E3784" w:rsidRDefault="00000000">
      <w:pPr>
        <w:spacing w:after="160" w:line="280" w:lineRule="auto"/>
        <w:jc w:val="both"/>
      </w:pPr>
      <w:r>
        <w:t xml:space="preserve">We used </w:t>
      </w:r>
      <w:proofErr w:type="spellStart"/>
      <w:r>
        <w:t>showfliers</w:t>
      </w:r>
      <w:proofErr w:type="spellEnd"/>
      <w:r>
        <w:t>=False because our spending data has extreme outliers — patients with tens of thousands of carrier claims, for example. Showing those outliers would compress the main body of the box plots into a tiny area, making it impossible to see the differences between groups for the typical patient. Hiding them lets us focus on the interquartile range where most patients sit.</w:t>
      </w:r>
    </w:p>
    <w:p w14:paraId="224586D4" w14:textId="77777777" w:rsidR="004E3784" w:rsidRDefault="00000000">
      <w:pPr>
        <w:pBdr>
          <w:left w:val="single" w:sz="16" w:space="8" w:color="27AE60"/>
        </w:pBdr>
        <w:shd w:val="clear" w:color="auto" w:fill="E9F7EF"/>
        <w:spacing w:before="120" w:after="120" w:line="280" w:lineRule="auto"/>
        <w:ind w:left="360"/>
      </w:pPr>
      <w:r>
        <w:rPr>
          <w:b/>
          <w:bCs/>
        </w:rPr>
        <w:t xml:space="preserve">Finding: </w:t>
      </w:r>
      <w:r>
        <w:t>High-cost patients have notably higher inpatient utilization (median 2 claims vs 1 for non-high-cost) with a much wider spread. Outpatient and carrier patterns are more similar between groups, with high-cost patients showing wider variability rather than consistently higher medians. This suggests inpatient hospitalizations are the strongest utilization signal for future high-cost status.</w:t>
      </w:r>
    </w:p>
    <w:p w14:paraId="6052462F" w14:textId="77777777" w:rsidR="004E3784" w:rsidRDefault="00000000">
      <w:pPr>
        <w:pBdr>
          <w:bottom w:val="single" w:sz="8" w:space="4" w:color="1F3864"/>
        </w:pBdr>
        <w:spacing w:before="320" w:after="140"/>
      </w:pPr>
      <w:r>
        <w:rPr>
          <w:b/>
          <w:bCs/>
          <w:color w:val="1F3864"/>
          <w:sz w:val="28"/>
          <w:szCs w:val="28"/>
        </w:rPr>
        <w:t>STEP 10: BASELINE MODEL — LOGISTIC REGRESSION (Cell 9)</w:t>
      </w:r>
    </w:p>
    <w:p w14:paraId="4F5B6ABD" w14:textId="77777777" w:rsidR="004E3784" w:rsidRDefault="00000000">
      <w:pPr>
        <w:spacing w:before="160" w:after="80"/>
      </w:pPr>
      <w:r>
        <w:rPr>
          <w:b/>
          <w:bCs/>
          <w:color w:val="1A5276"/>
        </w:rPr>
        <w:t>Feature selection — what went into the model</w:t>
      </w:r>
    </w:p>
    <w:p w14:paraId="011AC38F" w14:textId="77777777" w:rsidR="004E3784" w:rsidRDefault="00000000">
      <w:pPr>
        <w:spacing w:after="160" w:line="280" w:lineRule="auto"/>
        <w:jc w:val="both"/>
      </w:pPr>
      <w:r>
        <w:t>We selected 14 features: TOTAL_PMT, INP_PMT, OUT_PMT, CAR_PMT, INP_STAYS, INP_DAYS, OUT_VISITS, CAR_CLAIMS, AGE_AT_END_REF_YR, SEX_IDENT_CD, BENE_RACE_CD, BENE_HI_CVRAGE_TOT_MONS, BENE_SMI_CVRAGE_TOT_MONS, and BENE_HMO_CVRAGE_TOT_MONS. These cover prior-year spending, utilization intensity by claim type, and key demographics. We deliberately excluded columns with no variation (dual eligibility) and identifier columns (BENE_ID).</w:t>
      </w:r>
    </w:p>
    <w:p w14:paraId="7ACCF1D4" w14:textId="77777777" w:rsidR="004E3784" w:rsidRDefault="00000000">
      <w:pPr>
        <w:spacing w:before="160" w:after="80"/>
      </w:pPr>
      <w:r>
        <w:rPr>
          <w:b/>
          <w:bCs/>
          <w:color w:val="1A5276"/>
        </w:rPr>
        <w:t>Train/test split — why 70/30 and why stratified?</w:t>
      </w:r>
    </w:p>
    <w:p w14:paraId="23664AA7" w14:textId="77777777" w:rsidR="004E3784" w:rsidRDefault="00000000">
      <w:pPr>
        <w:spacing w:after="160" w:line="280" w:lineRule="auto"/>
        <w:jc w:val="both"/>
      </w:pPr>
      <w:r>
        <w:t>We split the data 70% for training and 30% for testing. We set stratify=y which ensures that both the training and test sets have the same 5:95 class ratio. Without stratification, random chance could put most of the 167 high-cost patients into training and leave only a handful in the test set, making evaluation unreliable.</w:t>
      </w:r>
    </w:p>
    <w:p w14:paraId="264AB89E" w14:textId="77777777" w:rsidR="004E3784" w:rsidRDefault="00000000">
      <w:pPr>
        <w:spacing w:before="160" w:after="80"/>
      </w:pPr>
      <w:r>
        <w:rPr>
          <w:b/>
          <w:bCs/>
          <w:color w:val="1A5276"/>
        </w:rPr>
        <w:t xml:space="preserve">Feature scaling — why </w:t>
      </w:r>
      <w:proofErr w:type="spellStart"/>
      <w:r>
        <w:rPr>
          <w:b/>
          <w:bCs/>
          <w:color w:val="1A5276"/>
        </w:rPr>
        <w:t>StandardScaler</w:t>
      </w:r>
      <w:proofErr w:type="spellEnd"/>
      <w:r>
        <w:rPr>
          <w:b/>
          <w:bCs/>
          <w:color w:val="1A5276"/>
        </w:rPr>
        <w:t>?</w:t>
      </w:r>
    </w:p>
    <w:p w14:paraId="1B9957F9" w14:textId="77777777" w:rsidR="004E3784" w:rsidRDefault="00000000">
      <w:pPr>
        <w:spacing w:after="160" w:line="280" w:lineRule="auto"/>
        <w:jc w:val="both"/>
      </w:pPr>
      <w:r>
        <w:t xml:space="preserve">Logistic Regression is sensitive to the scale of features. TOTAL_PMT ranges from 0 to millions while AGE ranges from 18 to 110. Without scaling, the model would give enormous weight to spending features simply because their numerical values are larger. </w:t>
      </w:r>
      <w:proofErr w:type="spellStart"/>
      <w:r>
        <w:t>StandardScaler</w:t>
      </w:r>
      <w:proofErr w:type="spellEnd"/>
      <w:r>
        <w:t xml:space="preserve"> transforms each feature to have mean 0 and standard deviation 1, putting all features on the same footing.</w:t>
      </w:r>
    </w:p>
    <w:p w14:paraId="64D0A560" w14:textId="77777777" w:rsidR="004E3784" w:rsidRDefault="00000000">
      <w:pPr>
        <w:spacing w:before="160" w:after="80"/>
      </w:pPr>
      <w:r>
        <w:rPr>
          <w:b/>
          <w:bCs/>
          <w:color w:val="1A5276"/>
        </w:rPr>
        <w:t>SMOTE — why here and not before the split?</w:t>
      </w:r>
    </w:p>
    <w:p w14:paraId="33653D60" w14:textId="77777777" w:rsidR="004E3784" w:rsidRDefault="00000000">
      <w:pPr>
        <w:spacing w:after="160" w:line="280" w:lineRule="auto"/>
        <w:jc w:val="both"/>
      </w:pPr>
      <w:r>
        <w:lastRenderedPageBreak/>
        <w:t>We applied SMOTE only to the training data, after the split. This is critical. If we applied SMOTE before splitting, some of the synthetic minority samples created from real patients would end up in both training and test sets — the model would effectively be tested on data derived from its own training data, giving artificially inflated performance. SMOTE after splitting means the test set contains only real patients.</w:t>
      </w:r>
    </w:p>
    <w:p w14:paraId="4DF05C1F" w14:textId="77777777" w:rsidR="004E3784" w:rsidRDefault="00000000">
      <w:pPr>
        <w:spacing w:after="160" w:line="280" w:lineRule="auto"/>
        <w:jc w:val="both"/>
      </w:pPr>
      <w:r>
        <w:t>After SMOTE, our training set went from 2,336 total samples (with 117 high-cost) to 4,440 samples (2,220 each class). Now the model sees equal numbers of both classes during training.</w:t>
      </w:r>
    </w:p>
    <w:p w14:paraId="190AFFB5" w14:textId="77777777" w:rsidR="004E3784" w:rsidRDefault="00000000">
      <w:pPr>
        <w:spacing w:before="160" w:after="80"/>
      </w:pPr>
      <w:r>
        <w:rPr>
          <w:b/>
          <w:bCs/>
          <w:color w:val="1A5276"/>
        </w:rPr>
        <w:t>Logistic Regression parameters</w:t>
      </w:r>
    </w:p>
    <w:p w14:paraId="5600928D" w14:textId="77777777" w:rsidR="004E3784" w:rsidRDefault="00000000">
      <w:pPr>
        <w:spacing w:after="160" w:line="280" w:lineRule="auto"/>
        <w:jc w:val="both"/>
      </w:pPr>
      <w:r>
        <w:t xml:space="preserve">We used C=1.0 (default L2 regularization strength) and </w:t>
      </w:r>
      <w:proofErr w:type="spellStart"/>
      <w:r>
        <w:t>max_iter</w:t>
      </w:r>
      <w:proofErr w:type="spellEnd"/>
      <w:r>
        <w:t>=1000 (enough iterations to ensure convergence). L2 regularization prevents overfitting by penalizing large coefficients.</w:t>
      </w:r>
    </w:p>
    <w:p w14:paraId="6F031638" w14:textId="77777777" w:rsidR="004E3784" w:rsidRDefault="00000000">
      <w:pPr>
        <w:spacing w:before="160" w:after="80"/>
      </w:pPr>
      <w:r>
        <w:rPr>
          <w:b/>
          <w:bCs/>
          <w:color w:val="1A5276"/>
        </w:rPr>
        <w:t>Evaluation — AUC-ROC of 0.828</w:t>
      </w:r>
    </w:p>
    <w:p w14:paraId="64784ADE" w14:textId="77777777" w:rsidR="004E3784" w:rsidRDefault="00000000">
      <w:pPr>
        <w:spacing w:after="160" w:line="280" w:lineRule="auto"/>
        <w:jc w:val="both"/>
      </w:pPr>
      <w:r>
        <w:t xml:space="preserve">AUC of 0.828 means our model correctly ranks a randomly selected high-cost patient above a randomly selected non-high-cost patient 82.8% of the time. To put this in context: 0.5 is random guessing, 0.7 is considered acceptable in clinical prediction, 0.8 is considered good, and above 0.85 is considered excellent. Our baseline of 0.828 is in the good-to-excellent range and is consistent with </w:t>
      </w:r>
      <w:proofErr w:type="spellStart"/>
      <w:r>
        <w:t>Chechulin</w:t>
      </w:r>
      <w:proofErr w:type="spellEnd"/>
      <w:r>
        <w:t xml:space="preserve"> et al. (2014) who reported AUCs of 0.78-0.82 for similar models.</w:t>
      </w:r>
    </w:p>
    <w:p w14:paraId="75DD0F78" w14:textId="77777777" w:rsidR="004E3784" w:rsidRDefault="00000000">
      <w:pPr>
        <w:spacing w:before="160" w:after="80"/>
      </w:pPr>
      <w:r>
        <w:rPr>
          <w:b/>
          <w:bCs/>
          <w:color w:val="1A5276"/>
        </w:rPr>
        <w:t>Recall of 0.64 — what does it mean operationally?</w:t>
      </w:r>
    </w:p>
    <w:p w14:paraId="3CA77338" w14:textId="77777777" w:rsidR="004E3784" w:rsidRDefault="00000000">
      <w:pPr>
        <w:spacing w:after="160" w:line="280" w:lineRule="auto"/>
        <w:jc w:val="both"/>
      </w:pPr>
      <w:r>
        <w:t xml:space="preserve">Recall of 0.64 for high-cost patients means we correctly identify 64% of future high-cost patients before they become expensive. In a care management context with 1,000 patients and 50 who will become </w:t>
      </w:r>
      <w:proofErr w:type="gramStart"/>
      <w:r>
        <w:t>high-cost</w:t>
      </w:r>
      <w:proofErr w:type="gramEnd"/>
      <w:r>
        <w:t>: our model would correctly flag 32 of those 50 for proactive outreach. It would miss 18. Whether this is good enough depends on the cost of outreach versus the cost of a missed high-cost patient.</w:t>
      </w:r>
    </w:p>
    <w:p w14:paraId="7EFBF226" w14:textId="77777777" w:rsidR="004E3784" w:rsidRDefault="00000000">
      <w:pPr>
        <w:pBdr>
          <w:left w:val="single" w:sz="16" w:space="8" w:color="27AE60"/>
        </w:pBdr>
        <w:shd w:val="clear" w:color="auto" w:fill="E9F7EF"/>
        <w:spacing w:before="120" w:after="120" w:line="280" w:lineRule="auto"/>
        <w:ind w:left="360"/>
      </w:pPr>
      <w:r>
        <w:rPr>
          <w:b/>
          <w:bCs/>
        </w:rPr>
        <w:t xml:space="preserve">Overall result: </w:t>
      </w:r>
      <w:r>
        <w:t xml:space="preserve">Our Logistic Regression baseline achieves AUC = 0.828 with recall = 0.64 for high-cost patients. This is a strong baseline that already demonstrates our approach works. The </w:t>
      </w:r>
      <w:proofErr w:type="spellStart"/>
      <w:r>
        <w:t>XGBoost</w:t>
      </w:r>
      <w:proofErr w:type="spellEnd"/>
      <w:r>
        <w:t xml:space="preserve"> model planned next is expected to push AUC above 0.85 and improve recall further.</w:t>
      </w:r>
    </w:p>
    <w:p w14:paraId="22858E99" w14:textId="77777777" w:rsidR="004E3784" w:rsidRDefault="00000000">
      <w:r>
        <w:br w:type="page"/>
      </w:r>
    </w:p>
    <w:p w14:paraId="78BC418B" w14:textId="77777777" w:rsidR="004E3784" w:rsidRDefault="00000000">
      <w:pPr>
        <w:pBdr>
          <w:bottom w:val="single" w:sz="8" w:space="4" w:color="1F3864"/>
        </w:pBdr>
        <w:spacing w:before="320" w:after="140"/>
      </w:pPr>
      <w:r>
        <w:rPr>
          <w:b/>
          <w:bCs/>
          <w:color w:val="1F3864"/>
          <w:sz w:val="28"/>
          <w:szCs w:val="28"/>
        </w:rPr>
        <w:lastRenderedPageBreak/>
        <w:t>WHAT COMES NEXT</w:t>
      </w:r>
    </w:p>
    <w:p w14:paraId="692B7A03" w14:textId="77777777" w:rsidR="004E3784" w:rsidRDefault="00000000">
      <w:pPr>
        <w:spacing w:before="220" w:after="100"/>
      </w:pPr>
      <w:proofErr w:type="spellStart"/>
      <w:r>
        <w:rPr>
          <w:b/>
          <w:bCs/>
          <w:color w:val="2E75B6"/>
          <w:sz w:val="24"/>
          <w:szCs w:val="24"/>
        </w:rPr>
        <w:t>XGBoost</w:t>
      </w:r>
      <w:proofErr w:type="spellEnd"/>
      <w:r>
        <w:rPr>
          <w:b/>
          <w:bCs/>
          <w:color w:val="2E75B6"/>
          <w:sz w:val="24"/>
          <w:szCs w:val="24"/>
        </w:rPr>
        <w:t xml:space="preserve"> Model</w:t>
      </w:r>
    </w:p>
    <w:p w14:paraId="43F4C358" w14:textId="77777777" w:rsidR="004E3784" w:rsidRDefault="00000000">
      <w:pPr>
        <w:spacing w:after="160" w:line="280" w:lineRule="auto"/>
        <w:jc w:val="both"/>
      </w:pPr>
      <w:r>
        <w:t xml:space="preserve">We will train an </w:t>
      </w:r>
      <w:proofErr w:type="spellStart"/>
      <w:r>
        <w:t>XGBoost</w:t>
      </w:r>
      <w:proofErr w:type="spellEnd"/>
      <w:r>
        <w:t xml:space="preserve"> gradient boosting model on the same features with cross-validation to tune hyperparameters (learning rate, max depth, number of trees). </w:t>
      </w:r>
      <w:proofErr w:type="spellStart"/>
      <w:r>
        <w:t>XGBoost</w:t>
      </w:r>
      <w:proofErr w:type="spellEnd"/>
      <w:r>
        <w:t xml:space="preserve"> should outperform Logistic Regression because it captures non-linear interactions between features — for example, the combination of high inpatient stays AND high age may be more predictive than either variable alone, </w:t>
      </w:r>
      <w:proofErr w:type="gramStart"/>
      <w:r>
        <w:t>and</w:t>
      </w:r>
      <w:proofErr w:type="gramEnd"/>
      <w:r>
        <w:t xml:space="preserve"> </w:t>
      </w:r>
      <w:proofErr w:type="spellStart"/>
      <w:r>
        <w:t>XGBoost</w:t>
      </w:r>
      <w:proofErr w:type="spellEnd"/>
      <w:r>
        <w:t xml:space="preserve"> can learn this automatically.</w:t>
      </w:r>
    </w:p>
    <w:p w14:paraId="1FF6E348" w14:textId="77777777" w:rsidR="004E3784" w:rsidRDefault="00000000">
      <w:pPr>
        <w:spacing w:before="220" w:after="100"/>
      </w:pPr>
      <w:r>
        <w:rPr>
          <w:b/>
          <w:bCs/>
          <w:color w:val="2E75B6"/>
          <w:sz w:val="24"/>
          <w:szCs w:val="24"/>
        </w:rPr>
        <w:t>SHAP Analysis</w:t>
      </w:r>
    </w:p>
    <w:p w14:paraId="5D7A129A" w14:textId="77777777" w:rsidR="004E3784" w:rsidRDefault="00000000">
      <w:pPr>
        <w:spacing w:after="160" w:line="280" w:lineRule="auto"/>
        <w:jc w:val="both"/>
      </w:pPr>
      <w:r>
        <w:t xml:space="preserve">We will run SHAP on the trained </w:t>
      </w:r>
      <w:proofErr w:type="spellStart"/>
      <w:r>
        <w:t>XGBoost</w:t>
      </w:r>
      <w:proofErr w:type="spellEnd"/>
      <w:r>
        <w:t xml:space="preserve"> model to produce two types of outputs: a global feature importance plot showing which features matter most across all patients, and individual explanation plots showing why specific patients were flagged as high-risk. The expected top features are prior total spending, inpatient stay count, and age.</w:t>
      </w:r>
    </w:p>
    <w:p w14:paraId="2F2888CB" w14:textId="77777777" w:rsidR="004E3784" w:rsidRDefault="00000000">
      <w:pPr>
        <w:spacing w:before="220" w:after="100"/>
      </w:pPr>
      <w:r>
        <w:rPr>
          <w:b/>
          <w:bCs/>
          <w:color w:val="2E75B6"/>
          <w:sz w:val="24"/>
          <w:szCs w:val="24"/>
        </w:rPr>
        <w:t>Final Report</w:t>
      </w:r>
    </w:p>
    <w:p w14:paraId="4114AE56" w14:textId="77777777" w:rsidR="004E3784" w:rsidRDefault="00000000">
      <w:pPr>
        <w:spacing w:after="160" w:line="280" w:lineRule="auto"/>
        <w:jc w:val="both"/>
      </w:pPr>
      <w:r>
        <w:t xml:space="preserve">The final report (due May 6) needs to be 4 pages plus appendices and include: introduction, methods, results with benchmark comparison to </w:t>
      </w:r>
      <w:proofErr w:type="spellStart"/>
      <w:r>
        <w:t>Chechulin</w:t>
      </w:r>
      <w:proofErr w:type="spellEnd"/>
      <w:r>
        <w:t xml:space="preserve"> et al. and Rose, conclusions with clinical recommendations, Appendix A with all figures properly labeled, and Appendix B with full code.</w:t>
      </w:r>
    </w:p>
    <w:p w14:paraId="5170E3DF" w14:textId="77777777" w:rsidR="004E3784" w:rsidRDefault="00000000">
      <w:pPr>
        <w:spacing w:before="220" w:after="100"/>
      </w:pPr>
      <w:r>
        <w:rPr>
          <w:b/>
          <w:bCs/>
          <w:color w:val="2E75B6"/>
          <w:sz w:val="24"/>
          <w:szCs w:val="24"/>
        </w:rPr>
        <w:t>Presentation</w:t>
      </w:r>
    </w:p>
    <w:p w14:paraId="72E2B88D" w14:textId="77777777" w:rsidR="004E3784" w:rsidRDefault="00000000">
      <w:pPr>
        <w:spacing w:after="160" w:line="280" w:lineRule="auto"/>
        <w:jc w:val="both"/>
      </w:pPr>
      <w:r>
        <w:t>The April 29 presentation is 7 minutes, 7 slides, where another team plays the role of an ACO medical director. We need to present the problem, our data, our method, our results, and our recommendation in a way that a clinical decision-maker — not a data scientist — can understand and act on.</w:t>
      </w:r>
    </w:p>
    <w:p w14:paraId="7ECEF18E" w14:textId="77777777" w:rsidR="004E3784" w:rsidRDefault="00000000">
      <w:pPr>
        <w:pBdr>
          <w:left w:val="single" w:sz="16" w:space="8" w:color="2E75B6"/>
        </w:pBdr>
        <w:shd w:val="clear" w:color="auto" w:fill="E8F4FD"/>
        <w:spacing w:before="120" w:after="120" w:line="280" w:lineRule="auto"/>
        <w:ind w:left="360"/>
      </w:pPr>
      <w:r>
        <w:t xml:space="preserve">The one-sentence pitch for the presentation: Our model can identify 64% of patients who will become </w:t>
      </w:r>
      <w:proofErr w:type="gramStart"/>
      <w:r>
        <w:t>top-5</w:t>
      </w:r>
      <w:proofErr w:type="gramEnd"/>
      <w:r>
        <w:t>% Medicare spenders next year using only prior claims data, enabling care management teams to intervene proactively and reduce avoidable hospitalizations.</w:t>
      </w:r>
    </w:p>
    <w:sectPr w:rsidR="004E3784">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113601"/>
    <w:multiLevelType w:val="hybridMultilevel"/>
    <w:tmpl w:val="0D32A262"/>
    <w:lvl w:ilvl="0" w:tplc="FFACF664">
      <w:start w:val="1"/>
      <w:numFmt w:val="bullet"/>
      <w:lvlText w:val="•"/>
      <w:lvlJc w:val="left"/>
      <w:pPr>
        <w:ind w:left="720" w:hanging="360"/>
      </w:pPr>
    </w:lvl>
    <w:lvl w:ilvl="1" w:tplc="1D3CEFA8">
      <w:numFmt w:val="decimal"/>
      <w:lvlText w:val=""/>
      <w:lvlJc w:val="left"/>
    </w:lvl>
    <w:lvl w:ilvl="2" w:tplc="8B1C19E2">
      <w:numFmt w:val="decimal"/>
      <w:lvlText w:val=""/>
      <w:lvlJc w:val="left"/>
    </w:lvl>
    <w:lvl w:ilvl="3" w:tplc="386AABE8">
      <w:numFmt w:val="decimal"/>
      <w:lvlText w:val=""/>
      <w:lvlJc w:val="left"/>
    </w:lvl>
    <w:lvl w:ilvl="4" w:tplc="5DBC79B4">
      <w:numFmt w:val="decimal"/>
      <w:lvlText w:val=""/>
      <w:lvlJc w:val="left"/>
    </w:lvl>
    <w:lvl w:ilvl="5" w:tplc="70B0A5C0">
      <w:numFmt w:val="decimal"/>
      <w:lvlText w:val=""/>
      <w:lvlJc w:val="left"/>
    </w:lvl>
    <w:lvl w:ilvl="6" w:tplc="5C46544A">
      <w:numFmt w:val="decimal"/>
      <w:lvlText w:val=""/>
      <w:lvlJc w:val="left"/>
    </w:lvl>
    <w:lvl w:ilvl="7" w:tplc="034CCA60">
      <w:numFmt w:val="decimal"/>
      <w:lvlText w:val=""/>
      <w:lvlJc w:val="left"/>
    </w:lvl>
    <w:lvl w:ilvl="8" w:tplc="8146D930">
      <w:numFmt w:val="decimal"/>
      <w:lvlText w:val=""/>
      <w:lvlJc w:val="left"/>
    </w:lvl>
  </w:abstractNum>
  <w:abstractNum w:abstractNumId="1" w15:restartNumberingAfterBreak="0">
    <w:nsid w:val="5716206C"/>
    <w:multiLevelType w:val="hybridMultilevel"/>
    <w:tmpl w:val="1DBABD7A"/>
    <w:lvl w:ilvl="0" w:tplc="66B0E47C">
      <w:start w:val="1"/>
      <w:numFmt w:val="bullet"/>
      <w:lvlText w:val="●"/>
      <w:lvlJc w:val="left"/>
      <w:pPr>
        <w:ind w:left="720" w:hanging="360"/>
      </w:pPr>
    </w:lvl>
    <w:lvl w:ilvl="1" w:tplc="E656093C">
      <w:start w:val="1"/>
      <w:numFmt w:val="bullet"/>
      <w:lvlText w:val="○"/>
      <w:lvlJc w:val="left"/>
      <w:pPr>
        <w:ind w:left="1440" w:hanging="360"/>
      </w:pPr>
    </w:lvl>
    <w:lvl w:ilvl="2" w:tplc="B3B00240">
      <w:start w:val="1"/>
      <w:numFmt w:val="bullet"/>
      <w:lvlText w:val="■"/>
      <w:lvlJc w:val="left"/>
      <w:pPr>
        <w:ind w:left="2160" w:hanging="360"/>
      </w:pPr>
    </w:lvl>
    <w:lvl w:ilvl="3" w:tplc="AB80EF68">
      <w:start w:val="1"/>
      <w:numFmt w:val="bullet"/>
      <w:lvlText w:val="●"/>
      <w:lvlJc w:val="left"/>
      <w:pPr>
        <w:ind w:left="2880" w:hanging="360"/>
      </w:pPr>
    </w:lvl>
    <w:lvl w:ilvl="4" w:tplc="EC286662">
      <w:start w:val="1"/>
      <w:numFmt w:val="bullet"/>
      <w:lvlText w:val="○"/>
      <w:lvlJc w:val="left"/>
      <w:pPr>
        <w:ind w:left="3600" w:hanging="360"/>
      </w:pPr>
    </w:lvl>
    <w:lvl w:ilvl="5" w:tplc="2EB8BEEE">
      <w:start w:val="1"/>
      <w:numFmt w:val="bullet"/>
      <w:lvlText w:val="■"/>
      <w:lvlJc w:val="left"/>
      <w:pPr>
        <w:ind w:left="4320" w:hanging="360"/>
      </w:pPr>
    </w:lvl>
    <w:lvl w:ilvl="6" w:tplc="46D48962">
      <w:start w:val="1"/>
      <w:numFmt w:val="bullet"/>
      <w:lvlText w:val="●"/>
      <w:lvlJc w:val="left"/>
      <w:pPr>
        <w:ind w:left="5040" w:hanging="360"/>
      </w:pPr>
    </w:lvl>
    <w:lvl w:ilvl="7" w:tplc="04AA6554">
      <w:start w:val="1"/>
      <w:numFmt w:val="bullet"/>
      <w:lvlText w:val="●"/>
      <w:lvlJc w:val="left"/>
      <w:pPr>
        <w:ind w:left="5760" w:hanging="360"/>
      </w:pPr>
    </w:lvl>
    <w:lvl w:ilvl="8" w:tplc="CE786D98">
      <w:start w:val="1"/>
      <w:numFmt w:val="bullet"/>
      <w:lvlText w:val="●"/>
      <w:lvlJc w:val="left"/>
      <w:pPr>
        <w:ind w:left="6480" w:hanging="360"/>
      </w:pPr>
    </w:lvl>
  </w:abstractNum>
  <w:num w:numId="1" w16cid:durableId="1475372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784"/>
    <w:rsid w:val="003F3A50"/>
    <w:rsid w:val="004E3784"/>
    <w:rsid w:val="005242D2"/>
    <w:rsid w:val="00595133"/>
    <w:rsid w:val="00876C35"/>
    <w:rsid w:val="00AF2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A23D4F"/>
  <w15:docId w15:val="{053FDA29-D901-6E4F-B06F-11ACA62D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2604</Words>
  <Characters>14848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Sagarika R</cp:lastModifiedBy>
  <cp:revision>2</cp:revision>
  <dcterms:created xsi:type="dcterms:W3CDTF">2026-04-16T23:55:00Z</dcterms:created>
  <dcterms:modified xsi:type="dcterms:W3CDTF">2026-04-29T23:27:00Z</dcterms:modified>
</cp:coreProperties>
</file>