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E3A8A"/>
          <w:sz w:val="50"/>
        </w:rPr>
        <w:t>API Research — External Dependencies of the Platform</w:t>
      </w:r>
    </w:p>
    <w:p>
      <w:pPr>
        <w:spacing w:after="200"/>
        <w:pBdr>
          <w:bottom w:val="single" w:sz="14" w:space="6" w:color="1E3A8A"/>
        </w:pBdr>
      </w:pPr>
      <w:r>
        <w:rPr>
          <w:rFonts w:ascii="Arial" w:hAnsi="Arial"/>
          <w:b w:val="0"/>
          <w:i/>
          <w:color w:val="6B7280"/>
          <w:sz w:val="19"/>
        </w:rPr>
        <w:t>Document 05 of 07 · Autonomous SEO Optimization Platform · Planning Package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1   </w:t>
      </w:r>
      <w:r>
        <w:rPr>
          <w:rFonts w:ascii="Arial" w:hAnsi="Arial"/>
          <w:b/>
          <w:i w:val="0"/>
          <w:color w:val="1E3A8A"/>
          <w:sz w:val="28"/>
        </w:rPr>
        <w:t>Executive summary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This document answers one question: </w:t>
      </w:r>
      <w:r>
        <w:rPr>
          <w:rFonts w:ascii="Arial" w:hAnsi="Arial"/>
          <w:b/>
          <w:i w:val="0"/>
          <w:color w:val="111827"/>
          <w:sz w:val="21"/>
        </w:rPr>
        <w:t>does every stage of the Platform's loop — Discover → Analyze → Identify → Decide → Optimize → Validate → Deploy → Monitor → Measure → Re-optimize — have a workable external API behind it, and at what limits, latency, and cost?</w:t>
      </w:r>
      <w:r>
        <w:rPr>
          <w:rFonts w:ascii="Arial" w:hAnsi="Arial"/>
          <w:b w:val="0"/>
          <w:i w:val="0"/>
          <w:color w:val="374151"/>
          <w:sz w:val="21"/>
        </w:rPr>
        <w:t xml:space="preserve"> The answer is yes, with no stage blocked, but six external constraints were strong enough to shape the architecture itself rather than merely its parameters: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Google Search Console data lags 2–3 days, is retained only 16 months°, and hides ~47%° of clicks behind anonymized queries</w:t>
      </w:r>
      <w:r>
        <w:rPr>
          <w:rFonts w:ascii="Arial" w:hAnsi="Arial"/>
          <w:b w:val="0"/>
          <w:i w:val="0"/>
          <w:color w:val="374151"/>
          <w:sz w:val="21"/>
        </w:rPr>
        <w:t xml:space="preserve"> [2][5][6]. Consequence: the Platform warehouses every tenant's GSC data permanently from day one, computes page-level metrics from page-grouped pulls (never by summing query rows), and starts every post-change evaluation clock at verified recrawl, not at deploy.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The URL Inspection API is capped at 2,000 inspections/day per property</w:t>
      </w:r>
      <w:r>
        <w:rPr>
          <w:rFonts w:ascii="Arial" w:hAnsi="Arial"/>
          <w:b w:val="0"/>
          <w:i w:val="0"/>
          <w:color w:val="374151"/>
          <w:sz w:val="21"/>
        </w:rPr>
        <w:t xml:space="preserve"> [1] — a 100,000-page site takes 50 days to sweep once. Consequence: index verification is a budgeted sampling layer prioritized by opportunity score, never a full-coverage guarantee.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Google's Rich Results Test has no public API</w:t>
      </w:r>
      <w:r>
        <w:rPr>
          <w:rFonts w:ascii="Arial" w:hAnsi="Arial"/>
          <w:b w:val="0"/>
          <w:i w:val="0"/>
          <w:color w:val="374151"/>
          <w:sz w:val="21"/>
        </w:rPr>
        <w:t xml:space="preserve"> (covered in Doc 03/06; the gap surfaces here because it removes an expected dependency). Consequence: structured-data validation is self-built, with URL Inspection's </w:t>
      </w:r>
      <w:r>
        <w:rPr>
          <w:rFonts w:ascii="Consolas" w:hAnsi="Consolas" w:cs="Consolas"/>
          <w:color w:val="111827"/>
          <w:sz w:val="19"/>
        </w:rPr>
        <w:t>richResultsResult</w:t>
      </w:r>
      <w:r>
        <w:rPr>
          <w:rFonts w:ascii="Arial" w:hAnsi="Arial"/>
          <w:b w:val="0"/>
          <w:i w:val="0"/>
          <w:color w:val="374151"/>
          <w:sz w:val="21"/>
        </w:rPr>
        <w:t xml:space="preserve"> as the post-deploy ground truth within its quota [7].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Yoast's REST surface is officially read-only, and WordPress REST silently drops unregistered SEO meta</w:t>
      </w:r>
      <w:r>
        <w:rPr>
          <w:rFonts w:ascii="Arial" w:hAnsi="Arial"/>
          <w:b w:val="0"/>
          <w:i w:val="0"/>
          <w:color w:val="374151"/>
          <w:sz w:val="21"/>
        </w:rPr>
        <w:t xml:space="preserve"> [40][41]. Consequence: a small companion plugin that registers SEO meta for REST is a mandatory part of the WordPress adapter, not an optional convenience.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Every SERP feed on the market is scraped</w:t>
      </w:r>
      <w:r>
        <w:rPr>
          <w:rFonts w:ascii="Arial" w:hAnsi="Arial"/>
          <w:b w:val="0"/>
          <w:i w:val="0"/>
          <w:color w:val="374151"/>
          <w:sz w:val="21"/>
        </w:rPr>
        <w:t xml:space="preserve"> — Google offers no official SERP API and Microsoft retired the Bing Search APIs in August 2025 [70] — and the legal ground moved in 2025–2026 (Google v. SerpApi; Reddit v. SerpApi/Oxylabs) [67][68][69]. Consequence: all SERP/keyword calls sit behind a multi-vendor </w:t>
      </w:r>
      <w:r>
        <w:rPr>
          <w:rFonts w:ascii="Consolas" w:hAnsi="Consolas" w:cs="Consolas"/>
          <w:color w:val="111827"/>
          <w:sz w:val="19"/>
        </w:rPr>
        <w:t>SerpProvider</w:t>
      </w:r>
      <w:r>
        <w:rPr>
          <w:rFonts w:ascii="Arial" w:hAnsi="Arial"/>
          <w:b w:val="0"/>
          <w:i w:val="0"/>
          <w:color w:val="374151"/>
          <w:sz w:val="21"/>
        </w:rPr>
        <w:t xml:space="preserve"> abstraction with at least two wired vendors, and GSC (first-party, fully legal) remains the primary rank/impression source.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All three AI providers now offer schema-constrained decoding, a uniform 50% batch discount, and ~0.1× cached-input pricing</w:t>
      </w:r>
      <w:r>
        <w:rPr>
          <w:rFonts w:ascii="Arial" w:hAnsi="Arial"/>
          <w:b w:val="0"/>
          <w:i w:val="0"/>
          <w:color w:val="374151"/>
          <w:sz w:val="21"/>
        </w:rPr>
        <w:t xml:space="preserve"> [81][82][83][85][87]. Consequence: the AI engine is designed as a nightly batch job with cache-ordered prompts; a full 10,000-page metadata pass costs roughly </w:t>
      </w:r>
      <w:r>
        <w:rPr>
          <w:rFonts w:ascii="Arial" w:hAnsi="Arial"/>
          <w:b/>
          <w:i w:val="0"/>
          <w:color w:val="111827"/>
          <w:sz w:val="21"/>
        </w:rPr>
        <w:t>$33–$88</w:t>
      </w:r>
      <w:r>
        <w:rPr>
          <w:rFonts w:ascii="Arial" w:hAnsi="Arial"/>
          <w:b w:val="0"/>
          <w:i w:val="0"/>
          <w:color w:val="374151"/>
          <w:sz w:val="21"/>
        </w:rPr>
        <w:t xml:space="preserve"> in model spend — $27.50–$82.50 of generation plus ~$5.60 of selective Opus judging (§10.3). Scoping that claim honestly: batching plus cache-ordered prompts are worth roughly </w:t>
      </w:r>
      <w:r>
        <w:rPr>
          <w:rFonts w:ascii="Arial" w:hAnsi="Arial"/>
          <w:b/>
          <w:i w:val="0"/>
          <w:color w:val="111827"/>
          <w:sz w:val="21"/>
        </w:rPr>
        <w:t>2–5×</w:t>
      </w:r>
      <w:r>
        <w:rPr>
          <w:rFonts w:ascii="Arial" w:hAnsi="Arial"/>
          <w:b w:val="0"/>
          <w:i w:val="0"/>
          <w:color w:val="374151"/>
          <w:sz w:val="21"/>
        </w:rPr>
        <w:t xml:space="preserve"> on their own (batch is a flat 2×; caching is ~10× but only on the cached prefix). The larger ~20–50× gap against a naive design is a </w:t>
      </w:r>
      <w:r>
        <w:rPr>
          <w:rFonts w:ascii="Arial" w:hAnsi="Arial"/>
          <w:b w:val="0"/>
          <w:i/>
          <w:color w:val="374151"/>
          <w:sz w:val="21"/>
        </w:rPr>
        <w:t>whole-stack</w:t>
      </w:r>
      <w:r>
        <w:rPr>
          <w:rFonts w:ascii="Arial" w:hAnsi="Arial"/>
          <w:b w:val="0"/>
          <w:i w:val="0"/>
          <w:color w:val="374151"/>
          <w:sz w:val="21"/>
        </w:rPr>
        <w:t xml:space="preserve"> figure that also assumes live per-call inference, Opus everywhere, headless rendering of every page, re-analysis of unchanged pages, and per-keyword live SERP calls — it belongs to the full cost architecture (model tiering, static-first crawl, content-hash change detection, incremental analysis), which is set out in Doc 03's cost envelope and carried as a cost risk in Doc 06, not to these two levers alone.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Criticality is uneven, and "hard vs. degradable" is too coarse to describe how — there are four distinct tiers, matching the legend in §11: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Platform-wide hard dependencies (3).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Arial" w:hAnsi="Arial"/>
          <w:b/>
          <w:i w:val="0"/>
          <w:color w:val="111827"/>
          <w:sz w:val="21"/>
        </w:rPr>
        <w:t>GSC</w:t>
      </w:r>
      <w:r>
        <w:rPr>
          <w:rFonts w:ascii="Arial" w:hAnsi="Arial"/>
          <w:b w:val="0"/>
          <w:i w:val="0"/>
          <w:color w:val="374151"/>
          <w:sz w:val="21"/>
        </w:rPr>
        <w:t xml:space="preserve"> (the only irreplaceable data source — Identify, Monitor, and Measure all rest on it), </w:t>
      </w:r>
      <w:r>
        <w:rPr>
          <w:rFonts w:ascii="Arial" w:hAnsi="Arial"/>
          <w:b/>
          <w:i w:val="0"/>
          <w:color w:val="111827"/>
          <w:sz w:val="21"/>
        </w:rPr>
        <w:t>GitHub</w:t>
      </w:r>
      <w:r>
        <w:rPr>
          <w:rFonts w:ascii="Arial" w:hAnsi="Arial"/>
          <w:b w:val="0"/>
          <w:i w:val="0"/>
          <w:color w:val="374151"/>
          <w:sz w:val="21"/>
        </w:rPr>
        <w:t xml:space="preserve"> (the entire code-change channel), and </w:t>
      </w:r>
      <w:r>
        <w:rPr>
          <w:rFonts w:ascii="Arial" w:hAnsi="Arial"/>
          <w:b/>
          <w:i w:val="0"/>
          <w:color w:val="111827"/>
          <w:sz w:val="21"/>
        </w:rPr>
        <w:t>at least one AI provider</w:t>
      </w:r>
      <w:r>
        <w:rPr>
          <w:rFonts w:ascii="Arial" w:hAnsi="Arial"/>
          <w:b w:val="0"/>
          <w:i w:val="0"/>
          <w:color w:val="374151"/>
          <w:sz w:val="21"/>
        </w:rPr>
        <w:t xml:space="preserve"> (the Optimize stage; mitigated by a three-vendor adapter). Lose one and a loop stage stops for every tenant.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Per-site hard dependencies.</w:t>
      </w:r>
      <w:r>
        <w:rPr>
          <w:rFonts w:ascii="Arial" w:hAnsi="Arial"/>
          <w:b w:val="0"/>
          <w:i w:val="0"/>
          <w:color w:val="374151"/>
          <w:sz w:val="21"/>
        </w:rPr>
        <w:t xml:space="preserve"> For a git-channel site on a host that sells instant rollback (Vercel or Netlify), that </w:t>
      </w:r>
      <w:r>
        <w:rPr>
          <w:rFonts w:ascii="Arial" w:hAnsi="Arial"/>
          <w:b/>
          <w:i w:val="0"/>
          <w:color w:val="111827"/>
          <w:sz w:val="21"/>
        </w:rPr>
        <w:t>deploy host</w:t>
      </w:r>
      <w:r>
        <w:rPr>
          <w:rFonts w:ascii="Arial" w:hAnsi="Arial"/>
          <w:b w:val="0"/>
          <w:i w:val="0"/>
          <w:color w:val="374151"/>
          <w:sz w:val="21"/>
        </w:rPr>
        <w:t xml:space="preserve"> is hard for Validate and Rollback: preview URLs are the unit of validation, and instant rollback is the emergency brake. §12 spells out the consequence — when a site's normally-available instant-rollback path goes </w:t>
      </w:r>
      <w:r>
        <w:rPr>
          <w:rFonts w:ascii="Arial" w:hAnsi="Arial"/>
          <w:b w:val="0"/>
          <w:i/>
          <w:color w:val="374151"/>
          <w:sz w:val="21"/>
        </w:rPr>
        <w:t>transiently</w:t>
      </w:r>
      <w:r>
        <w:rPr>
          <w:rFonts w:ascii="Arial" w:hAnsi="Arial"/>
          <w:b w:val="0"/>
          <w:i w:val="0"/>
          <w:color w:val="374151"/>
          <w:sz w:val="21"/>
        </w:rPr>
        <w:t xml:space="preserve"> unavailable the Platform </w:t>
      </w:r>
      <w:r>
        <w:rPr>
          <w:rFonts w:ascii="Arial" w:hAnsi="Arial"/>
          <w:b/>
          <w:i w:val="0"/>
          <w:color w:val="111827"/>
          <w:sz w:val="21"/>
        </w:rPr>
        <w:t>freezes new deploys to that site</w:t>
      </w:r>
      <w:r>
        <w:rPr>
          <w:rFonts w:ascii="Arial" w:hAnsi="Arial"/>
          <w:b w:val="0"/>
          <w:i w:val="0"/>
          <w:color w:val="374151"/>
          <w:sz w:val="21"/>
        </w:rPr>
        <w:t xml:space="preserve">, which is a stopped stage for that site, not graceful degradation. A host that structurally never had an instant lane (Amplify, Cloudflare Pages, Render, Fly, self-hosted Docker) is the other case and is never frozen: it onboards </w:t>
      </w:r>
      <w:r>
        <w:rPr>
          <w:rFonts w:ascii="Arial" w:hAnsi="Arial"/>
          <w:b/>
          <w:i w:val="0"/>
          <w:color w:val="111827"/>
          <w:sz w:val="21"/>
        </w:rPr>
        <w:t>git-revert-only</w:t>
      </w:r>
      <w:r>
        <w:rPr>
          <w:rFonts w:ascii="Arial" w:hAnsi="Arial"/>
          <w:b w:val="0"/>
          <w:i w:val="0"/>
          <w:color w:val="374151"/>
          <w:sz w:val="21"/>
        </w:rPr>
        <w:t xml:space="preserve"> with a tightened risk policy (Doc 03 §5.3).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Channel-fatal dependencies.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Arial" w:hAnsi="Arial"/>
          <w:b/>
          <w:i w:val="0"/>
          <w:color w:val="111827"/>
          <w:sz w:val="21"/>
        </w:rPr>
        <w:t>WordPress REST</w:t>
      </w:r>
      <w:r>
        <w:rPr>
          <w:rFonts w:ascii="Arial" w:hAnsi="Arial"/>
          <w:b w:val="0"/>
          <w:i w:val="0"/>
          <w:color w:val="374151"/>
          <w:sz w:val="21"/>
        </w:rPr>
        <w:t xml:space="preserve"> and </w:t>
      </w:r>
      <w:r>
        <w:rPr>
          <w:rFonts w:ascii="Arial" w:hAnsi="Arial"/>
          <w:b/>
          <w:i w:val="0"/>
          <w:color w:val="111827"/>
          <w:sz w:val="21"/>
        </w:rPr>
        <w:t>Shopify Admin GraphQL</w:t>
      </w:r>
      <w:r>
        <w:rPr>
          <w:rFonts w:ascii="Arial" w:hAnsi="Arial"/>
          <w:b w:val="0"/>
          <w:i w:val="0"/>
          <w:color w:val="374151"/>
          <w:sz w:val="21"/>
        </w:rPr>
        <w:t xml:space="preserve"> each carry exactly one site-platform channel; an outage stops changes on that channel while other channels continue. The </w:t>
      </w:r>
      <w:r>
        <w:rPr>
          <w:rFonts w:ascii="Arial" w:hAnsi="Arial"/>
          <w:b/>
          <w:i w:val="0"/>
          <w:color w:val="111827"/>
          <w:sz w:val="21"/>
        </w:rPr>
        <w:t>edge/custom-site channel</w:t>
      </w:r>
      <w:r>
        <w:rPr>
          <w:rFonts w:ascii="Arial" w:hAnsi="Arial"/>
          <w:b w:val="0"/>
          <w:i w:val="0"/>
          <w:color w:val="374151"/>
          <w:sz w:val="21"/>
        </w:rPr>
        <w:t xml:space="preserve"> (§7.3) is the same shape, with the extra property that the Platform sits in the serving path.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Genuinely degradable.</w:t>
      </w:r>
      <w:r>
        <w:rPr>
          <w:rFonts w:ascii="Arial" w:hAnsi="Arial"/>
          <w:b w:val="0"/>
          <w:i w:val="0"/>
          <w:color w:val="374151"/>
          <w:sz w:val="21"/>
        </w:rPr>
        <w:t xml:space="preserve"> GA4 is a veto-only signal whose absence never blocks a verdict; DataForSEO and Serper fail over to each other; Bing and IndexNow are free fire-and-forget bolt-ons; URL Inspection degrades to crawl-and-HTTP signals.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Section 11 gives the consolidated reference table; Section 12 maps API outages to loop stages.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On evidence quality.</w:t>
      </w:r>
      <w:r>
        <w:rPr>
          <w:rFonts w:ascii="Arial" w:hAnsi="Arial"/>
          <w:b w:val="0"/>
          <w:i w:val="0"/>
          <w:color w:val="374151"/>
          <w:sz w:val="21"/>
        </w:rPr>
        <w:t xml:space="preserve"> Quotas and prices are cited to primary vendor documentation and were verified in August 2026. Figures marked </w:t>
      </w:r>
      <w:r>
        <w:rPr>
          <w:rFonts w:ascii="Arial" w:hAnsi="Arial"/>
          <w:b/>
          <w:i w:val="0"/>
          <w:color w:val="111827"/>
          <w:sz w:val="21"/>
        </w:rPr>
        <w:t>°</w:t>
      </w:r>
      <w:r>
        <w:rPr>
          <w:rFonts w:ascii="Arial" w:hAnsi="Arial"/>
          <w:b w:val="0"/>
          <w:i w:val="0"/>
          <w:color w:val="374151"/>
          <w:sz w:val="21"/>
        </w:rPr>
        <w:t xml:space="preserve"> derive from </w:t>
      </w:r>
      <w:r>
        <w:rPr>
          <w:rFonts w:ascii="Arial" w:hAnsi="Arial"/>
          <w:b w:val="0"/>
          <w:i/>
          <w:color w:val="374151"/>
          <w:sz w:val="21"/>
        </w:rPr>
        <w:t>secondary</w:t>
      </w:r>
      <w:r>
        <w:rPr>
          <w:rFonts w:ascii="Arial" w:hAnsi="Arial"/>
          <w:b w:val="0"/>
          <w:i w:val="0"/>
          <w:color w:val="374151"/>
          <w:sz w:val="21"/>
        </w:rPr>
        <w:t xml:space="preserve"> sources — community-measured ceilings, semi-documented endpoints, and third-party pricing trackers — and carry correspondingly lower confidence; they are flagged inline at first use and marked in the Sources list. Where a vendor genuinely does not publish a number, this document says so rather than inventing one.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1   </w:t>
      </w:r>
      <w:r>
        <w:rPr>
          <w:rFonts w:ascii="Arial" w:hAnsi="Arial"/>
          <w:b/>
          <w:i w:val="0"/>
          <w:color w:val="1E3A8A"/>
          <w:sz w:val="28"/>
        </w:rPr>
        <w:t>How to read this document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Each section covers one API family with the same template: what it provides, auth model (scopes and verification requirements), hard quotas with exact numbers, latency/freshness, cost, the constraints that shaped the architecture, and how the Platform uses it. Where a vendor does not publish a number the template calls for — OpenAI and Gemini per-tier rate limits (§10.2), Serper throughput (§8.2) — the section says so explicitly and names the POC measurement that will close it, rather than substituting a qualitative sentence. Requirement IDs (FR-x.y / NFR-x) refer to Doc 01. Architectural picks referenced here (adapter design, GSC-first data plane, model tiering) are presented with their justification; the full comparisons live in Doc 04 (Technology Comparison).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MVP scoping note (Doc 01 §6): GSC is the sole external </w:t>
      </w:r>
      <w:r>
        <w:rPr>
          <w:rFonts w:ascii="Arial" w:hAnsi="Arial"/>
          <w:b w:val="0"/>
          <w:i/>
          <w:color w:val="374151"/>
          <w:sz w:val="21"/>
        </w:rPr>
        <w:t>data</w:t>
      </w:r>
      <w:r>
        <w:rPr>
          <w:rFonts w:ascii="Arial" w:hAnsi="Arial"/>
          <w:b w:val="0"/>
          <w:i w:val="0"/>
          <w:color w:val="374151"/>
          <w:sz w:val="21"/>
        </w:rPr>
        <w:t xml:space="preserve"> source at MVP; GA4, Shopify, the custom-site edge channel, Bing Webmaster Tools, and third-party SERP/keyword APIs are researched here in full because FR-14.1, FR-9.3, FR-9.4, and FR-5.1 require the design to accommodate them, but they ship post-MVP (conversion-based rollback signals are explicitly deferred — MVP verdicts run on GSC-only signals).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2   </w:t>
      </w:r>
      <w:r>
        <w:rPr>
          <w:rFonts w:ascii="Arial" w:hAnsi="Arial"/>
          <w:b/>
          <w:i w:val="0"/>
          <w:color w:val="1E3A8A"/>
          <w:sz w:val="28"/>
        </w:rPr>
        <w:t>Google Search Console APIs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The backbone of the Platform's measurement layer (FR-6.1–6.3, FR-5.1, FR-14.1). Free, generous, and API-first — but with structural caveats that dictate a warehouse-first design.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2.1  </w:t>
      </w:r>
      <w:r>
        <w:rPr>
          <w:rFonts w:ascii="Arial" w:hAnsi="Arial"/>
          <w:b/>
          <w:i w:val="0"/>
          <w:color w:val="1E3A8A"/>
          <w:sz w:val="24"/>
        </w:rPr>
        <w:t>Search Analytics API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What it provides.</w:t>
      </w:r>
      <w:r>
        <w:rPr>
          <w:rFonts w:ascii="Arial" w:hAnsi="Arial"/>
          <w:b w:val="0"/>
          <w:i w:val="0"/>
          <w:color w:val="374151"/>
          <w:sz w:val="21"/>
        </w:rPr>
        <w:t xml:space="preserve"> Per-property search performance: queries, pages, clicks, impressions, CTR, average position, sliced by </w:t>
      </w:r>
      <w:r>
        <w:rPr>
          <w:rFonts w:ascii="Consolas" w:hAnsi="Consolas" w:cs="Consolas"/>
          <w:color w:val="111827"/>
          <w:sz w:val="19"/>
        </w:rPr>
        <w:t>query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page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country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device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date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searchAppearance</w:t>
      </w:r>
      <w:r>
        <w:rPr>
          <w:rFonts w:ascii="Arial" w:hAnsi="Arial"/>
          <w:b w:val="0"/>
          <w:i w:val="0"/>
          <w:color w:val="374151"/>
          <w:sz w:val="21"/>
        </w:rPr>
        <w:t xml:space="preserve">, and (since April 2025) </w:t>
      </w:r>
      <w:r>
        <w:rPr>
          <w:rFonts w:ascii="Consolas" w:hAnsi="Consolas" w:cs="Consolas"/>
          <w:color w:val="111827"/>
          <w:sz w:val="19"/>
        </w:rPr>
        <w:t>hour</w:t>
      </w:r>
      <w:r>
        <w:rPr>
          <w:rFonts w:ascii="Arial" w:hAnsi="Arial"/>
          <w:b w:val="0"/>
          <w:i w:val="0"/>
          <w:color w:val="374151"/>
          <w:sz w:val="21"/>
        </w:rPr>
        <w:t xml:space="preserve"> [2][4]. Search types: </w:t>
      </w:r>
      <w:r>
        <w:rPr>
          <w:rFonts w:ascii="Consolas" w:hAnsi="Consolas" w:cs="Consolas"/>
          <w:color w:val="111827"/>
          <w:sz w:val="19"/>
        </w:rPr>
        <w:t>web</w:t>
      </w:r>
      <w:r>
        <w:rPr>
          <w:rFonts w:ascii="Arial" w:hAnsi="Arial"/>
          <w:b w:val="0"/>
          <w:i w:val="0"/>
          <w:color w:val="374151"/>
          <w:sz w:val="21"/>
        </w:rPr>
        <w:t xml:space="preserve"> (default), </w:t>
      </w:r>
      <w:r>
        <w:rPr>
          <w:rFonts w:ascii="Consolas" w:hAnsi="Consolas" w:cs="Consolas"/>
          <w:color w:val="111827"/>
          <w:sz w:val="19"/>
        </w:rPr>
        <w:t>image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video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news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googleNews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discover</w:t>
      </w:r>
      <w:r>
        <w:rPr>
          <w:rFonts w:ascii="Arial" w:hAnsi="Arial"/>
          <w:b w:val="0"/>
          <w:i w:val="0"/>
          <w:color w:val="374151"/>
          <w:sz w:val="21"/>
        </w:rPr>
        <w:t xml:space="preserve">. Filters support </w:t>
      </w:r>
      <w:r>
        <w:rPr>
          <w:rFonts w:ascii="Consolas" w:hAnsi="Consolas" w:cs="Consolas"/>
          <w:color w:val="111827"/>
          <w:sz w:val="19"/>
        </w:rPr>
        <w:t>contains</w:t>
      </w:r>
      <w:r>
        <w:rPr>
          <w:rFonts w:ascii="Arial" w:hAnsi="Arial"/>
          <w:b w:val="0"/>
          <w:i w:val="0"/>
          <w:color w:val="374151"/>
          <w:sz w:val="21"/>
        </w:rPr>
        <w:t>/</w:t>
      </w:r>
      <w:r>
        <w:rPr>
          <w:rFonts w:ascii="Consolas" w:hAnsi="Consolas" w:cs="Consolas"/>
          <w:color w:val="111827"/>
          <w:sz w:val="19"/>
        </w:rPr>
        <w:t>equals</w:t>
      </w:r>
      <w:r>
        <w:rPr>
          <w:rFonts w:ascii="Arial" w:hAnsi="Arial"/>
          <w:b w:val="0"/>
          <w:i w:val="0"/>
          <w:color w:val="374151"/>
          <w:sz w:val="21"/>
        </w:rPr>
        <w:t xml:space="preserve"> and RE2 regex (</w:t>
      </w:r>
      <w:r>
        <w:rPr>
          <w:rFonts w:ascii="Consolas" w:hAnsi="Consolas" w:cs="Consolas"/>
          <w:color w:val="111827"/>
          <w:sz w:val="19"/>
        </w:rPr>
        <w:t>includingRegex</w:t>
      </w:r>
      <w:r>
        <w:rPr>
          <w:rFonts w:ascii="Arial" w:hAnsi="Arial"/>
          <w:b w:val="0"/>
          <w:i w:val="0"/>
          <w:color w:val="374151"/>
          <w:sz w:val="21"/>
        </w:rPr>
        <w:t>/</w:t>
      </w:r>
      <w:r>
        <w:rPr>
          <w:rFonts w:ascii="Consolas" w:hAnsi="Consolas" w:cs="Consolas"/>
          <w:color w:val="111827"/>
          <w:sz w:val="19"/>
        </w:rPr>
        <w:t>excludingRegex</w:t>
      </w:r>
      <w:r>
        <w:rPr>
          <w:rFonts w:ascii="Arial" w:hAnsi="Arial"/>
          <w:b w:val="0"/>
          <w:i w:val="0"/>
          <w:color w:val="374151"/>
          <w:sz w:val="21"/>
        </w:rPr>
        <w:t>) — the workhorse for brand/non-brand splits [2].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Endpoint.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Consolas" w:hAnsi="Consolas" w:cs="Consolas"/>
          <w:color w:val="111827"/>
          <w:sz w:val="19"/>
        </w:rPr>
        <w:t>POST https://searchconsole.googleapis.com/webmasters/v3/sites/{siteUrl}/searchAnalytics/query</w:t>
      </w:r>
      <w:r>
        <w:rPr>
          <w:rFonts w:ascii="Arial" w:hAnsi="Arial"/>
          <w:b w:val="0"/>
          <w:i w:val="0"/>
          <w:color w:val="374151"/>
          <w:sz w:val="21"/>
        </w:rPr>
        <w:t>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Quotas</w:t>
      </w:r>
      <w:r>
        <w:rPr>
          <w:rFonts w:ascii="Arial" w:hAnsi="Arial"/>
          <w:b w:val="0"/>
          <w:i w:val="0"/>
          <w:color w:val="374151"/>
          <w:sz w:val="21"/>
        </w:rPr>
        <w:t xml:space="preserve"> [1]: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Quota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Per-site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1,200 queries/minute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Per-user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1,200 queries/minute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Per-project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40,000 QPM / 30,000,000 queries/day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All other GSC methods (per user)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20 QPS / 200 QPM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Row limits.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Consolas" w:hAnsi="Consolas" w:cs="Consolas"/>
          <w:color w:val="111827"/>
          <w:sz w:val="19"/>
        </w:rPr>
        <w:t>rowLimit</w:t>
      </w:r>
      <w:r>
        <w:rPr>
          <w:rFonts w:ascii="Arial" w:hAnsi="Arial"/>
          <w:b w:val="0"/>
          <w:i w:val="0"/>
          <w:color w:val="374151"/>
          <w:sz w:val="21"/>
        </w:rPr>
        <w:t xml:space="preserve"> max 25,000 per request, paginated via </w:t>
      </w:r>
      <w:r>
        <w:rPr>
          <w:rFonts w:ascii="Consolas" w:hAnsi="Consolas" w:cs="Consolas"/>
          <w:color w:val="111827"/>
          <w:sz w:val="19"/>
        </w:rPr>
        <w:t>startRow</w:t>
      </w:r>
      <w:r>
        <w:rPr>
          <w:rFonts w:ascii="Arial" w:hAnsi="Arial"/>
          <w:b w:val="0"/>
          <w:i w:val="0"/>
          <w:color w:val="374151"/>
          <w:sz w:val="21"/>
        </w:rPr>
        <w:t xml:space="preserve"> [2]. Google's own documentation states only that the API returns "top rows, not all rows" and does not publish the cut-off; the widely reproduced </w:t>
      </w:r>
      <w:r>
        <w:rPr>
          <w:rFonts w:ascii="Arial" w:hAnsi="Arial"/>
          <w:b/>
          <w:i w:val="0"/>
          <w:color w:val="111827"/>
          <w:sz w:val="21"/>
        </w:rPr>
        <w:t>~50,000 rows per day of data per site per search type°</w:t>
      </w:r>
      <w:r>
        <w:rPr>
          <w:rFonts w:ascii="Arial" w:hAnsi="Arial"/>
          <w:b w:val="0"/>
          <w:i w:val="0"/>
          <w:color w:val="374151"/>
          <w:sz w:val="21"/>
        </w:rPr>
        <w:t xml:space="preserve"> ceiling (sorted by clicks descending) is a community-measured figure [3], not a documented one. The Platform therefore treats 50k as a planning estimate and detects truncation empirically — if a day's pull returns a row count at the observed ceiling, that day is flagged as truncated rather than assumed complete. Day-by-day pulls with </w:t>
      </w:r>
      <w:r>
        <w:rPr>
          <w:rFonts w:ascii="Consolas" w:hAnsi="Consolas" w:cs="Consolas"/>
          <w:color w:val="111827"/>
          <w:sz w:val="19"/>
        </w:rPr>
        <w:t>query</w:t>
      </w:r>
      <w:r>
        <w:rPr>
          <w:rFonts w:ascii="Arial" w:hAnsi="Arial"/>
          <w:b w:val="0"/>
          <w:i w:val="0"/>
          <w:color w:val="374151"/>
          <w:sz w:val="21"/>
        </w:rPr>
        <w:t>+</w:t>
      </w:r>
      <w:r>
        <w:rPr>
          <w:rFonts w:ascii="Consolas" w:hAnsi="Consolas" w:cs="Consolas"/>
          <w:color w:val="111827"/>
          <w:sz w:val="19"/>
        </w:rPr>
        <w:t>page</w:t>
      </w:r>
      <w:r>
        <w:rPr>
          <w:rFonts w:ascii="Arial" w:hAnsi="Arial"/>
          <w:b w:val="0"/>
          <w:i w:val="0"/>
          <w:color w:val="374151"/>
          <w:sz w:val="21"/>
        </w:rPr>
        <w:t xml:space="preserve"> grouping capture the visible long tail for all but the largest properties.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Latency and freshness</w:t>
      </w:r>
      <w:r>
        <w:rPr>
          <w:rFonts w:ascii="Arial" w:hAnsi="Arial"/>
          <w:b w:val="0"/>
          <w:i w:val="0"/>
          <w:color w:val="374151"/>
          <w:sz w:val="21"/>
        </w:rPr>
        <w:t xml:space="preserve"> [2][4]: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dataState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Delay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final (default)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~2–3 days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scoring, verdicts, the warehouse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all (fresh)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hours to ~1 day, subject to revision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post-deploy guardrail monitoring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hourly_all + hour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few hours, last ~10 days only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did CTR move after a title change?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Structural caveats (the load-bearing facts):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Retention is a rolling 16 months°</w:t>
      </w:r>
      <w:r>
        <w:rPr>
          <w:rFonts w:ascii="Arial" w:hAnsi="Arial"/>
          <w:b w:val="0"/>
          <w:i w:val="0"/>
          <w:color w:val="374151"/>
          <w:sz w:val="21"/>
        </w:rPr>
        <w:t xml:space="preserve"> [5]. The Platform's decay detection needs year-over-year baselines, so every tenant's data is synced nightly and warehoused permanently — the warehouse, not the API, is the system of record. (The 16-month figure is universally reported and matches the GSC UI, but the citation to hand is a third-party explainer rather than a Google reference page; the architectural response — warehouse everything — is correct at any retention window and does not depend on the exact number.)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~46.77%° of all clicks belong to anonymized queries</w:t>
      </w:r>
      <w:r>
        <w:rPr>
          <w:rFonts w:ascii="Arial" w:hAnsi="Arial"/>
          <w:b w:val="0"/>
          <w:i w:val="0"/>
          <w:color w:val="374151"/>
          <w:sz w:val="21"/>
        </w:rPr>
        <w:t xml:space="preserve"> (Ahrefs, 146k-site study; per-site range 45–80%) [6]. This is a vendor study, not a Google-published statistic — treat the precise percentage as indicative and the </w:t>
      </w:r>
      <w:r>
        <w:rPr>
          <w:rFonts w:ascii="Arial" w:hAnsi="Arial"/>
          <w:b w:val="0"/>
          <w:i/>
          <w:color w:val="374151"/>
          <w:sz w:val="21"/>
        </w:rPr>
        <w:t>direction</w:t>
      </w:r>
      <w:r>
        <w:rPr>
          <w:rFonts w:ascii="Arial" w:hAnsi="Arial"/>
          <w:b w:val="0"/>
          <w:i w:val="0"/>
          <w:color w:val="374151"/>
          <w:sz w:val="21"/>
        </w:rPr>
        <w:t xml:space="preserve"> as certain. Query-grouped pulls silently exclude anonymized clicks; page-grouped pulls include them. Per-page metrics must therefore come from page-grouped requests, never by summing query rows.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 xml:space="preserve">An unpublished "load quota" penalizes wide </w:t>
      </w:r>
      <w:r>
        <w:rPr>
          <w:rFonts w:ascii="Consolas" w:hAnsi="Consolas" w:cs="Consolas"/>
          <w:color w:val="111827"/>
          <w:sz w:val="19"/>
        </w:rPr>
        <w:t>page</w:t>
      </w:r>
      <w:r>
        <w:rPr>
          <w:rFonts w:ascii="Arial" w:hAnsi="Arial"/>
          <w:b w:val="0"/>
          <w:i w:val="0"/>
          <w:color w:val="374151"/>
          <w:sz w:val="21"/>
        </w:rPr>
        <w:t>+</w:t>
      </w:r>
      <w:r>
        <w:rPr>
          <w:rFonts w:ascii="Consolas" w:hAnsi="Consolas" w:cs="Consolas"/>
          <w:color w:val="111827"/>
          <w:sz w:val="19"/>
        </w:rPr>
        <w:t>query</w:t>
      </w:r>
      <w:r>
        <w:rPr>
          <w:rFonts w:ascii="Arial" w:hAnsi="Arial"/>
          <w:b w:val="0"/>
          <w:i w:val="0"/>
          <w:color w:val="374151"/>
          <w:sz w:val="21"/>
        </w:rPr>
        <w:t xml:space="preserve"> pulls over long ranges [1] — another reason the sync is one-day-at-a-time.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Cost.</w:t>
      </w:r>
      <w:r>
        <w:rPr>
          <w:rFonts w:ascii="Arial" w:hAnsi="Arial"/>
          <w:b w:val="0"/>
          <w:i w:val="0"/>
          <w:color w:val="374151"/>
          <w:sz w:val="21"/>
        </w:rPr>
        <w:t xml:space="preserve"> Free.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How the Platform uses it.</w:t>
      </w:r>
      <w:r>
        <w:rPr>
          <w:rFonts w:ascii="Arial" w:hAnsi="Arial"/>
          <w:b w:val="0"/>
          <w:i w:val="0"/>
          <w:color w:val="374151"/>
          <w:sz w:val="21"/>
        </w:rPr>
        <w:t xml:space="preserve"> Nightly per-tenant sync of yesterday's final data, day-granular, both page-grouped and query+page-grouped, into the Postgres warehouse (Doc 03). This feeds the opportunity score (FR-5.2), the decay detector (FR-6.3), and the rollback engine's CUSUM (cumulative-sum change detection) and counterfactual verdicts (FR-14.x). Fresh/hourly states are reserved for the days-0–7 guardrail window after a deploy. A single GCP project's 30M queries/day comfortably covers thousands of tenants at ~2–10 requests/tenant/night.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2.2  </w:t>
      </w:r>
      <w:r>
        <w:rPr>
          <w:rFonts w:ascii="Arial" w:hAnsi="Arial"/>
          <w:b/>
          <w:i w:val="0"/>
          <w:color w:val="1E3A8A"/>
          <w:sz w:val="24"/>
        </w:rPr>
        <w:t>URL Inspection API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What it provides.</w:t>
      </w:r>
      <w:r>
        <w:rPr>
          <w:rFonts w:ascii="Arial" w:hAnsi="Arial"/>
          <w:b w:val="0"/>
          <w:i w:val="0"/>
          <w:color w:val="374151"/>
          <w:sz w:val="21"/>
        </w:rPr>
        <w:t xml:space="preserve"> Google's index-state record for one URL in a verified property: index verdict and </w:t>
      </w:r>
      <w:r>
        <w:rPr>
          <w:rFonts w:ascii="Consolas" w:hAnsi="Consolas" w:cs="Consolas"/>
          <w:color w:val="111827"/>
          <w:sz w:val="19"/>
        </w:rPr>
        <w:t>coverageState</w:t>
      </w:r>
      <w:r>
        <w:rPr>
          <w:rFonts w:ascii="Arial" w:hAnsi="Arial"/>
          <w:b w:val="0"/>
          <w:i w:val="0"/>
          <w:color w:val="374151"/>
          <w:sz w:val="21"/>
        </w:rPr>
        <w:t xml:space="preserve"> ("Submitted and indexed", "Crawled — currently not indexed"), </w:t>
      </w:r>
      <w:r>
        <w:rPr>
          <w:rFonts w:ascii="Consolas" w:hAnsi="Consolas" w:cs="Consolas"/>
          <w:color w:val="111827"/>
          <w:sz w:val="19"/>
        </w:rPr>
        <w:t>robotsTxtState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indexingState</w:t>
      </w:r>
      <w:r>
        <w:rPr>
          <w:rFonts w:ascii="Arial" w:hAnsi="Arial"/>
          <w:b w:val="0"/>
          <w:i w:val="0"/>
          <w:color w:val="374151"/>
          <w:sz w:val="21"/>
        </w:rPr>
        <w:t xml:space="preserve"> (noindex detection), </w:t>
      </w:r>
      <w:r>
        <w:rPr>
          <w:rFonts w:ascii="Consolas" w:hAnsi="Consolas" w:cs="Consolas"/>
          <w:color w:val="111827"/>
          <w:sz w:val="19"/>
        </w:rPr>
        <w:t>lastCrawlTime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pageFetchState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googleCanonical</w:t>
      </w:r>
      <w:r>
        <w:rPr>
          <w:rFonts w:ascii="Arial" w:hAnsi="Arial"/>
          <w:b w:val="0"/>
          <w:i w:val="0"/>
          <w:color w:val="374151"/>
          <w:sz w:val="21"/>
        </w:rPr>
        <w:t xml:space="preserve"> vs </w:t>
      </w:r>
      <w:r>
        <w:rPr>
          <w:rFonts w:ascii="Consolas" w:hAnsi="Consolas" w:cs="Consolas"/>
          <w:color w:val="111827"/>
          <w:sz w:val="19"/>
        </w:rPr>
        <w:t>userCanonical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crawledAs</w:t>
      </w:r>
      <w:r>
        <w:rPr>
          <w:rFonts w:ascii="Arial" w:hAnsi="Arial"/>
          <w:b w:val="0"/>
          <w:i w:val="0"/>
          <w:color w:val="374151"/>
          <w:sz w:val="21"/>
        </w:rPr>
        <w:t xml:space="preserve"> (MOBILE/DESKTOP), referring URLs, sitemap membership, plus </w:t>
      </w:r>
      <w:r>
        <w:rPr>
          <w:rFonts w:ascii="Consolas" w:hAnsi="Consolas" w:cs="Consolas"/>
          <w:color w:val="111827"/>
          <w:sz w:val="19"/>
        </w:rPr>
        <w:t>richResultsResult</w:t>
      </w:r>
      <w:r>
        <w:rPr>
          <w:rFonts w:ascii="Arial" w:hAnsi="Arial"/>
          <w:b w:val="0"/>
          <w:i w:val="0"/>
          <w:color w:val="374151"/>
          <w:sz w:val="21"/>
        </w:rPr>
        <w:t xml:space="preserve"> (detected schema types and per-item issues), mobile-usability and AMP results [7].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Three limitations bound it</w:t>
      </w:r>
      <w:r>
        <w:rPr>
          <w:rFonts w:ascii="Arial" w:hAnsi="Arial"/>
          <w:b w:val="0"/>
          <w:i w:val="0"/>
          <w:color w:val="374151"/>
          <w:sz w:val="21"/>
        </w:rPr>
        <w:t xml:space="preserve"> [1][7]: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No live-test rendering.</w:t>
      </w:r>
      <w:r>
        <w:rPr>
          <w:rFonts w:ascii="Arial" w:hAnsi="Arial"/>
          <w:b w:val="0"/>
          <w:i w:val="0"/>
          <w:color w:val="374151"/>
          <w:sz w:val="21"/>
        </w:rPr>
        <w:t xml:space="preserve"> The API returns Google's </w:t>
      </w:r>
      <w:r>
        <w:rPr>
          <w:rFonts w:ascii="Arial" w:hAnsi="Arial"/>
          <w:b w:val="0"/>
          <w:i/>
          <w:color w:val="374151"/>
          <w:sz w:val="21"/>
        </w:rPr>
        <w:t>stored</w:t>
      </w:r>
      <w:r>
        <w:rPr>
          <w:rFonts w:ascii="Arial" w:hAnsi="Arial"/>
          <w:b w:val="0"/>
          <w:i w:val="0"/>
          <w:color w:val="374151"/>
          <w:sz w:val="21"/>
        </w:rPr>
        <w:t xml:space="preserve"> index state only. The "live test" in the Search Console UI — which fetches and renders the page on demand — has no API equivalent, so the Platform cannot ask Google to re-render a page and report what it saw. Post-deploy rendering checks run on the Platform's own validator instead (§7).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The URL must belong to a property the caller is verified on.</w:t>
      </w:r>
      <w:r>
        <w:rPr>
          <w:rFonts w:ascii="Arial" w:hAnsi="Arial"/>
          <w:b w:val="0"/>
          <w:i w:val="0"/>
          <w:color w:val="374151"/>
          <w:sz w:val="21"/>
        </w:rPr>
        <w:t xml:space="preserve"> Arbitrary third-party URLs cannot be inspected, which is why competitor pages go through the SERP/fetch ladder (§8) rather than this API.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2,000 inspections/day per property</w:t>
      </w:r>
      <w:r>
        <w:rPr>
          <w:rFonts w:ascii="Arial" w:hAnsi="Arial"/>
          <w:b w:val="0"/>
          <w:i w:val="0"/>
          <w:color w:val="374151"/>
          <w:sz w:val="21"/>
        </w:rPr>
        <w:t>, plus 600 QPM per site; project-wide 10,000,000/day and 15,000 QPM.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Note what is </w:t>
      </w:r>
      <w:r>
        <w:rPr>
          <w:rFonts w:ascii="Arial" w:hAnsi="Arial"/>
          <w:b w:val="0"/>
          <w:i/>
          <w:color w:val="374151"/>
          <w:sz w:val="21"/>
        </w:rPr>
        <w:t>not</w:t>
      </w:r>
      <w:r>
        <w:rPr>
          <w:rFonts w:ascii="Arial" w:hAnsi="Arial"/>
          <w:b w:val="0"/>
          <w:i w:val="0"/>
          <w:color w:val="374151"/>
          <w:sz w:val="21"/>
        </w:rPr>
        <w:t xml:space="preserve"> a limitation: unindexed URLs are fully supported and are in fact the interesting case — </w:t>
      </w:r>
      <w:r>
        <w:rPr>
          <w:rFonts w:ascii="Consolas" w:hAnsi="Consolas" w:cs="Consolas"/>
          <w:color w:val="111827"/>
          <w:sz w:val="19"/>
        </w:rPr>
        <w:t>coverageState</w:t>
      </w:r>
      <w:r>
        <w:rPr>
          <w:rFonts w:ascii="Arial" w:hAnsi="Arial"/>
          <w:b w:val="0"/>
          <w:i w:val="0"/>
          <w:color w:val="374151"/>
          <w:sz w:val="21"/>
        </w:rPr>
        <w:t xml:space="preserve"> values such as "Crawled — currently not indexed" and "Discovered — currently not indexed" are precisely how the API reports them, and detecting that state is one of the Platform's primary uses for it.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Quota.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Arial" w:hAnsi="Arial"/>
          <w:b/>
          <w:i w:val="0"/>
          <w:color w:val="111827"/>
          <w:sz w:val="21"/>
        </w:rPr>
        <w:t>2,000 inspections/day per property</w:t>
      </w:r>
      <w:r>
        <w:rPr>
          <w:rFonts w:ascii="Arial" w:hAnsi="Arial"/>
          <w:b w:val="0"/>
          <w:i w:val="0"/>
          <w:color w:val="374151"/>
          <w:sz w:val="21"/>
        </w:rPr>
        <w:t xml:space="preserve"> and 600 QPM per site; project-wide 10,000,000/day and 15,000 QPM [1]. A community workaround° multiplies the effective budget when a customer verifies URL-prefix sub-properties alongside the domain property [8] — reported in a Google product forum rather than documented by Google, so it is treated as an optimization to confirm per tenant, never as budgeted capacity.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Cost.</w:t>
      </w:r>
      <w:r>
        <w:rPr>
          <w:rFonts w:ascii="Arial" w:hAnsi="Arial"/>
          <w:b w:val="0"/>
          <w:i w:val="0"/>
          <w:color w:val="374151"/>
          <w:sz w:val="21"/>
        </w:rPr>
        <w:t xml:space="preserve"> Free.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Constraint that shaped the architecture.</w:t>
      </w:r>
      <w:r>
        <w:rPr>
          <w:rFonts w:ascii="Arial" w:hAnsi="Arial"/>
          <w:b w:val="0"/>
          <w:i w:val="0"/>
          <w:color w:val="374151"/>
          <w:sz w:val="21"/>
        </w:rPr>
        <w:t xml:space="preserve"> 2,000/day means a 100k-page site cannot be swept (50 days per pass). The Platform treats URL Inspection as a </w:t>
      </w:r>
      <w:r>
        <w:rPr>
          <w:rFonts w:ascii="Arial" w:hAnsi="Arial"/>
          <w:b/>
          <w:i w:val="0"/>
          <w:color w:val="111827"/>
          <w:sz w:val="21"/>
        </w:rPr>
        <w:t>budgeted sampling layer</w:t>
      </w:r>
      <w:r>
        <w:rPr>
          <w:rFonts w:ascii="Arial" w:hAnsi="Arial"/>
          <w:b w:val="0"/>
          <w:i w:val="0"/>
          <w:color w:val="374151"/>
          <w:sz w:val="21"/>
        </w:rPr>
        <w:t xml:space="preserve">: changed pages first (post-deploy verification — did Google pick up the new canonical/title, is the page still indexed?), then high-opportunity pages, then a rotating random sample. </w:t>
      </w:r>
      <w:r>
        <w:rPr>
          <w:rFonts w:ascii="Consolas" w:hAnsi="Consolas" w:cs="Consolas"/>
          <w:color w:val="111827"/>
          <w:sz w:val="19"/>
        </w:rPr>
        <w:t>lastCrawlTime</w:t>
      </w:r>
      <w:r>
        <w:rPr>
          <w:rFonts w:ascii="Arial" w:hAnsi="Arial"/>
          <w:b w:val="0"/>
          <w:i w:val="0"/>
          <w:color w:val="374151"/>
          <w:sz w:val="21"/>
        </w:rPr>
        <w:t xml:space="preserve"> doubles as the trigger that starts each change's evaluation clock ("verified recrawl", FR-14.3), and </w:t>
      </w:r>
      <w:r>
        <w:rPr>
          <w:rFonts w:ascii="Consolas" w:hAnsi="Consolas" w:cs="Consolas"/>
          <w:color w:val="111827"/>
          <w:sz w:val="19"/>
        </w:rPr>
        <w:t>richResultsResult</w:t>
      </w:r>
      <w:r>
        <w:rPr>
          <w:rFonts w:ascii="Arial" w:hAnsi="Arial"/>
          <w:b w:val="0"/>
          <w:i w:val="0"/>
          <w:color w:val="374151"/>
          <w:sz w:val="21"/>
        </w:rPr>
        <w:t xml:space="preserve"> is the post-deploy structured-data ground truth compensating for the absent Rich Results Test API.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2.3  </w:t>
      </w:r>
      <w:r>
        <w:rPr>
          <w:rFonts w:ascii="Arial" w:hAnsi="Arial"/>
          <w:b/>
          <w:i w:val="0"/>
          <w:color w:val="1E3A8A"/>
          <w:sz w:val="24"/>
        </w:rPr>
        <w:t>Sitemaps API</w:t>
      </w:r>
    </w:p>
    <w:p>
      <w:pPr>
        <w:spacing w:after="120"/>
      </w:pPr>
      <w:r>
        <w:rPr>
          <w:rFonts w:ascii="Consolas" w:hAnsi="Consolas" w:cs="Consolas"/>
          <w:color w:val="111827"/>
          <w:sz w:val="19"/>
        </w:rPr>
        <w:t>sitemaps.submit</w:t>
      </w:r>
      <w:r>
        <w:rPr>
          <w:rFonts w:ascii="Arial" w:hAnsi="Arial"/>
          <w:b w:val="0"/>
          <w:i w:val="0"/>
          <w:color w:val="374151"/>
          <w:sz w:val="21"/>
        </w:rPr>
        <w:t xml:space="preserve"> / </w:t>
      </w:r>
      <w:r>
        <w:rPr>
          <w:rFonts w:ascii="Consolas" w:hAnsi="Consolas" w:cs="Consolas"/>
          <w:color w:val="111827"/>
          <w:sz w:val="19"/>
        </w:rPr>
        <w:t>delete</w:t>
      </w:r>
      <w:r>
        <w:rPr>
          <w:rFonts w:ascii="Arial" w:hAnsi="Arial"/>
          <w:b w:val="0"/>
          <w:i w:val="0"/>
          <w:color w:val="374151"/>
          <w:sz w:val="21"/>
        </w:rPr>
        <w:t xml:space="preserve"> / </w:t>
      </w:r>
      <w:r>
        <w:rPr>
          <w:rFonts w:ascii="Consolas" w:hAnsi="Consolas" w:cs="Consolas"/>
          <w:color w:val="111827"/>
          <w:sz w:val="19"/>
        </w:rPr>
        <w:t>get</w:t>
      </w:r>
      <w:r>
        <w:rPr>
          <w:rFonts w:ascii="Arial" w:hAnsi="Arial"/>
          <w:b w:val="0"/>
          <w:i w:val="0"/>
          <w:color w:val="374151"/>
          <w:sz w:val="21"/>
        </w:rPr>
        <w:t xml:space="preserve"> / </w:t>
      </w:r>
      <w:r>
        <w:rPr>
          <w:rFonts w:ascii="Consolas" w:hAnsi="Consolas" w:cs="Consolas"/>
          <w:color w:val="111827"/>
          <w:sz w:val="19"/>
        </w:rPr>
        <w:t>list</w:t>
      </w:r>
      <w:r>
        <w:rPr>
          <w:rFonts w:ascii="Arial" w:hAnsi="Arial"/>
          <w:b w:val="0"/>
          <w:i w:val="0"/>
          <w:color w:val="374151"/>
          <w:sz w:val="21"/>
        </w:rPr>
        <w:t xml:space="preserve"> under the same v3 surface; requires the read-write </w:t>
      </w:r>
      <w:r>
        <w:rPr>
          <w:rFonts w:ascii="Consolas" w:hAnsi="Consolas" w:cs="Consolas"/>
          <w:color w:val="111827"/>
          <w:sz w:val="19"/>
        </w:rPr>
        <w:t>webmasters</w:t>
      </w:r>
      <w:r>
        <w:rPr>
          <w:rFonts w:ascii="Arial" w:hAnsi="Arial"/>
          <w:b w:val="0"/>
          <w:i w:val="0"/>
          <w:color w:val="374151"/>
          <w:sz w:val="21"/>
        </w:rPr>
        <w:t xml:space="preserve"> scope [9]. </w:t>
      </w:r>
      <w:r>
        <w:rPr>
          <w:rFonts w:ascii="Consolas" w:hAnsi="Consolas" w:cs="Consolas"/>
          <w:color w:val="111827"/>
          <w:sz w:val="19"/>
        </w:rPr>
        <w:t>get</w:t>
      </w:r>
      <w:r>
        <w:rPr>
          <w:rFonts w:ascii="Arial" w:hAnsi="Arial"/>
          <w:b w:val="0"/>
          <w:i w:val="0"/>
          <w:color w:val="374151"/>
          <w:sz w:val="21"/>
        </w:rPr>
        <w:t>/</w:t>
      </w:r>
      <w:r>
        <w:rPr>
          <w:rFonts w:ascii="Consolas" w:hAnsi="Consolas" w:cs="Consolas"/>
          <w:color w:val="111827"/>
          <w:sz w:val="19"/>
        </w:rPr>
        <w:t>list</w:t>
      </w:r>
      <w:r>
        <w:rPr>
          <w:rFonts w:ascii="Arial" w:hAnsi="Arial"/>
          <w:b w:val="0"/>
          <w:i w:val="0"/>
          <w:color w:val="374151"/>
          <w:sz w:val="21"/>
        </w:rPr>
        <w:t xml:space="preserve"> return per-sitemap status: last submitted/downloaded, error and warning counts, submitted-vs-indexed counts per content type. Quota falls under "all other methods" (20 QPS / 200 QPM per user) [1]. Google deprecated the sitemap ping endpoint in 2023; API submission is the supported path. Two different actions hide under "sitemap automation" and they do not carry the same risk. </w:t>
      </w:r>
      <w:r>
        <w:rPr>
          <w:rFonts w:ascii="Arial" w:hAnsi="Arial"/>
          <w:b/>
          <w:i w:val="0"/>
          <w:color w:val="111827"/>
          <w:sz w:val="21"/>
        </w:rPr>
        <w:t>Re-submitting a verified byte-identical sitemap</w:t>
      </w:r>
      <w:r>
        <w:rPr>
          <w:rFonts w:ascii="Arial" w:hAnsi="Arial"/>
          <w:b w:val="0"/>
          <w:i w:val="0"/>
          <w:color w:val="374151"/>
          <w:sz w:val="21"/>
        </w:rPr>
        <w:t xml:space="preserve"> is a protocol action: it is reversible (</w:t>
      </w:r>
      <w:r>
        <w:rPr>
          <w:rFonts w:ascii="Consolas" w:hAnsi="Consolas" w:cs="Consolas"/>
          <w:color w:val="111827"/>
          <w:sz w:val="19"/>
        </w:rPr>
        <w:t>sitemaps.delete</w:t>
      </w:r>
      <w:r>
        <w:rPr>
          <w:rFonts w:ascii="Arial" w:hAnsi="Arial"/>
          <w:b w:val="0"/>
          <w:i w:val="0"/>
          <w:color w:val="374151"/>
          <w:sz w:val="21"/>
        </w:rPr>
        <w:t xml:space="preserve">), changes nothing on the rendered page and nothing in the indexable set, and </w:t>
      </w:r>
      <w:r>
        <w:rPr>
          <w:rFonts w:ascii="Arial" w:hAnsi="Arial"/>
          <w:b/>
          <w:i w:val="0"/>
          <w:color w:val="111827"/>
          <w:sz w:val="21"/>
        </w:rPr>
        <w:t>qualifies for LOW-risk auto-apply under the FR-11.2 criteria</w:t>
      </w:r>
      <w:r>
        <w:rPr>
          <w:rFonts w:ascii="Arial" w:hAnsi="Arial"/>
          <w:b w:val="0"/>
          <w:i w:val="0"/>
          <w:color w:val="374151"/>
          <w:sz w:val="21"/>
        </w:rPr>
        <w:t xml:space="preserve">. </w:t>
      </w:r>
      <w:r>
        <w:rPr>
          <w:rFonts w:ascii="Arial" w:hAnsi="Arial"/>
          <w:b/>
          <w:i w:val="0"/>
          <w:color w:val="111827"/>
          <w:sz w:val="21"/>
        </w:rPr>
        <w:t>Regenerating or replacing the sitemap's contents</w:t>
      </w:r>
      <w:r>
        <w:rPr>
          <w:rFonts w:ascii="Arial" w:hAnsi="Arial"/>
          <w:b w:val="0"/>
          <w:i w:val="0"/>
          <w:color w:val="374151"/>
          <w:sz w:val="21"/>
        </w:rPr>
        <w:t xml:space="preserve"> does not qualify — the file declares which URLs the Platform asks Google to index, so it is </w:t>
      </w:r>
      <w:r>
        <w:rPr>
          <w:rFonts w:ascii="Arial" w:hAnsi="Arial"/>
          <w:b/>
          <w:i w:val="0"/>
          <w:color w:val="111827"/>
          <w:sz w:val="21"/>
        </w:rPr>
        <w:t>MEDIUM (gated), escalating to HIGH when the diff removes &gt;5% of indexable URLs</w:t>
      </w:r>
      <w:r>
        <w:rPr>
          <w:rFonts w:ascii="Arial" w:hAnsi="Arial"/>
          <w:b w:val="0"/>
          <w:i w:val="0"/>
          <w:color w:val="374151"/>
          <w:sz w:val="21"/>
        </w:rPr>
        <w:t xml:space="preserve"> (Doc 06 §11). Flagged explicitly as an </w:t>
      </w:r>
      <w:r>
        <w:rPr>
          <w:rFonts w:ascii="Arial" w:hAnsi="Arial"/>
          <w:b w:val="0"/>
          <w:i/>
          <w:color w:val="374151"/>
          <w:sz w:val="21"/>
        </w:rPr>
        <w:t>extension</w:t>
      </w:r>
      <w:r>
        <w:rPr>
          <w:rFonts w:ascii="Arial" w:hAnsi="Arial"/>
          <w:b w:val="0"/>
          <w:i w:val="0"/>
          <w:color w:val="374151"/>
          <w:sz w:val="21"/>
        </w:rPr>
        <w:t>: the client's enumerated LOW list in Doc 01 FR-11.2 (missing alt, missing meta description, duplicate metadata, broken internal link, invalid JSON-LD) is fixed and non-negotiable, and does not name sitemap submission. The Platform proposes adding the identical-resubmit case on the criteria above; it needs the client's sign-off before it ships as auto-apply, and defaults to the MEDIUM gated path until then.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2.4  </w:t>
      </w:r>
      <w:r>
        <w:rPr>
          <w:rFonts w:ascii="Arial" w:hAnsi="Arial"/>
          <w:b/>
          <w:i w:val="0"/>
          <w:color w:val="1E3A8A"/>
          <w:sz w:val="24"/>
        </w:rPr>
        <w:t>BigQuery bulk export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For enterprise tenants, GSC can dump complete daily data — including anonymized queries as aggregate rows, with </w:t>
      </w:r>
      <w:r>
        <w:rPr>
          <w:rFonts w:ascii="Arial" w:hAnsi="Arial"/>
          <w:b/>
          <w:i w:val="0"/>
          <w:color w:val="111827"/>
          <w:sz w:val="21"/>
        </w:rPr>
        <w:t>no 50k row cap</w:t>
      </w:r>
      <w:r>
        <w:rPr>
          <w:rFonts w:ascii="Arial" w:hAnsi="Arial"/>
          <w:b w:val="0"/>
          <w:i w:val="0"/>
          <w:color w:val="374151"/>
          <w:sz w:val="21"/>
        </w:rPr>
        <w:t xml:space="preserve"> — into the customer's own BigQuery project (</w:t>
      </w:r>
      <w:r>
        <w:rPr>
          <w:rFonts w:ascii="Consolas" w:hAnsi="Consolas" w:cs="Consolas"/>
          <w:color w:val="111827"/>
          <w:sz w:val="19"/>
        </w:rPr>
        <w:t>searchdata_url_impression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searchdata_site_impression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ExportLog</w:t>
      </w:r>
      <w:r>
        <w:rPr>
          <w:rFonts w:ascii="Arial" w:hAnsi="Arial"/>
          <w:b w:val="0"/>
          <w:i w:val="0"/>
          <w:color w:val="374151"/>
          <w:sz w:val="21"/>
        </w:rPr>
        <w:t xml:space="preserve"> tables) [10][12]. Three onboarding facts matter: it requires property </w:t>
      </w:r>
      <w:r>
        <w:rPr>
          <w:rFonts w:ascii="Arial" w:hAnsi="Arial"/>
          <w:b/>
          <w:i w:val="0"/>
          <w:color w:val="111827"/>
          <w:sz w:val="21"/>
        </w:rPr>
        <w:t>Owner</w:t>
      </w:r>
      <w:r>
        <w:rPr>
          <w:rFonts w:ascii="Arial" w:hAnsi="Arial"/>
          <w:b w:val="0"/>
          <w:i w:val="0"/>
          <w:color w:val="374151"/>
          <w:sz w:val="21"/>
        </w:rPr>
        <w:t xml:space="preserve"> permission, it can only be enabled in the GSC UI (</w:t>
      </w:r>
      <w:r>
        <w:rPr>
          <w:rFonts w:ascii="Arial" w:hAnsi="Arial"/>
          <w:b/>
          <w:i w:val="0"/>
          <w:color w:val="111827"/>
          <w:sz w:val="21"/>
        </w:rPr>
        <w:t>no API exists to enable it</w:t>
      </w:r>
      <w:r>
        <w:rPr>
          <w:rFonts w:ascii="Arial" w:hAnsi="Arial"/>
          <w:b w:val="0"/>
          <w:i w:val="0"/>
          <w:color w:val="374151"/>
          <w:sz w:val="21"/>
        </w:rPr>
        <w:t xml:space="preserve">), and there is </w:t>
      </w:r>
      <w:r>
        <w:rPr>
          <w:rFonts w:ascii="Arial" w:hAnsi="Arial"/>
          <w:b/>
          <w:i w:val="0"/>
          <w:color w:val="111827"/>
          <w:sz w:val="21"/>
        </w:rPr>
        <w:t>no backfill</w:t>
      </w:r>
      <w:r>
        <w:rPr>
          <w:rFonts w:ascii="Arial" w:hAnsi="Arial"/>
          <w:b w:val="0"/>
          <w:i w:val="0"/>
          <w:color w:val="374151"/>
          <w:sz w:val="21"/>
        </w:rPr>
        <w:t xml:space="preserve"> — history starts the day it is switched on [11]. BigQuery storage/query costs land on the customer's billing account (small sites fit the free tier) [11]. Platform tiering: API-only below ~100k pages or ~50k daily query rows; guided bulk-export setup for enterprise tenants, read via a service-account grant on their dataset.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2.5  </w:t>
      </w:r>
      <w:r>
        <w:rPr>
          <w:rFonts w:ascii="Arial" w:hAnsi="Arial"/>
          <w:b/>
          <w:i w:val="0"/>
          <w:color w:val="1E3A8A"/>
          <w:sz w:val="24"/>
        </w:rPr>
        <w:t>Auth: OAuth sensitive-scope verification vs service-account fallback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Two connection paths, both shipped: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A. Per-customer OAuth 2.0 (default).</w:t>
      </w:r>
      <w:r>
        <w:rPr>
          <w:rFonts w:ascii="Arial" w:hAnsi="Arial"/>
          <w:b w:val="0"/>
          <w:i w:val="0"/>
          <w:color w:val="374151"/>
          <w:sz w:val="21"/>
        </w:rPr>
        <w:t xml:space="preserve"> Scope </w:t>
      </w:r>
      <w:r>
        <w:rPr>
          <w:rFonts w:ascii="Consolas" w:hAnsi="Consolas" w:cs="Consolas"/>
          <w:color w:val="111827"/>
          <w:sz w:val="19"/>
        </w:rPr>
        <w:t>https://www.googleapis.com/auth/webmasters.readonly</w:t>
      </w:r>
      <w:r>
        <w:rPr>
          <w:rFonts w:ascii="Arial" w:hAnsi="Arial"/>
          <w:b w:val="0"/>
          <w:i w:val="0"/>
          <w:color w:val="374151"/>
          <w:sz w:val="21"/>
        </w:rPr>
        <w:t xml:space="preserve"> for data; the read-write </w:t>
      </w:r>
      <w:r>
        <w:rPr>
          <w:rFonts w:ascii="Consolas" w:hAnsi="Consolas" w:cs="Consolas"/>
          <w:color w:val="111827"/>
          <w:sz w:val="19"/>
        </w:rPr>
        <w:t>webmasters</w:t>
      </w:r>
      <w:r>
        <w:rPr>
          <w:rFonts w:ascii="Arial" w:hAnsi="Arial"/>
          <w:b w:val="0"/>
          <w:i w:val="0"/>
          <w:color w:val="374151"/>
          <w:sz w:val="21"/>
        </w:rPr>
        <w:t xml:space="preserve"> scope requested incrementally only for tenants using sitemap submission [9][13]. GSC scopes are classified </w:t>
      </w:r>
      <w:r>
        <w:rPr>
          <w:rFonts w:ascii="Arial" w:hAnsi="Arial"/>
          <w:b/>
          <w:i w:val="0"/>
          <w:color w:val="111827"/>
          <w:sz w:val="21"/>
        </w:rPr>
        <w:t>sensitive, not restricted</w:t>
      </w:r>
      <w:r>
        <w:rPr>
          <w:rFonts w:ascii="Arial" w:hAnsi="Arial"/>
          <w:b w:val="0"/>
          <w:i w:val="0"/>
          <w:color w:val="374151"/>
          <w:sz w:val="21"/>
        </w:rPr>
        <w:t xml:space="preserve">: publishing the app requires Google's verification review (registered domain, privacy policy and ToS URLs, per-scope justification, a demo video; typically days to weeks) — but </w:t>
      </w:r>
      <w:r>
        <w:rPr>
          <w:rFonts w:ascii="Arial" w:hAnsi="Arial"/>
          <w:b/>
          <w:i w:val="0"/>
          <w:color w:val="111827"/>
          <w:sz w:val="21"/>
        </w:rPr>
        <w:t>not the Cloud Application Security Assessment (CASA)</w:t>
      </w:r>
      <w:r>
        <w:rPr>
          <w:rFonts w:ascii="Arial" w:hAnsi="Arial"/>
          <w:b w:val="0"/>
          <w:i w:val="0"/>
          <w:color w:val="374151"/>
          <w:sz w:val="21"/>
        </w:rPr>
        <w:t xml:space="preserve"> — Tier 2, ~$540 self-scan to $5k+ third-party°, renewed annually — that restricted scopes such as Gmail/Drive carry [13][14][16]. The </w:t>
      </w:r>
      <w:r>
        <w:rPr>
          <w:rFonts w:ascii="Arial" w:hAnsi="Arial"/>
          <w:b w:val="0"/>
          <w:i/>
          <w:color w:val="374151"/>
          <w:sz w:val="21"/>
        </w:rPr>
        <w:t>classification</w:t>
      </w:r>
      <w:r>
        <w:rPr>
          <w:rFonts w:ascii="Arial" w:hAnsi="Arial"/>
          <w:b w:val="0"/>
          <w:i w:val="0"/>
          <w:color w:val="374151"/>
          <w:sz w:val="21"/>
        </w:rPr>
        <w:t xml:space="preserve"> comes from Google's own scope documentation [13][14]; only the dollar range is secondary, from a security vendor's guide [16], and it is a figure the Platform never has to pay on this scope set. This classification is confirmed against Google's enumerated restricted-scope list, which does not include Search Console [14]; it is re-verified on the project's own Cloud Console Data Access page (which labels each scope) at console setup, since that page — not the public docs — is authoritative for the review track the project actually gets. Until verified, the app is capped at </w:t>
      </w:r>
      <w:r>
        <w:rPr>
          <w:rFonts w:ascii="Arial" w:hAnsi="Arial"/>
          <w:b/>
          <w:i w:val="0"/>
          <w:color w:val="111827"/>
          <w:sz w:val="21"/>
        </w:rPr>
        <w:t>100 test users</w:t>
      </w:r>
      <w:r>
        <w:rPr>
          <w:rFonts w:ascii="Arial" w:hAnsi="Arial"/>
          <w:b w:val="0"/>
          <w:i w:val="0"/>
          <w:color w:val="374151"/>
          <w:sz w:val="21"/>
        </w:rPr>
        <w:t xml:space="preserve"> with "unverified app" warnings [15]. Two operational facts: refresh tokens die if unused ~6 months or if more than 100 tokens are minted per account/client; and the granted token can see </w:t>
      </w:r>
      <w:r>
        <w:rPr>
          <w:rFonts w:ascii="Arial" w:hAnsi="Arial"/>
          <w:b/>
          <w:i w:val="0"/>
          <w:color w:val="111827"/>
          <w:sz w:val="21"/>
        </w:rPr>
        <w:t>every property the granting user can see</w:t>
      </w:r>
      <w:r>
        <w:rPr>
          <w:rFonts w:ascii="Arial" w:hAnsi="Arial"/>
          <w:b w:val="0"/>
          <w:i w:val="0"/>
          <w:color w:val="374151"/>
          <w:sz w:val="21"/>
        </w:rPr>
        <w:t>, so the Platform enforces a server-side allowlist of the one property the tenant connected — isolation is the Platform's job, not Google's.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B. Service account by invitation (enterprise fallback).</w:t>
      </w:r>
      <w:r>
        <w:rPr>
          <w:rFonts w:ascii="Arial" w:hAnsi="Arial"/>
          <w:b w:val="0"/>
          <w:i w:val="0"/>
          <w:color w:val="374151"/>
          <w:sz w:val="21"/>
        </w:rPr>
        <w:t xml:space="preserve"> The Platform generates a service account per tenant; the customer adds its </w:t>
      </w:r>
      <w:r>
        <w:rPr>
          <w:rFonts w:ascii="Consolas" w:hAnsi="Consolas" w:cs="Consolas"/>
          <w:color w:val="111827"/>
          <w:sz w:val="19"/>
        </w:rPr>
        <w:t>client_email</w:t>
      </w:r>
      <w:r>
        <w:rPr>
          <w:rFonts w:ascii="Arial" w:hAnsi="Arial"/>
          <w:b w:val="0"/>
          <w:i w:val="0"/>
          <w:color w:val="374151"/>
          <w:sz w:val="21"/>
        </w:rPr>
        <w:t xml:space="preserve"> in Search Console → Users and permissions as a </w:t>
      </w:r>
      <w:r>
        <w:rPr>
          <w:rFonts w:ascii="Arial" w:hAnsi="Arial"/>
          <w:b/>
          <w:i w:val="0"/>
          <w:color w:val="111827"/>
          <w:sz w:val="21"/>
        </w:rPr>
        <w:t>Full</w:t>
      </w:r>
      <w:r>
        <w:rPr>
          <w:rFonts w:ascii="Arial" w:hAnsi="Arial"/>
          <w:b w:val="0"/>
          <w:i w:val="0"/>
          <w:color w:val="374151"/>
          <w:sz w:val="21"/>
        </w:rPr>
        <w:t xml:space="preserve"> user [17]. No consent screen, no verification dependency, no refresh-token lifecycle — at the cost of a manual per-property step. This is a widely used pattern among SEO tooling and also unblocks pilots while OAuth verification is in review.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Schedule risk worth flagging:</w:t>
      </w:r>
      <w:r>
        <w:rPr>
          <w:rFonts w:ascii="Arial" w:hAnsi="Arial"/>
          <w:b w:val="0"/>
          <w:i w:val="0"/>
          <w:color w:val="374151"/>
          <w:sz w:val="21"/>
        </w:rPr>
        <w:t xml:space="preserve"> OAuth verification is a launch-blocking dependency with weeks of lead time; it starts at project kickoff, not at GA (NFR-5).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3   </w:t>
      </w:r>
      <w:r>
        <w:rPr>
          <w:rFonts w:ascii="Arial" w:hAnsi="Arial"/>
          <w:b/>
          <w:i w:val="0"/>
          <w:color w:val="1E3A8A"/>
          <w:sz w:val="28"/>
        </w:rPr>
        <w:t>Google Analytics 4 — Data API + Admin API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The conversion-decline rollback signal (FR-14.1) and all-channel traffic discovery (FR-2.2). </w:t>
      </w:r>
      <w:r>
        <w:rPr>
          <w:rFonts w:ascii="Arial" w:hAnsi="Arial"/>
          <w:b/>
          <w:i w:val="0"/>
          <w:color w:val="111827"/>
          <w:sz w:val="21"/>
        </w:rPr>
        <w:t>Post-MVP</w:t>
      </w:r>
      <w:r>
        <w:rPr>
          <w:rFonts w:ascii="Arial" w:hAnsi="Arial"/>
          <w:b w:val="0"/>
          <w:i w:val="0"/>
          <w:color w:val="374151"/>
          <w:sz w:val="21"/>
        </w:rPr>
        <w:t xml:space="preserve"> — Doc 01 §6 defers conversion-based rollback signals, so MVP verdicts run on GSC-plus-technical signals; the integration is researched in full now because the veto's constraints shape the warehouse and rollback engine from day one. Deliberately positioned as a </w:t>
      </w:r>
      <w:r>
        <w:rPr>
          <w:rFonts w:ascii="Arial" w:hAnsi="Arial"/>
          <w:b/>
          <w:i w:val="0"/>
          <w:color w:val="111827"/>
          <w:sz w:val="21"/>
        </w:rPr>
        <w:t>veto-only, last-priority signal</w:t>
      </w:r>
      <w:r>
        <w:rPr>
          <w:rFonts w:ascii="Arial" w:hAnsi="Arial"/>
          <w:b w:val="0"/>
          <w:i w:val="0"/>
          <w:color w:val="374151"/>
          <w:sz w:val="21"/>
        </w:rPr>
        <w:t>: the analysis below explains why nothing stronger would be honest.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What it provides.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Consolas" w:hAnsi="Consolas" w:cs="Consolas"/>
          <w:color w:val="111827"/>
          <w:sz w:val="19"/>
        </w:rPr>
        <w:t>runReport</w:t>
      </w:r>
      <w:r>
        <w:rPr>
          <w:rFonts w:ascii="Arial" w:hAnsi="Arial"/>
          <w:b w:val="0"/>
          <w:i w:val="0"/>
          <w:color w:val="374151"/>
          <w:sz w:val="21"/>
        </w:rPr>
        <w:t xml:space="preserve"> (plus </w:t>
      </w:r>
      <w:r>
        <w:rPr>
          <w:rFonts w:ascii="Consolas" w:hAnsi="Consolas" w:cs="Consolas"/>
          <w:color w:val="111827"/>
          <w:sz w:val="19"/>
        </w:rPr>
        <w:t>batchRunReports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runRealtimeReport</w:t>
      </w:r>
      <w:r>
        <w:rPr>
          <w:rFonts w:ascii="Arial" w:hAnsi="Arial"/>
          <w:b w:val="0"/>
          <w:i w:val="0"/>
          <w:color w:val="374151"/>
          <w:sz w:val="21"/>
        </w:rPr>
        <w:t xml:space="preserve">) over any GA4 property: sessions, engaged sessions, key events (GA4's renamed conversions), revenue, sliced by landing page, channel group, date — up to 9 dimensions and 250,000 rows per request [18][20]. The Admin API's </w:t>
      </w:r>
      <w:r>
        <w:rPr>
          <w:rFonts w:ascii="Consolas" w:hAnsi="Consolas" w:cs="Consolas"/>
          <w:color w:val="111827"/>
          <w:sz w:val="19"/>
        </w:rPr>
        <w:t>accountSummaries.list</w:t>
      </w:r>
      <w:r>
        <w:rPr>
          <w:rFonts w:ascii="Arial" w:hAnsi="Arial"/>
          <w:b w:val="0"/>
          <w:i w:val="0"/>
          <w:color w:val="374151"/>
          <w:sz w:val="21"/>
        </w:rPr>
        <w:t xml:space="preserve"> enumerates every account and property the caller can see (pageSize max 200) and drives the tenant's property picker [23].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Auth.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Consolas" w:hAnsi="Consolas" w:cs="Consolas"/>
          <w:color w:val="111827"/>
          <w:sz w:val="19"/>
        </w:rPr>
        <w:t>https://www.googleapis.com/auth/analytics.readonly</w:t>
      </w:r>
      <w:r>
        <w:rPr>
          <w:rFonts w:ascii="Arial" w:hAnsi="Arial"/>
          <w:b w:val="0"/>
          <w:i w:val="0"/>
          <w:color w:val="374151"/>
          <w:sz w:val="21"/>
        </w:rPr>
        <w:t xml:space="preserve"> — a sensitive-not-restricted scope on the </w:t>
      </w:r>
      <w:r>
        <w:rPr>
          <w:rFonts w:ascii="Arial" w:hAnsi="Arial"/>
          <w:b/>
          <w:i w:val="0"/>
          <w:color w:val="111827"/>
          <w:sz w:val="21"/>
        </w:rPr>
        <w:t>same verification track as GSC</w:t>
      </w:r>
      <w:r>
        <w:rPr>
          <w:rFonts w:ascii="Arial" w:hAnsi="Arial"/>
          <w:b w:val="0"/>
          <w:i w:val="0"/>
          <w:color w:val="374151"/>
          <w:sz w:val="21"/>
        </w:rPr>
        <w:t xml:space="preserve">, requested on the same consent screen: one grant, one review, no CASA [13][20]. Fallback mirrors GSC: a service account added as property-level </w:t>
      </w:r>
      <w:r>
        <w:rPr>
          <w:rFonts w:ascii="Arial" w:hAnsi="Arial"/>
          <w:b/>
          <w:i w:val="0"/>
          <w:color w:val="111827"/>
          <w:sz w:val="21"/>
        </w:rPr>
        <w:t>Viewer</w:t>
      </w:r>
      <w:r>
        <w:rPr>
          <w:rFonts w:ascii="Arial" w:hAnsi="Arial"/>
          <w:b w:val="0"/>
          <w:i w:val="0"/>
          <w:color w:val="374151"/>
          <w:sz w:val="21"/>
        </w:rPr>
        <w:t xml:space="preserve"> suffices for the Data API [24]. Caveat: GA4 "data restrictions" (No Cost / No Revenue Metrics) applied to the Platform's principal silently strip revenue from pulls — detected and surfaced at onboarding [24].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Quotas (token-based, free)</w:t>
      </w:r>
      <w:r>
        <w:rPr>
          <w:rFonts w:ascii="Arial" w:hAnsi="Arial"/>
          <w:b w:val="0"/>
          <w:i w:val="0"/>
          <w:color w:val="374151"/>
          <w:sz w:val="21"/>
        </w:rPr>
        <w:t xml:space="preserve"> [18]: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Quota (core reports)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Standard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Analytics 360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Tokens / property / day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200,000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2,000,000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Tokens / property / hour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40,000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400,000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Tokens / project / property / hour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14,000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140,000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Concurrent requests / property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10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50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A typical report costs ≤10 tokens; the Platform's nightly 14-day trailing re-pull costs ≈140 tokens/night — under 0.1% of budget. The real constraint is that the per-property pools are </w:t>
      </w:r>
      <w:r>
        <w:rPr>
          <w:rFonts w:ascii="Arial" w:hAnsi="Arial"/>
          <w:b/>
          <w:i w:val="0"/>
          <w:color w:val="111827"/>
          <w:sz w:val="21"/>
        </w:rPr>
        <w:t>shared with every other tool the customer connects</w:t>
      </w:r>
      <w:r>
        <w:rPr>
          <w:rFonts w:ascii="Arial" w:hAnsi="Arial"/>
          <w:b w:val="0"/>
          <w:i w:val="0"/>
          <w:color w:val="374151"/>
          <w:sz w:val="21"/>
        </w:rPr>
        <w:t xml:space="preserve">; the sync treats </w:t>
      </w:r>
      <w:r>
        <w:rPr>
          <w:rFonts w:ascii="Consolas" w:hAnsi="Consolas" w:cs="Consolas"/>
          <w:color w:val="111827"/>
          <w:sz w:val="19"/>
        </w:rPr>
        <w:t>RESOURCE_EXHAUSTED</w:t>
      </w:r>
      <w:r>
        <w:rPr>
          <w:rFonts w:ascii="Arial" w:hAnsi="Arial"/>
          <w:b w:val="0"/>
          <w:i w:val="0"/>
          <w:color w:val="374151"/>
          <w:sz w:val="21"/>
        </w:rPr>
        <w:t xml:space="preserve"> as retry-tomorrow, never as failure.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Latency and the two honesty caveats: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 xml:space="preserve">Daily data lands ~12 hours after day close (intraday 2–6 h), </w:t>
      </w:r>
      <w:r>
        <w:rPr>
          <w:rFonts w:ascii="Arial" w:hAnsi="Arial"/>
          <w:b/>
          <w:i w:val="0"/>
          <w:color w:val="111827"/>
          <w:sz w:val="21"/>
        </w:rPr>
        <w:t>and attribution credit for key events is restated for up to 12 days</w:t>
      </w:r>
      <w:r>
        <w:rPr>
          <w:rFonts w:ascii="Arial" w:hAnsi="Arial"/>
          <w:b w:val="0"/>
          <w:i w:val="0"/>
          <w:color w:val="374151"/>
          <w:sz w:val="21"/>
        </w:rPr>
        <w:t xml:space="preserve"> [19]. Every row younger than 12 days is provisional; the warehouse re-pulls a trailing 14-day window nightly and marks rows </w:t>
      </w:r>
      <w:r>
        <w:rPr>
          <w:rFonts w:ascii="Consolas" w:hAnsi="Consolas" w:cs="Consolas"/>
          <w:color w:val="111827"/>
          <w:sz w:val="19"/>
        </w:rPr>
        <w:t>is_final</w:t>
      </w:r>
      <w:r>
        <w:rPr>
          <w:rFonts w:ascii="Arial" w:hAnsi="Arial"/>
          <w:b w:val="0"/>
          <w:i w:val="0"/>
          <w:color w:val="374151"/>
          <w:sz w:val="21"/>
        </w:rPr>
        <w:t xml:space="preserve"> only beyond that horizon. A conversion-based rollback veto evaluates final rows only — which is why conversions land at the back of the signal priority order (technical &gt; indexing &gt; clicks &gt; position &gt; CTR &gt; conversions).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Consent-mode modeled data</w:t>
      </w:r>
      <w:r>
        <w:rPr>
          <w:rFonts w:ascii="Arial" w:hAnsi="Arial"/>
          <w:b w:val="0"/>
          <w:i w:val="0"/>
          <w:color w:val="374151"/>
          <w:sz w:val="21"/>
        </w:rPr>
        <w:t xml:space="preserve">: on sites using consent mode, GA4 blends ML-modeled behavior of cookie-decliners into API numbers; modeled data shifts when the model retrains and is </w:t>
      </w:r>
      <w:r>
        <w:rPr>
          <w:rFonts w:ascii="Arial" w:hAnsi="Arial"/>
          <w:b/>
          <w:i w:val="0"/>
          <w:color w:val="111827"/>
          <w:sz w:val="21"/>
        </w:rPr>
        <w:t>excluded from the BigQuery export</w:t>
      </w:r>
      <w:r>
        <w:rPr>
          <w:rFonts w:ascii="Arial" w:hAnsi="Arial"/>
          <w:b w:val="0"/>
          <w:i w:val="0"/>
          <w:color w:val="374151"/>
          <w:sz w:val="21"/>
        </w:rPr>
        <w:t xml:space="preserve"> [22]. API totals and BQ totals legitimately disagree — the two sources are never mixed inside one before/after comparison.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One more silent data-killer: when a report's dimension cardinality exceeds table limits, GA4 collapses the tail into a literal </w:t>
      </w:r>
      <w:r>
        <w:rPr>
          <w:rFonts w:ascii="Consolas" w:hAnsi="Consolas" w:cs="Consolas"/>
          <w:color w:val="111827"/>
          <w:sz w:val="19"/>
        </w:rPr>
        <w:t>(other)</w:t>
      </w:r>
      <w:r>
        <w:rPr>
          <w:rFonts w:ascii="Arial" w:hAnsi="Arial"/>
          <w:b w:val="0"/>
          <w:i w:val="0"/>
          <w:color w:val="374151"/>
          <w:sz w:val="21"/>
        </w:rPr>
        <w:t xml:space="preserve"> row — in API responses too [21]. Landing-page pulls on 100k-page sites will hit this; mitigations are single-day granularity, dimension filters scoped to the changed-URL set, and the customer-side BigQuery export (1M events/day standard cap, no backfill) for large tenants [21][25].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Cost.</w:t>
      </w:r>
      <w:r>
        <w:rPr>
          <w:rFonts w:ascii="Arial" w:hAnsi="Arial"/>
          <w:b w:val="0"/>
          <w:i w:val="0"/>
          <w:color w:val="374151"/>
          <w:sz w:val="21"/>
        </w:rPr>
        <w:t xml:space="preserve"> Free. API status: still v1beta as of mid-2026, actively developed, no announced deprecations [26].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How the Platform uses it.</w:t>
      </w:r>
      <w:r>
        <w:rPr>
          <w:rFonts w:ascii="Arial" w:hAnsi="Arial"/>
          <w:b w:val="0"/>
          <w:i w:val="0"/>
          <w:color w:val="374151"/>
          <w:sz w:val="21"/>
        </w:rPr>
        <w:t xml:space="preserve"> Nightly sync of landing page × channel × key events × revenue, organic-channel slice for the rollback veto, all channels for traffic discovery. The veto fires only on final data, versus control pages, on pages carrying </w:t>
      </w:r>
      <w:r>
        <w:rPr>
          <w:rFonts w:ascii="Arial" w:hAnsi="Arial"/>
          <w:b/>
          <w:i w:val="0"/>
          <w:color w:val="111827"/>
          <w:sz w:val="21"/>
        </w:rPr>
        <w:t>≥~3.6 conversions/day of baseline</w:t>
      </w:r>
      <w:r>
        <w:rPr>
          <w:rFonts w:ascii="Arial" w:hAnsi="Arial"/>
          <w:b w:val="0"/>
          <w:i w:val="0"/>
          <w:color w:val="374151"/>
          <w:sz w:val="21"/>
        </w:rPr>
        <w:t xml:space="preserve"> — roughly </w:t>
      </w:r>
      <w:r>
        <w:rPr>
          <w:rFonts w:ascii="Arial" w:hAnsi="Arial"/>
          <w:b/>
          <w:i w:val="0"/>
          <w:color w:val="111827"/>
          <w:sz w:val="21"/>
        </w:rPr>
        <w:t>120–360 organic sessions/day</w:t>
      </w:r>
      <w:r>
        <w:rPr>
          <w:rFonts w:ascii="Arial" w:hAnsi="Arial"/>
          <w:b w:val="0"/>
          <w:i w:val="0"/>
          <w:color w:val="374151"/>
          <w:sz w:val="21"/>
        </w:rPr>
        <w:t xml:space="preserve"> at a typical 1–3% session-to-key-event rate. That floor is derived, not assumed: detecting a 20% conversion drop at ~2σ over a 28-day window needs ≥~100 baseline conversions in the window (0.2·N ≥ 2·√N ⇒ N ≥ 100), i.e. ~3.6/day. Only head pages clear it; below the bar, conversions are evaluated cohort-pooled across the whole change batch, or not at all. (A "≥100 organic clicks/day" shorthand circulates for this threshold and appears in the underlying research summary; it is a rounded rule of thumb that implies a 3.6% conversion rate — above the researched 1–3% band — so this document uses the derived session range instead.) Signal absence never blocks a verdict — tenants without analytics get GSC-plus-technical rollback logic, by design.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4   </w:t>
      </w:r>
      <w:r>
        <w:rPr>
          <w:rFonts w:ascii="Arial" w:hAnsi="Arial"/>
          <w:b/>
          <w:i w:val="0"/>
          <w:color w:val="1E3A8A"/>
          <w:sz w:val="28"/>
        </w:rPr>
        <w:t>GitHub — the code-change channel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Serves FR-9.1 and the full FR-10 pipeline for Next.js/React and any git-deployed site. The decision is </w:t>
      </w:r>
      <w:r>
        <w:rPr>
          <w:rFonts w:ascii="Arial" w:hAnsi="Arial"/>
          <w:b/>
          <w:i w:val="0"/>
          <w:color w:val="111827"/>
          <w:sz w:val="21"/>
        </w:rPr>
        <w:t>GitHub App only</w:t>
      </w:r>
      <w:r>
        <w:rPr>
          <w:rFonts w:ascii="Arial" w:hAnsi="Arial"/>
          <w:b w:val="0"/>
          <w:i w:val="0"/>
          <w:color w:val="374151"/>
          <w:sz w:val="21"/>
        </w:rPr>
        <w:t xml:space="preserve"> — never OAuth Apps or personal access tokens — because, on GitHub's own comparison of the three integration models [27], it is the only one with all four properties the Platform needs: short-lived tokens, per-repo scoping, the Checks API, and per-customer rate isolation.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Auth model.</w:t>
      </w:r>
      <w:r>
        <w:rPr>
          <w:rFonts w:ascii="Arial" w:hAnsi="Arial"/>
          <w:b w:val="0"/>
          <w:i w:val="0"/>
          <w:color w:val="374151"/>
          <w:sz w:val="21"/>
        </w:rPr>
        <w:t xml:space="preserve"> A GitHub App is installed by the customer on selected repositories. The Platform mints </w:t>
      </w:r>
      <w:r>
        <w:rPr>
          <w:rFonts w:ascii="Arial" w:hAnsi="Arial"/>
          <w:b/>
          <w:i w:val="0"/>
          <w:color w:val="111827"/>
          <w:sz w:val="21"/>
        </w:rPr>
        <w:t>installation access tokens</w:t>
      </w:r>
      <w:r>
        <w:rPr>
          <w:rFonts w:ascii="Arial" w:hAnsi="Arial"/>
          <w:b w:val="0"/>
          <w:i w:val="0"/>
          <w:color w:val="374151"/>
          <w:sz w:val="21"/>
        </w:rPr>
        <w:t xml:space="preserve"> via </w:t>
      </w:r>
      <w:r>
        <w:rPr>
          <w:rFonts w:ascii="Consolas" w:hAnsi="Consolas" w:cs="Consolas"/>
          <w:color w:val="111827"/>
          <w:sz w:val="19"/>
        </w:rPr>
        <w:t>POST /app/installations/{installation_id}/access_tokens</w:t>
      </w:r>
      <w:r>
        <w:rPr>
          <w:rFonts w:ascii="Arial" w:hAnsi="Arial"/>
          <w:b w:val="0"/>
          <w:i w:val="0"/>
          <w:color w:val="374151"/>
          <w:sz w:val="21"/>
        </w:rPr>
        <w:t xml:space="preserve">, authenticated by the App's JWT; the request body can down-scope to specific repositories (≤500) and specific permissions — the Platform mints a </w:t>
      </w:r>
      <w:r>
        <w:rPr>
          <w:rFonts w:ascii="Arial" w:hAnsi="Arial"/>
          <w:b/>
          <w:i w:val="0"/>
          <w:color w:val="111827"/>
          <w:sz w:val="21"/>
        </w:rPr>
        <w:t>single-repo, minimal-permission token per pipeline run</w:t>
      </w:r>
      <w:r>
        <w:rPr>
          <w:rFonts w:ascii="Arial" w:hAnsi="Arial"/>
          <w:b w:val="0"/>
          <w:i w:val="0"/>
          <w:color w:val="374151"/>
          <w:sz w:val="21"/>
        </w:rPr>
        <w:t xml:space="preserve"> (</w:t>
      </w:r>
      <w:r>
        <w:rPr>
          <w:rFonts w:ascii="Consolas" w:hAnsi="Consolas" w:cs="Consolas"/>
          <w:color w:val="111827"/>
          <w:sz w:val="19"/>
        </w:rPr>
        <w:t>contents:write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pull_requests:write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checks:write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metadata:read</w:t>
      </w:r>
      <w:r>
        <w:rPr>
          <w:rFonts w:ascii="Arial" w:hAnsi="Arial"/>
          <w:b w:val="0"/>
          <w:i w:val="0"/>
          <w:color w:val="374151"/>
          <w:sz w:val="21"/>
        </w:rPr>
        <w:t xml:space="preserve">). Tokens </w:t>
      </w:r>
      <w:r>
        <w:rPr>
          <w:rFonts w:ascii="Arial" w:hAnsi="Arial"/>
          <w:b/>
          <w:i w:val="0"/>
          <w:color w:val="111827"/>
          <w:sz w:val="21"/>
        </w:rPr>
        <w:t>expire after 1 hour</w:t>
      </w:r>
      <w:r>
        <w:rPr>
          <w:rFonts w:ascii="Arial" w:hAnsi="Arial"/>
          <w:b w:val="0"/>
          <w:i w:val="0"/>
          <w:color w:val="374151"/>
          <w:sz w:val="21"/>
        </w:rPr>
        <w:t xml:space="preserve"> [28]. Fine-grained PATs are disqualified outright: personal-use positioning, 50-token cap, single-org, and </w:t>
      </w:r>
      <w:r>
        <w:rPr>
          <w:rFonts w:ascii="Arial" w:hAnsi="Arial"/>
          <w:b/>
          <w:i w:val="0"/>
          <w:color w:val="111827"/>
          <w:sz w:val="21"/>
        </w:rPr>
        <w:t>no Checks API access</w:t>
      </w:r>
      <w:r>
        <w:rPr>
          <w:rFonts w:ascii="Arial" w:hAnsi="Arial"/>
          <w:b w:val="0"/>
          <w:i w:val="0"/>
          <w:color w:val="374151"/>
          <w:sz w:val="21"/>
        </w:rPr>
        <w:t xml:space="preserve"> [35]. The App's private key is the highest-value secret in the system and lives in an isolated token-mint service (NFR-5; Doc 03).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Key operations (GraphQL-first — several have no REST equivalent)</w:t>
      </w:r>
      <w:r>
        <w:rPr>
          <w:rFonts w:ascii="Arial" w:hAnsi="Arial"/>
          <w:b w:val="0"/>
          <w:i w:val="0"/>
          <w:color w:val="374151"/>
          <w:sz w:val="21"/>
        </w:rPr>
        <w:t xml:space="preserve"> [31]: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Operation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it does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Safety property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createCommitOnBranch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commit fileChanges to a branch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requires expectedHeadOid — a concurrent human push fails the mutation instead of being clobbered; commits are auto-signed and marked Verified as the App [32]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revertPullRequest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opens a PR reverting a merged PR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 durable rollback path; runs the full check suite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enablePullRequestAutoMerge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auto-merge when requirements met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since March 25, 2026: callable only after all requirements are already fulfilled, else HTTP 422 — the pipeline enables it *after* checks pass [33]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mergePullRequest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merge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also accepts expectedHeadOid so a last-second push cannot slip in unreviewed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Checks API (REST)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post named check runs (seo-platform/build, seo-platform/seo-validation) on the PR head SHA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customers can mark them required in branch protection, turning Platform validation into a server-enforced gate [36]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Merge queue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merge_group-triggered CI for high-volume repos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ordering safety at scale [34]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Rate limits</w:t>
      </w:r>
      <w:r>
        <w:rPr>
          <w:rFonts w:ascii="Arial" w:hAnsi="Arial"/>
          <w:b w:val="0"/>
          <w:i w:val="0"/>
          <w:color w:val="374151"/>
          <w:sz w:val="21"/>
        </w:rPr>
        <w:t xml:space="preserve"> [29][30]: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 xml:space="preserve">Primary: </w:t>
      </w:r>
      <w:r>
        <w:rPr>
          <w:rFonts w:ascii="Arial" w:hAnsi="Arial"/>
          <w:b/>
          <w:i w:val="0"/>
          <w:color w:val="111827"/>
          <w:sz w:val="21"/>
        </w:rPr>
        <w:t>5,000 requests/hour per installation</w:t>
      </w:r>
      <w:r>
        <w:rPr>
          <w:rFonts w:ascii="Arial" w:hAnsi="Arial"/>
          <w:b w:val="0"/>
          <w:i w:val="0"/>
          <w:color w:val="374151"/>
          <w:sz w:val="21"/>
        </w:rPr>
        <w:t xml:space="preserve">, +50/h per repo beyond 20 and per user beyond 20, capped at </w:t>
      </w:r>
      <w:r>
        <w:rPr>
          <w:rFonts w:ascii="Arial" w:hAnsi="Arial"/>
          <w:b/>
          <w:i w:val="0"/>
          <w:color w:val="111827"/>
          <w:sz w:val="21"/>
        </w:rPr>
        <w:t>12,500/h</w:t>
      </w:r>
      <w:r>
        <w:rPr>
          <w:rFonts w:ascii="Arial" w:hAnsi="Arial"/>
          <w:b w:val="0"/>
          <w:i w:val="0"/>
          <w:color w:val="374151"/>
          <w:sz w:val="21"/>
        </w:rPr>
        <w:t xml:space="preserve"> (15,000/h on Enterprise Cloud). Per-installation buckets give natural multi-tenant isolation — one customer's burst cannot exhaust another's budget.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 xml:space="preserve">Secondary (the real constraint): </w:t>
      </w:r>
      <w:r>
        <w:rPr>
          <w:rFonts w:ascii="Arial" w:hAnsi="Arial"/>
          <w:b/>
          <w:i w:val="0"/>
          <w:color w:val="111827"/>
          <w:sz w:val="21"/>
        </w:rPr>
        <w:t>80 content-generating requests/minute and 500/hour</w:t>
      </w:r>
      <w:r>
        <w:rPr>
          <w:rFonts w:ascii="Arial" w:hAnsi="Arial"/>
          <w:b w:val="0"/>
          <w:i w:val="0"/>
          <w:color w:val="374151"/>
          <w:sz w:val="21"/>
        </w:rPr>
        <w:t xml:space="preserve"> (commits, branches, PRs, comments). At ~3 writes per change-PR, that is a hard ceiling of roughly </w:t>
      </w:r>
      <w:r>
        <w:rPr>
          <w:rFonts w:ascii="Arial" w:hAnsi="Arial"/>
          <w:b/>
          <w:i w:val="0"/>
          <w:color w:val="111827"/>
          <w:sz w:val="21"/>
        </w:rPr>
        <w:t>150–160 PRs/hour per installation</w:t>
      </w:r>
      <w:r>
        <w:rPr>
          <w:rFonts w:ascii="Arial" w:hAnsi="Arial"/>
          <w:b w:val="0"/>
          <w:i w:val="0"/>
          <w:color w:val="374151"/>
          <w:sz w:val="21"/>
        </w:rPr>
        <w:t xml:space="preserve"> — batching one logical SEO change per PR (with multiple pages of the same change type where appropriate) is a design requirement, not an optimization.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Latency and freshness.</w:t>
      </w:r>
      <w:r>
        <w:rPr>
          <w:rFonts w:ascii="Arial" w:hAnsi="Arial"/>
          <w:b w:val="0"/>
          <w:i w:val="0"/>
          <w:color w:val="374151"/>
          <w:sz w:val="21"/>
        </w:rPr>
        <w:t xml:space="preserve"> Writes are synchronous and immediately consistent for the Platform's purposes: </w:t>
      </w:r>
      <w:r>
        <w:rPr>
          <w:rFonts w:ascii="Consolas" w:hAnsi="Consolas" w:cs="Consolas"/>
          <w:color w:val="111827"/>
          <w:sz w:val="19"/>
        </w:rPr>
        <w:t>createCommitOnBranch</w:t>
      </w:r>
      <w:r>
        <w:rPr>
          <w:rFonts w:ascii="Arial" w:hAnsi="Arial"/>
          <w:b w:val="0"/>
          <w:i w:val="0"/>
          <w:color w:val="374151"/>
          <w:sz w:val="21"/>
        </w:rPr>
        <w:t xml:space="preserve"> and the PR mutations return the new commit/PR in the call, typically well under a second. There is no data-freshness lag of the GSC/GA4 kind — the lag that matters on this channel is downstream and customer-controlled: CI and preview-build time (§7), plus human review time on repos with required approvals. The Platform therefore times the change ledger from the merge commit, and the </w:t>
      </w:r>
      <w:r>
        <w:rPr>
          <w:rFonts w:ascii="Arial" w:hAnsi="Arial"/>
          <w:b w:val="0"/>
          <w:i/>
          <w:color w:val="374151"/>
          <w:sz w:val="21"/>
        </w:rPr>
        <w:t>evaluation</w:t>
      </w:r>
      <w:r>
        <w:rPr>
          <w:rFonts w:ascii="Arial" w:hAnsi="Arial"/>
          <w:b w:val="0"/>
          <w:i w:val="0"/>
          <w:color w:val="374151"/>
          <w:sz w:val="21"/>
        </w:rPr>
        <w:t xml:space="preserve"> clock from verified recrawl (§2.2), never from PR creation.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Cost.</w:t>
      </w:r>
      <w:r>
        <w:rPr>
          <w:rFonts w:ascii="Arial" w:hAnsi="Arial"/>
          <w:b w:val="0"/>
          <w:i w:val="0"/>
          <w:color w:val="374151"/>
          <w:sz w:val="21"/>
        </w:rPr>
        <w:t xml:space="preserve"> Free (API); customer-side CI minutes are theirs.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How the Platform uses it.</w:t>
      </w:r>
      <w:r>
        <w:rPr>
          <w:rFonts w:ascii="Arial" w:hAnsi="Arial"/>
          <w:b w:val="0"/>
          <w:i w:val="0"/>
          <w:color w:val="374151"/>
          <w:sz w:val="21"/>
        </w:rPr>
        <w:t xml:space="preserve"> The FR-10.1 pipeline: branch → </w:t>
      </w:r>
      <w:r>
        <w:rPr>
          <w:rFonts w:ascii="Arial" w:hAnsi="Arial"/>
          <w:b/>
          <w:i w:val="0"/>
          <w:color w:val="111827"/>
          <w:sz w:val="21"/>
        </w:rPr>
        <w:t>AST codemod</w:t>
      </w:r>
      <w:r>
        <w:rPr>
          <w:rFonts w:ascii="Arial" w:hAnsi="Arial"/>
          <w:b w:val="0"/>
          <w:i w:val="0"/>
          <w:color w:val="374151"/>
          <w:sz w:val="21"/>
        </w:rPr>
        <w:t xml:space="preserve"> (a deterministic, parser-based code transform — the edit is performed by rule, with the LLM supplying only the </w:t>
      </w:r>
      <w:r>
        <w:rPr>
          <w:rFonts w:ascii="Arial" w:hAnsi="Arial"/>
          <w:b w:val="0"/>
          <w:i/>
          <w:color w:val="374151"/>
          <w:sz w:val="21"/>
        </w:rPr>
        <w:t>values</w:t>
      </w:r>
      <w:r>
        <w:rPr>
          <w:rFonts w:ascii="Arial" w:hAnsi="Arial"/>
          <w:b w:val="0"/>
          <w:i w:val="0"/>
          <w:color w:val="374151"/>
          <w:sz w:val="21"/>
        </w:rPr>
        <w:t xml:space="preserve"> it injects) or, where a codemod cannot express the change, an LLM-authored patch applied search/replace with apply-or-reject → </w:t>
      </w:r>
      <w:r>
        <w:rPr>
          <w:rFonts w:ascii="Consolas" w:hAnsi="Consolas" w:cs="Consolas"/>
          <w:color w:val="111827"/>
          <w:sz w:val="19"/>
        </w:rPr>
        <w:t>createCommitOnBranch</w:t>
      </w:r>
      <w:r>
        <w:rPr>
          <w:rFonts w:ascii="Arial" w:hAnsi="Arial"/>
          <w:b w:val="0"/>
          <w:i w:val="0"/>
          <w:color w:val="374151"/>
          <w:sz w:val="21"/>
        </w:rPr>
        <w:t xml:space="preserve"> → PR → validation gates posted as Checks → auto-merge (LOW risk, where branch protection allows) or reviewer-requested (MEDIUM) → deploy hook → </w:t>
      </w:r>
      <w:r>
        <w:rPr>
          <w:rFonts w:ascii="Consolas" w:hAnsi="Consolas" w:cs="Consolas"/>
          <w:color w:val="111827"/>
          <w:sz w:val="19"/>
        </w:rPr>
        <w:t>revertPullRequest</w:t>
      </w:r>
      <w:r>
        <w:rPr>
          <w:rFonts w:ascii="Arial" w:hAnsi="Arial"/>
          <w:b w:val="0"/>
          <w:i w:val="0"/>
          <w:color w:val="374151"/>
          <w:sz w:val="21"/>
        </w:rPr>
        <w:t xml:space="preserve"> for durable rollback. The Platform reads each repo's branch protection at onboarding and adapts: required human review caps that repo's automation at "auto-PR", which the product surfaces honestly in the SPEC §26 bucketing. One honest limitation: automation level on the code channel is ultimately bounded by each customer's branch rules, not by the Platform.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5   </w:t>
      </w:r>
      <w:r>
        <w:rPr>
          <w:rFonts w:ascii="Arial" w:hAnsi="Arial"/>
          <w:b/>
          <w:i w:val="0"/>
          <w:color w:val="1E3A8A"/>
          <w:sz w:val="28"/>
        </w:rPr>
        <w:t>WordPress REST API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The broadest-coverage CMS channel (FR-9.2). Near-everything is writable — with one hard exception that makes a companion plugin mandatory.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Auth.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Arial" w:hAnsi="Arial"/>
          <w:b/>
          <w:i w:val="0"/>
          <w:color w:val="111827"/>
          <w:sz w:val="21"/>
        </w:rPr>
        <w:t>Application Passwords</w:t>
      </w:r>
      <w:r>
        <w:rPr>
          <w:rFonts w:ascii="Arial" w:hAnsi="Arial"/>
          <w:b w:val="0"/>
          <w:i w:val="0"/>
          <w:color w:val="374151"/>
          <w:sz w:val="21"/>
        </w:rPr>
        <w:t xml:space="preserve"> — in WordPress core since 5.6 (Nov 2020): per-user, individually revocable, HTTP Basic over HTTPS only [37][38]. Critical limitation: Application Passwords are </w:t>
      </w:r>
      <w:r>
        <w:rPr>
          <w:rFonts w:ascii="Arial" w:hAnsi="Arial"/>
          <w:b/>
          <w:i w:val="0"/>
          <w:color w:val="111827"/>
          <w:sz w:val="21"/>
        </w:rPr>
        <w:t>not scope-limited</w:t>
      </w:r>
      <w:r>
        <w:rPr>
          <w:rFonts w:ascii="Arial" w:hAnsi="Arial"/>
          <w:b w:val="0"/>
          <w:i w:val="0"/>
          <w:color w:val="374151"/>
          <w:sz w:val="21"/>
        </w:rPr>
        <w:t xml:space="preserve"> — they inherit the full capabilities of their user [38]. The only real scope control is the user itself, so onboarding creates a dedicated least-privilege </w:t>
      </w:r>
      <w:r>
        <w:rPr>
          <w:rFonts w:ascii="Arial" w:hAnsi="Arial"/>
          <w:b/>
          <w:i w:val="0"/>
          <w:color w:val="111827"/>
          <w:sz w:val="21"/>
        </w:rPr>
        <w:t>Editor-role</w:t>
      </w:r>
      <w:r>
        <w:rPr>
          <w:rFonts w:ascii="Arial" w:hAnsi="Arial"/>
          <w:b w:val="0"/>
          <w:i w:val="0"/>
          <w:color w:val="374151"/>
          <w:sz w:val="21"/>
        </w:rPr>
        <w:t xml:space="preserve"> user for the Platform (NFR-5). OAuth exists only via plugins and adds install burden for no server-to-server gain.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Core writable surface.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Writable fields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POST /wp/v2/posts/{id}, /pages/{id}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title, content, excerpt, slug, status, meta (registered keys only)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POST /wp/v2/media/{id}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alt_text, title, caption, description [39]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POST /wp/v2/posts/{id}/autosaves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staged content changes without touching the live post (the staging primitive for content edits)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/batch/v1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up to 25 sub-requests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No core rate limit exists; hosts and security plugins (WAFs) impose de-facto ceilings — the adapter paces at ~5–10 requests/second and carries 401/403/429 diagnostics ("your host is blocking REST writes, here is the fix").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The Yoast problem — and the companion plugin requirement.</w:t>
      </w:r>
      <w:r>
        <w:rPr>
          <w:rFonts w:ascii="Arial" w:hAnsi="Arial"/>
          <w:b w:val="0"/>
          <w:i w:val="0"/>
          <w:color w:val="374151"/>
          <w:sz w:val="21"/>
        </w:rPr>
        <w:t xml:space="preserve"> The single most consequential finding on this channel: </w:t>
      </w:r>
      <w:r>
        <w:rPr>
          <w:rFonts w:ascii="Arial" w:hAnsi="Arial"/>
          <w:b/>
          <w:i w:val="0"/>
          <w:color w:val="111827"/>
          <w:sz w:val="21"/>
        </w:rPr>
        <w:t>"The Yoast REST API is currently read-only, and doesn't currently support POST or PUT calls to update the data"</w:t>
      </w:r>
      <w:r>
        <w:rPr>
          <w:rFonts w:ascii="Arial" w:hAnsi="Arial"/>
          <w:b w:val="0"/>
          <w:i w:val="0"/>
          <w:color w:val="374151"/>
          <w:sz w:val="21"/>
        </w:rPr>
        <w:t xml:space="preserve"> [40]. Yoast exposes </w:t>
      </w:r>
      <w:r>
        <w:rPr>
          <w:rFonts w:ascii="Consolas" w:hAnsi="Consolas" w:cs="Consolas"/>
          <w:color w:val="111827"/>
          <w:sz w:val="19"/>
        </w:rPr>
        <w:t>yoast_head_json</w:t>
      </w:r>
      <w:r>
        <w:rPr>
          <w:rFonts w:ascii="Arial" w:hAnsi="Arial"/>
          <w:b w:val="0"/>
          <w:i w:val="0"/>
          <w:color w:val="374151"/>
          <w:sz w:val="21"/>
        </w:rPr>
        <w:t xml:space="preserve"> for cheap </w:t>
      </w:r>
      <w:r>
        <w:rPr>
          <w:rFonts w:ascii="Arial" w:hAnsi="Arial"/>
          <w:b w:val="0"/>
          <w:i/>
          <w:color w:val="374151"/>
          <w:sz w:val="21"/>
        </w:rPr>
        <w:t>reads</w:t>
      </w:r>
      <w:r>
        <w:rPr>
          <w:rFonts w:ascii="Arial" w:hAnsi="Arial"/>
          <w:b w:val="0"/>
          <w:i w:val="0"/>
          <w:color w:val="374151"/>
          <w:sz w:val="21"/>
        </w:rPr>
        <w:t xml:space="preserve"> of current SEO state, but SEO titles and meta descriptions cannot be written through any official Yoast surface. Rank Math is the same shape: WordPress REST </w:t>
      </w:r>
      <w:r>
        <w:rPr>
          <w:rFonts w:ascii="Arial" w:hAnsi="Arial"/>
          <w:b/>
          <w:i w:val="0"/>
          <w:color w:val="111827"/>
          <w:sz w:val="21"/>
        </w:rPr>
        <w:t>silently drops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Consolas" w:hAnsi="Consolas" w:cs="Consolas"/>
          <w:color w:val="111827"/>
          <w:sz w:val="19"/>
        </w:rPr>
        <w:t>rank_math_*</w:t>
      </w:r>
      <w:r>
        <w:rPr>
          <w:rFonts w:ascii="Arial" w:hAnsi="Arial"/>
          <w:b w:val="0"/>
          <w:i w:val="0"/>
          <w:color w:val="374151"/>
          <w:sz w:val="21"/>
        </w:rPr>
        <w:t xml:space="preserve"> meta unless the keys are registered for REST [42]. The production-standard fix, used across the automation ecosystem, is to register the SEO meta keys (</w:t>
      </w:r>
      <w:r>
        <w:rPr>
          <w:rFonts w:ascii="Consolas" w:hAnsi="Consolas" w:cs="Consolas"/>
          <w:color w:val="111827"/>
          <w:sz w:val="19"/>
        </w:rPr>
        <w:t>_yoast_wpseo_title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_yoast_wpseo_metadesc</w:t>
      </w:r>
      <w:r>
        <w:rPr>
          <w:rFonts w:ascii="Arial" w:hAnsi="Arial"/>
          <w:b w:val="0"/>
          <w:i w:val="0"/>
          <w:color w:val="374151"/>
          <w:sz w:val="21"/>
        </w:rPr>
        <w:t xml:space="preserve">; </w:t>
      </w:r>
      <w:r>
        <w:rPr>
          <w:rFonts w:ascii="Consolas" w:hAnsi="Consolas" w:cs="Consolas"/>
          <w:color w:val="111827"/>
          <w:sz w:val="19"/>
        </w:rPr>
        <w:t>rank_math_title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rank_math_description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rank_math_canonical_url</w:t>
      </w:r>
      <w:r>
        <w:rPr>
          <w:rFonts w:ascii="Arial" w:hAnsi="Arial"/>
          <w:b w:val="0"/>
          <w:i w:val="0"/>
          <w:color w:val="374151"/>
          <w:sz w:val="21"/>
        </w:rPr>
        <w:t xml:space="preserve">) via </w:t>
      </w:r>
      <w:r>
        <w:rPr>
          <w:rFonts w:ascii="Consolas" w:hAnsi="Consolas" w:cs="Consolas"/>
          <w:color w:val="111827"/>
          <w:sz w:val="19"/>
        </w:rPr>
        <w:t>register_post_meta(..., show_in_rest: true)</w:t>
      </w:r>
      <w:r>
        <w:rPr>
          <w:rFonts w:ascii="Arial" w:hAnsi="Arial"/>
          <w:b w:val="0"/>
          <w:i w:val="0"/>
          <w:color w:val="374151"/>
          <w:sz w:val="21"/>
        </w:rPr>
        <w:t xml:space="preserve"> and then write them through the normal </w:t>
      </w:r>
      <w:r>
        <w:rPr>
          <w:rFonts w:ascii="Consolas" w:hAnsi="Consolas" w:cs="Consolas"/>
          <w:color w:val="111827"/>
          <w:sz w:val="19"/>
        </w:rPr>
        <w:t>meta</w:t>
      </w:r>
      <w:r>
        <w:rPr>
          <w:rFonts w:ascii="Arial" w:hAnsi="Arial"/>
          <w:b w:val="0"/>
          <w:i w:val="0"/>
          <w:color w:val="374151"/>
          <w:sz w:val="21"/>
        </w:rPr>
        <w:t xml:space="preserve"> object [41][42].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The Platform therefore ships a </w:t>
      </w:r>
      <w:r>
        <w:rPr>
          <w:rFonts w:ascii="Arial" w:hAnsi="Arial"/>
          <w:b/>
          <w:i w:val="0"/>
          <w:color w:val="111827"/>
          <w:sz w:val="21"/>
        </w:rPr>
        <w:t>~50-line companion plugin</w:t>
      </w:r>
      <w:r>
        <w:rPr>
          <w:rFonts w:ascii="Arial" w:hAnsi="Arial"/>
          <w:b w:val="0"/>
          <w:i w:val="0"/>
          <w:color w:val="374151"/>
          <w:sz w:val="21"/>
        </w:rPr>
        <w:t xml:space="preserve">, installed one-click at onboarding, that: (a) detects the active SEO plugin and registers its meta keys for REST with an </w:t>
      </w:r>
      <w:r>
        <w:rPr>
          <w:rFonts w:ascii="Consolas" w:hAnsi="Consolas" w:cs="Consolas"/>
          <w:color w:val="111827"/>
          <w:sz w:val="19"/>
        </w:rPr>
        <w:t>auth_callback</w:t>
      </w:r>
      <w:r>
        <w:rPr>
          <w:rFonts w:ascii="Arial" w:hAnsi="Arial"/>
          <w:b w:val="0"/>
          <w:i w:val="0"/>
          <w:color w:val="374151"/>
          <w:sz w:val="21"/>
        </w:rPr>
        <w:t xml:space="preserve">; (b) exposes a schema-injection hook (JSON-LD via Yoast's </w:t>
      </w:r>
      <w:r>
        <w:rPr>
          <w:rFonts w:ascii="Consolas" w:hAnsi="Consolas" w:cs="Consolas"/>
          <w:color w:val="111827"/>
          <w:sz w:val="19"/>
        </w:rPr>
        <w:t>wpseo_schema_*</w:t>
      </w:r>
      <w:r>
        <w:rPr>
          <w:rFonts w:ascii="Arial" w:hAnsi="Arial"/>
          <w:b w:val="0"/>
          <w:i w:val="0"/>
          <w:color w:val="374151"/>
          <w:sz w:val="21"/>
        </w:rPr>
        <w:t xml:space="preserve"> filters); (c) provides a token-based public preview of autosaves (staging for content edits); (d) provides a cache-purge hook and a health/version endpoint; (e) (post-MVP) a </w:t>
      </w:r>
      <w:r>
        <w:rPr>
          <w:rFonts w:ascii="Consolas" w:hAnsi="Consolas" w:cs="Consolas"/>
          <w:color w:val="111827"/>
          <w:sz w:val="19"/>
        </w:rPr>
        <w:t>replace-file</w:t>
      </w:r>
      <w:r>
        <w:rPr>
          <w:rFonts w:ascii="Arial" w:hAnsi="Arial"/>
          <w:b w:val="0"/>
          <w:i w:val="0"/>
          <w:color w:val="374151"/>
          <w:sz w:val="21"/>
        </w:rPr>
        <w:t xml:space="preserve"> endpoint for same-URL image replacement, which core REST cannot do [39]. Without the plugin, SEO titles and descriptions on WordPress are </w:t>
      </w:r>
      <w:r>
        <w:rPr>
          <w:rFonts w:ascii="Arial" w:hAnsi="Arial"/>
          <w:b/>
          <w:i w:val="0"/>
          <w:color w:val="111827"/>
          <w:sz w:val="21"/>
        </w:rPr>
        <w:t>not writable</w:t>
      </w:r>
      <w:r>
        <w:rPr>
          <w:rFonts w:ascii="Arial" w:hAnsi="Arial"/>
          <w:b w:val="0"/>
          <w:i w:val="0"/>
          <w:color w:val="374151"/>
          <w:sz w:val="21"/>
        </w:rPr>
        <w:t xml:space="preserve"> — the honest capability statement the SPEC §26 bucketing requires.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Rollback caveat.</w:t>
      </w:r>
      <w:r>
        <w:rPr>
          <w:rFonts w:ascii="Arial" w:hAnsi="Arial"/>
          <w:b w:val="0"/>
          <w:i w:val="0"/>
          <w:color w:val="374151"/>
          <w:sz w:val="21"/>
        </w:rPr>
        <w:t xml:space="preserve"> Revisions endpoints support list/get/delete only — </w:t>
      </w:r>
      <w:r>
        <w:rPr>
          <w:rFonts w:ascii="Arial" w:hAnsi="Arial"/>
          <w:b/>
          <w:i w:val="0"/>
          <w:color w:val="111827"/>
          <w:sz w:val="21"/>
        </w:rPr>
        <w:t>there is no restore endpoint</w:t>
      </w:r>
      <w:r>
        <w:rPr>
          <w:rFonts w:ascii="Arial" w:hAnsi="Arial"/>
          <w:b w:val="0"/>
          <w:i w:val="0"/>
          <w:color w:val="374151"/>
          <w:sz w:val="21"/>
        </w:rPr>
        <w:t xml:space="preserve"> — and SEO-plugin postmeta does not participate in revisions (WP 6.4's meta-revisioning framework is opt-in and SEO plugins have not opted in) [43][44]. Consequence: the Platform's own change ledger (before/after values, FR-13) is the rollback source of truth on WordPress; restore = re-apply the </w:t>
      </w:r>
      <w:r>
        <w:rPr>
          <w:rFonts w:ascii="Consolas" w:hAnsi="Consolas" w:cs="Consolas"/>
          <w:color w:val="111827"/>
          <w:sz w:val="19"/>
        </w:rPr>
        <w:t>before</w:t>
      </w:r>
      <w:r>
        <w:rPr>
          <w:rFonts w:ascii="Arial" w:hAnsi="Arial"/>
          <w:b w:val="0"/>
          <w:i w:val="0"/>
          <w:color w:val="374151"/>
          <w:sz w:val="21"/>
        </w:rPr>
        <w:t xml:space="preserve"> value. WP revisions are a secondary net only.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Latency and freshness.</w:t>
      </w:r>
      <w:r>
        <w:rPr>
          <w:rFonts w:ascii="Arial" w:hAnsi="Arial"/>
          <w:b w:val="0"/>
          <w:i w:val="0"/>
          <w:color w:val="374151"/>
          <w:sz w:val="21"/>
        </w:rPr>
        <w:t xml:space="preserve"> Writes are synchronous and take effect on the next page request; there is no eventual-consistency window in core. The two real delays are customer-side and must be modelled, not assumed away: </w:t>
      </w:r>
      <w:r>
        <w:rPr>
          <w:rFonts w:ascii="Arial" w:hAnsi="Arial"/>
          <w:b/>
          <w:i w:val="0"/>
          <w:color w:val="111827"/>
          <w:sz w:val="21"/>
        </w:rPr>
        <w:t>page/object caching</w:t>
      </w:r>
      <w:r>
        <w:rPr>
          <w:rFonts w:ascii="Arial" w:hAnsi="Arial"/>
          <w:b w:val="0"/>
          <w:i w:val="0"/>
          <w:color w:val="374151"/>
          <w:sz w:val="21"/>
        </w:rPr>
        <w:t xml:space="preserve"> (host-level, plugin, or CDN) can serve a stale page for minutes to hours after a successful write, which is why the companion plugin exposes a cache-purge hook; and </w:t>
      </w:r>
      <w:r>
        <w:rPr>
          <w:rFonts w:ascii="Arial" w:hAnsi="Arial"/>
          <w:b/>
          <w:i w:val="0"/>
          <w:color w:val="111827"/>
          <w:sz w:val="21"/>
        </w:rPr>
        <w:t>Googlebot recrawl</w:t>
      </w:r>
      <w:r>
        <w:rPr>
          <w:rFonts w:ascii="Arial" w:hAnsi="Arial"/>
          <w:b w:val="0"/>
          <w:i w:val="0"/>
          <w:color w:val="374151"/>
          <w:sz w:val="21"/>
        </w:rPr>
        <w:t>, which starts the evaluation clock (§2.2) days to weeks later. The adapter re-reads the live URL after every write and compares the rendered tag against the intended value before recording the change as applied.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Cost.</w:t>
      </w:r>
      <w:r>
        <w:rPr>
          <w:rFonts w:ascii="Arial" w:hAnsi="Arial"/>
          <w:b w:val="0"/>
          <w:i w:val="0"/>
          <w:color w:val="374151"/>
          <w:sz w:val="21"/>
        </w:rPr>
        <w:t xml:space="preserve"> Free.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How the Platform uses it.</w:t>
      </w:r>
      <w:r>
        <w:rPr>
          <w:rFonts w:ascii="Arial" w:hAnsi="Arial"/>
          <w:b w:val="0"/>
          <w:i w:val="0"/>
          <w:color w:val="374151"/>
          <w:sz w:val="21"/>
        </w:rPr>
        <w:t xml:space="preserve"> One write sequence per change type, all of them read-before-write (NFR-1) so the ledger records a true </w:t>
      </w:r>
      <w:r>
        <w:rPr>
          <w:rFonts w:ascii="Consolas" w:hAnsi="Consolas" w:cs="Consolas"/>
          <w:color w:val="111827"/>
          <w:sz w:val="19"/>
        </w:rPr>
        <w:t>before</w:t>
      </w:r>
      <w:r>
        <w:rPr>
          <w:rFonts w:ascii="Arial" w:hAnsi="Arial"/>
          <w:b w:val="0"/>
          <w:i w:val="0"/>
          <w:color w:val="374151"/>
          <w:sz w:val="21"/>
        </w:rPr>
        <w:t xml:space="preserve"> value: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Change type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Write sequence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SEO title / meta description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GET /wp/v2/posts/{id}?_fields=meta,yoast_head_json to capture before → POST the registered meta key (_yoast_wpseo_title / rank_math_title, etc.) → re-read to confirm the value round-tripped (the silent-drop symptom is a 200 with the old value still in place)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Image alt text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POST /wp/v2/media/{id} with alt_text [39]; attachment-level only — alt hardcoded inside post_content needs the content path instead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Body content / headings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POST /wp/v2/posts/{id}/autosaves to stage → validate on the plugin's token-preview URL (§7) → POST /wp/v2/posts/{id} to publish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JSON-LD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 companion plugin's schema-injection hook (Yoast wpseo_schema_* filters), not a REST field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Canonical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registered canonical meta key where the SEO plugin exposes one; otherwise refused and surfaced as an unsupported action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Batching and ordering.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Consolas" w:hAnsi="Consolas" w:cs="Consolas"/>
          <w:color w:val="111827"/>
          <w:sz w:val="19"/>
        </w:rPr>
        <w:t>/batch/v1</w:t>
      </w:r>
      <w:r>
        <w:rPr>
          <w:rFonts w:ascii="Arial" w:hAnsi="Arial"/>
          <w:b w:val="0"/>
          <w:i w:val="0"/>
          <w:color w:val="374151"/>
          <w:sz w:val="21"/>
        </w:rPr>
        <w:t xml:space="preserve"> takes up to 25 sub-requests and is used for same-type changes across posts (bulk alt text, bulk meta descriptions); it is </w:t>
      </w:r>
      <w:r>
        <w:rPr>
          <w:rFonts w:ascii="Arial" w:hAnsi="Arial"/>
          <w:b w:val="0"/>
          <w:i/>
          <w:color w:val="374151"/>
          <w:sz w:val="21"/>
        </w:rPr>
        <w:t>not</w:t>
      </w:r>
      <w:r>
        <w:rPr>
          <w:rFonts w:ascii="Arial" w:hAnsi="Arial"/>
          <w:b w:val="0"/>
          <w:i w:val="0"/>
          <w:color w:val="374151"/>
          <w:sz w:val="21"/>
        </w:rPr>
        <w:t xml:space="preserve"> used to mix change types, because a partial failure inside a mixed batch is harder to unwind against the ledger. The adapter paces at ~5–10 requests/second regardless, since the binding limit is the host's WAF rather than WordPress core. Ordering follows the change ledger's batch boundary (D-14): one ledger batch = one CMS transaction, applied in ledger order, and a failure mid-batch stops the batch and marks the remainder unapplied rather than continuing — so the rollback unit and the apply unit are always the same set.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6   </w:t>
      </w:r>
      <w:r>
        <w:rPr>
          <w:rFonts w:ascii="Arial" w:hAnsi="Arial"/>
          <w:b/>
          <w:i w:val="0"/>
          <w:color w:val="1E3A8A"/>
          <w:sz w:val="28"/>
        </w:rPr>
        <w:t>Shopify Admin GraphQL API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The e-commerce channel (FR-9.3; post-MVP but designed now). Integration is only possible as a </w:t>
      </w:r>
      <w:r>
        <w:rPr>
          <w:rFonts w:ascii="Arial" w:hAnsi="Arial"/>
          <w:b/>
          <w:i w:val="0"/>
          <w:color w:val="111827"/>
          <w:sz w:val="21"/>
        </w:rPr>
        <w:t>Shopify app</w:t>
      </w:r>
      <w:r>
        <w:rPr>
          <w:rFonts w:ascii="Arial" w:hAnsi="Arial"/>
          <w:b w:val="0"/>
          <w:i w:val="0"/>
          <w:color w:val="374151"/>
          <w:sz w:val="21"/>
        </w:rPr>
        <w:t xml:space="preserve"> — a custom app per store for early customers (merchant-created token), a public OAuth app for scale. The REST Admin API is legacy; all work targets the GraphQL Admin API, current version </w:t>
      </w:r>
      <w:r>
        <w:rPr>
          <w:rFonts w:ascii="Arial" w:hAnsi="Arial"/>
          <w:b/>
          <w:i w:val="0"/>
          <w:color w:val="111827"/>
          <w:sz w:val="21"/>
        </w:rPr>
        <w:t>2026-07</w:t>
      </w:r>
      <w:r>
        <w:rPr>
          <w:rFonts w:ascii="Arial" w:hAnsi="Arial"/>
          <w:b w:val="0"/>
          <w:i w:val="0"/>
          <w:color w:val="374151"/>
          <w:sz w:val="21"/>
        </w:rPr>
        <w:t xml:space="preserve"> [45]. The API ships quarterly dated versions, each supported for 12 months — every adapter pins a version and budgets a quarterly upgrade review.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SEO-writable surface.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Mechanism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Products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productUpdate with seo { title, description } [45]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write_products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Pages, collections, blogs, articles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metafields global.title_tag / global.description_tag (single_line_text_field) [46]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resource write scopes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Per-resource noindex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metafield seo.hidden = 1 [46]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same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Redirects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urlRedirectCreate (301s) [48]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write_online_store_navigation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Image alt + same-URL binary replacement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fileUpdate — originalSource replaces file content "while maintaining the same URL"; async processing [52]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write_files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Theme files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themeFilesUpsert, ≤50 files/request, async [50]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write_themes + exemption (below)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Two verified gotchas that shaped the adapter: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Partial `seo` input nulls the omitted field</w:t>
      </w:r>
      <w:r>
        <w:rPr>
          <w:rFonts w:ascii="Arial" w:hAnsi="Arial"/>
          <w:b w:val="0"/>
          <w:i w:val="0"/>
          <w:color w:val="374151"/>
          <w:sz w:val="21"/>
        </w:rPr>
        <w:t xml:space="preserve"> — updating </w:t>
      </w:r>
      <w:r>
        <w:rPr>
          <w:rFonts w:ascii="Consolas" w:hAnsi="Consolas" w:cs="Consolas"/>
          <w:color w:val="111827"/>
          <w:sz w:val="19"/>
        </w:rPr>
        <w:t>seo.title</w:t>
      </w:r>
      <w:r>
        <w:rPr>
          <w:rFonts w:ascii="Arial" w:hAnsi="Arial"/>
          <w:b w:val="0"/>
          <w:i w:val="0"/>
          <w:color w:val="374151"/>
          <w:sz w:val="21"/>
        </w:rPr>
        <w:t xml:space="preserve"> without echoing </w:t>
      </w:r>
      <w:r>
        <w:rPr>
          <w:rFonts w:ascii="Consolas" w:hAnsi="Consolas" w:cs="Consolas"/>
          <w:color w:val="111827"/>
          <w:sz w:val="19"/>
        </w:rPr>
        <w:t>seo.description</w:t>
      </w:r>
      <w:r>
        <w:rPr>
          <w:rFonts w:ascii="Arial" w:hAnsi="Arial"/>
          <w:b w:val="0"/>
          <w:i w:val="0"/>
          <w:color w:val="374151"/>
          <w:sz w:val="21"/>
        </w:rPr>
        <w:t xml:space="preserve"> silently wipes the description [47]. The adapter always reads before writing and echoes unchanged fields (this also aligns with the Platform-wide read-before-overwrite rule, NFR-1).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Changing a handle does not auto-create a redirect</w:t>
      </w:r>
      <w:r>
        <w:rPr>
          <w:rFonts w:ascii="Arial" w:hAnsi="Arial"/>
          <w:b w:val="0"/>
          <w:i w:val="0"/>
          <w:color w:val="374151"/>
          <w:sz w:val="21"/>
        </w:rPr>
        <w:t xml:space="preserve"> — any URL change must be paired with </w:t>
      </w:r>
      <w:r>
        <w:rPr>
          <w:rFonts w:ascii="Consolas" w:hAnsi="Consolas" w:cs="Consolas"/>
          <w:color w:val="111827"/>
          <w:sz w:val="19"/>
        </w:rPr>
        <w:t>urlRedirectCreate</w:t>
      </w:r>
      <w:r>
        <w:rPr>
          <w:rFonts w:ascii="Arial" w:hAnsi="Arial"/>
          <w:b w:val="0"/>
          <w:i w:val="0"/>
          <w:color w:val="374151"/>
          <w:sz w:val="21"/>
        </w:rPr>
        <w:t xml:space="preserve"> or refused. Unpaired handle changes are HIGH risk and permanently human-gated (FR-11.2).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The theme-write restriction.</w:t>
      </w:r>
      <w:r>
        <w:rPr>
          <w:rFonts w:ascii="Arial" w:hAnsi="Arial"/>
          <w:b w:val="0"/>
          <w:i w:val="0"/>
          <w:color w:val="374151"/>
          <w:sz w:val="21"/>
        </w:rPr>
        <w:t xml:space="preserve"> The legacy Asset API has been restricted since Admin API 2023-04: theme writes for public apps require </w:t>
      </w:r>
      <w:r>
        <w:rPr>
          <w:rFonts w:ascii="Consolas" w:hAnsi="Consolas" w:cs="Consolas"/>
          <w:color w:val="111827"/>
          <w:sz w:val="19"/>
        </w:rPr>
        <w:t>write_themes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Arial" w:hAnsi="Arial"/>
          <w:b/>
          <w:i w:val="0"/>
          <w:color w:val="111827"/>
          <w:sz w:val="21"/>
        </w:rPr>
        <w:t>plus a protected-scope exemption</w:t>
      </w:r>
      <w:r>
        <w:rPr>
          <w:rFonts w:ascii="Arial" w:hAnsi="Arial"/>
          <w:b w:val="0"/>
          <w:i w:val="0"/>
          <w:color w:val="374151"/>
          <w:sz w:val="21"/>
        </w:rPr>
        <w:t xml:space="preserve">, for which "apps providing search engine optimization" is an explicitly named qualifying category (Google-form request, ~2-week review) [49]. Shopify has been auditing and revoking unused theme-access grants through 2026 — assume this surface keeps tightening [49]. Design decision: </w:t>
      </w:r>
      <w:r>
        <w:rPr>
          <w:rFonts w:ascii="Arial" w:hAnsi="Arial"/>
          <w:b/>
          <w:i w:val="0"/>
          <w:color w:val="111827"/>
          <w:sz w:val="21"/>
        </w:rPr>
        <w:t>theme writes stay out of the core loop.</w:t>
      </w:r>
      <w:r>
        <w:rPr>
          <w:rFonts w:ascii="Arial" w:hAnsi="Arial"/>
          <w:b w:val="0"/>
          <w:i w:val="0"/>
          <w:color w:val="374151"/>
          <w:sz w:val="21"/>
        </w:rPr>
        <w:t xml:space="preserve"> Metafields + </w:t>
      </w:r>
      <w:r>
        <w:rPr>
          <w:rFonts w:ascii="Consolas" w:hAnsi="Consolas" w:cs="Consolas"/>
          <w:color w:val="111827"/>
          <w:sz w:val="19"/>
        </w:rPr>
        <w:t>seo</w:t>
      </w:r>
      <w:r>
        <w:rPr>
          <w:rFonts w:ascii="Arial" w:hAnsi="Arial"/>
          <w:b w:val="0"/>
          <w:i w:val="0"/>
          <w:color w:val="374151"/>
          <w:sz w:val="21"/>
        </w:rPr>
        <w:t xml:space="preserve"> fields + </w:t>
      </w:r>
      <w:r>
        <w:rPr>
          <w:rFonts w:ascii="Consolas" w:hAnsi="Consolas" w:cs="Consolas"/>
          <w:color w:val="111827"/>
          <w:sz w:val="19"/>
        </w:rPr>
        <w:t>urlRedirectCreate</w:t>
      </w:r>
      <w:r>
        <w:rPr>
          <w:rFonts w:ascii="Arial" w:hAnsi="Arial"/>
          <w:b w:val="0"/>
          <w:i w:val="0"/>
          <w:color w:val="374151"/>
          <w:sz w:val="21"/>
        </w:rPr>
        <w:t xml:space="preserve"> + a theme app extension (app-embed block, the sanctioned no-exemption mechanism) for JSON-LD cover ~90% of actions; </w:t>
      </w:r>
      <w:r>
        <w:rPr>
          <w:rFonts w:ascii="Consolas" w:hAnsi="Consolas" w:cs="Consolas"/>
          <w:color w:val="111827"/>
          <w:sz w:val="19"/>
        </w:rPr>
        <w:t>themeFilesUpsert</w:t>
      </w:r>
      <w:r>
        <w:rPr>
          <w:rFonts w:ascii="Arial" w:hAnsi="Arial"/>
          <w:b w:val="0"/>
          <w:i w:val="0"/>
          <w:color w:val="374151"/>
          <w:sz w:val="21"/>
        </w:rPr>
        <w:t xml:space="preserve"> with an exemption is reserved for rare structural fixes, always preceded by a duplicate-theme staged preview (Doc 04's validation ladder). Additionally, </w:t>
      </w:r>
      <w:r>
        <w:rPr>
          <w:rFonts w:ascii="Consolas" w:hAnsi="Consolas" w:cs="Consolas"/>
          <w:color w:val="111827"/>
          <w:sz w:val="19"/>
        </w:rPr>
        <w:t>read_orders</w:t>
      </w:r>
      <w:r>
        <w:rPr>
          <w:rFonts w:ascii="Arial" w:hAnsi="Arial"/>
          <w:b w:val="0"/>
          <w:i w:val="0"/>
          <w:color w:val="374151"/>
          <w:sz w:val="21"/>
        </w:rPr>
        <w:t xml:space="preserve"> (used post-MVP for order-truth conversion cross-checks via </w:t>
      </w:r>
      <w:r>
        <w:rPr>
          <w:rFonts w:ascii="Consolas" w:hAnsi="Consolas" w:cs="Consolas"/>
          <w:color w:val="111827"/>
          <w:sz w:val="19"/>
        </w:rPr>
        <w:t>CustomerJourneySummary</w:t>
      </w:r>
      <w:r>
        <w:rPr>
          <w:rFonts w:ascii="Arial" w:hAnsi="Arial"/>
          <w:b w:val="0"/>
          <w:i w:val="0"/>
          <w:color w:val="374151"/>
          <w:sz w:val="21"/>
        </w:rPr>
        <w:t xml:space="preserve">) is </w:t>
      </w:r>
      <w:r>
        <w:rPr>
          <w:rFonts w:ascii="Arial" w:hAnsi="Arial"/>
          <w:b/>
          <w:i w:val="0"/>
          <w:color w:val="111827"/>
          <w:sz w:val="21"/>
        </w:rPr>
        <w:t>protected customer data</w:t>
      </w:r>
      <w:r>
        <w:rPr>
          <w:rFonts w:ascii="Arial" w:hAnsi="Arial"/>
          <w:b w:val="0"/>
          <w:i w:val="0"/>
          <w:color w:val="374151"/>
          <w:sz w:val="21"/>
        </w:rPr>
        <w:t xml:space="preserve"> requiring Shopify app review [53].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Rate limits.</w:t>
      </w:r>
      <w:r>
        <w:rPr>
          <w:rFonts w:ascii="Arial" w:hAnsi="Arial"/>
          <w:b w:val="0"/>
          <w:i w:val="0"/>
          <w:color w:val="374151"/>
          <w:sz w:val="21"/>
        </w:rPr>
        <w:t xml:space="preserve"> Cost-based, not request-based: a </w:t>
      </w:r>
      <w:r>
        <w:rPr>
          <w:rFonts w:ascii="Arial" w:hAnsi="Arial"/>
          <w:b/>
          <w:i w:val="0"/>
          <w:color w:val="111827"/>
          <w:sz w:val="21"/>
        </w:rPr>
        <w:t>1,000-point bucket restoring at 50 points/second</w:t>
      </w:r>
      <w:r>
        <w:rPr>
          <w:rFonts w:ascii="Arial" w:hAnsi="Arial"/>
          <w:b w:val="0"/>
          <w:i w:val="0"/>
          <w:color w:val="374151"/>
          <w:sz w:val="21"/>
        </w:rPr>
        <w:t xml:space="preserve"> (Shopify Plus: 2,000 / 100/s); any single query ≤1,000 points; mutations cost ~10 points, so sustained throughput is ~5 mutations/second — bulk SEO rewrites across thousands of products are paced or routed through </w:t>
      </w:r>
      <w:r>
        <w:rPr>
          <w:rFonts w:ascii="Consolas" w:hAnsi="Consolas" w:cs="Consolas"/>
          <w:color w:val="111827"/>
          <w:sz w:val="19"/>
        </w:rPr>
        <w:t>bulkOperationRunMutation</w:t>
      </w:r>
      <w:r>
        <w:rPr>
          <w:rFonts w:ascii="Arial" w:hAnsi="Arial"/>
          <w:b w:val="0"/>
          <w:i w:val="0"/>
          <w:color w:val="374151"/>
          <w:sz w:val="21"/>
        </w:rPr>
        <w:t xml:space="preserve"> [51].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Latency and freshness.</w:t>
      </w:r>
      <w:r>
        <w:rPr>
          <w:rFonts w:ascii="Arial" w:hAnsi="Arial"/>
          <w:b w:val="0"/>
          <w:i w:val="0"/>
          <w:color w:val="374151"/>
          <w:sz w:val="21"/>
        </w:rPr>
        <w:t xml:space="preserve"> Field mutations (</w:t>
      </w:r>
      <w:r>
        <w:rPr>
          <w:rFonts w:ascii="Consolas" w:hAnsi="Consolas" w:cs="Consolas"/>
          <w:color w:val="111827"/>
          <w:sz w:val="19"/>
        </w:rPr>
        <w:t>productUpdate</w:t>
      </w:r>
      <w:r>
        <w:rPr>
          <w:rFonts w:ascii="Arial" w:hAnsi="Arial"/>
          <w:b w:val="0"/>
          <w:i w:val="0"/>
          <w:color w:val="374151"/>
          <w:sz w:val="21"/>
        </w:rPr>
        <w:t xml:space="preserve">, metafield writes, </w:t>
      </w:r>
      <w:r>
        <w:rPr>
          <w:rFonts w:ascii="Consolas" w:hAnsi="Consolas" w:cs="Consolas"/>
          <w:color w:val="111827"/>
          <w:sz w:val="19"/>
        </w:rPr>
        <w:t>urlRedirectCreate</w:t>
      </w:r>
      <w:r>
        <w:rPr>
          <w:rFonts w:ascii="Arial" w:hAnsi="Arial"/>
          <w:b w:val="0"/>
          <w:i w:val="0"/>
          <w:color w:val="374151"/>
          <w:sz w:val="21"/>
        </w:rPr>
        <w:t xml:space="preserve">) are synchronous and take effect on the storefront within seconds. Two operations are explicitly </w:t>
      </w:r>
      <w:r>
        <w:rPr>
          <w:rFonts w:ascii="Arial" w:hAnsi="Arial"/>
          <w:b/>
          <w:i w:val="0"/>
          <w:color w:val="111827"/>
          <w:sz w:val="21"/>
        </w:rPr>
        <w:t>asynchronous</w:t>
      </w:r>
      <w:r>
        <w:rPr>
          <w:rFonts w:ascii="Arial" w:hAnsi="Arial"/>
          <w:b w:val="0"/>
          <w:i w:val="0"/>
          <w:color w:val="374151"/>
          <w:sz w:val="21"/>
        </w:rPr>
        <w:t xml:space="preserve"> and must be polled rather than assumed complete: </w:t>
      </w:r>
      <w:r>
        <w:rPr>
          <w:rFonts w:ascii="Consolas" w:hAnsi="Consolas" w:cs="Consolas"/>
          <w:color w:val="111827"/>
          <w:sz w:val="19"/>
        </w:rPr>
        <w:t>fileUpdate</w:t>
      </w:r>
      <w:r>
        <w:rPr>
          <w:rFonts w:ascii="Arial" w:hAnsi="Arial"/>
          <w:b w:val="0"/>
          <w:i w:val="0"/>
          <w:color w:val="374151"/>
          <w:sz w:val="21"/>
        </w:rPr>
        <w:t xml:space="preserve"> returns while the replaced image is still </w:t>
      </w:r>
      <w:r>
        <w:rPr>
          <w:rFonts w:ascii="Consolas" w:hAnsi="Consolas" w:cs="Consolas"/>
          <w:color w:val="111827"/>
          <w:sz w:val="19"/>
        </w:rPr>
        <w:t>PROCESSING</w:t>
      </w:r>
      <w:r>
        <w:rPr>
          <w:rFonts w:ascii="Arial" w:hAnsi="Arial"/>
          <w:b w:val="0"/>
          <w:i w:val="0"/>
          <w:color w:val="374151"/>
          <w:sz w:val="21"/>
        </w:rPr>
        <w:t xml:space="preserve"> [52], and </w:t>
      </w:r>
      <w:r>
        <w:rPr>
          <w:rFonts w:ascii="Consolas" w:hAnsi="Consolas" w:cs="Consolas"/>
          <w:color w:val="111827"/>
          <w:sz w:val="19"/>
        </w:rPr>
        <w:t>themeFilesUpsert</w:t>
      </w:r>
      <w:r>
        <w:rPr>
          <w:rFonts w:ascii="Arial" w:hAnsi="Arial"/>
          <w:b w:val="0"/>
          <w:i w:val="0"/>
          <w:color w:val="374151"/>
          <w:sz w:val="21"/>
        </w:rPr>
        <w:t xml:space="preserve"> returns a job [50]. Both are modelled as pending states in the change ledger, and no change is marked applied until the resource reports ready and a storefront re-read confirms it. As on every channel, the evaluation clock still starts at verified recrawl (§2.2), not at write time.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Cost.</w:t>
      </w:r>
      <w:r>
        <w:rPr>
          <w:rFonts w:ascii="Arial" w:hAnsi="Arial"/>
          <w:b w:val="0"/>
          <w:i w:val="0"/>
          <w:color w:val="374151"/>
          <w:sz w:val="21"/>
        </w:rPr>
        <w:t xml:space="preserve"> Free (API).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How the Platform uses it.</w:t>
      </w:r>
      <w:r>
        <w:rPr>
          <w:rFonts w:ascii="Arial" w:hAnsi="Arial"/>
          <w:b w:val="0"/>
          <w:i w:val="0"/>
          <w:color w:val="374151"/>
          <w:sz w:val="21"/>
        </w:rPr>
        <w:t xml:space="preserve"> One write sequence per change type, every one of them read-before-write — mandatory here rather than merely good practice, because of the </w:t>
      </w:r>
      <w:r>
        <w:rPr>
          <w:rFonts w:ascii="Consolas" w:hAnsi="Consolas" w:cs="Consolas"/>
          <w:color w:val="111827"/>
          <w:sz w:val="19"/>
        </w:rPr>
        <w:t>seo</w:t>
      </w:r>
      <w:r>
        <w:rPr>
          <w:rFonts w:ascii="Arial" w:hAnsi="Arial"/>
          <w:b w:val="0"/>
          <w:i w:val="0"/>
          <w:color w:val="374151"/>
          <w:sz w:val="21"/>
        </w:rPr>
        <w:t xml:space="preserve"> nulling behaviour above: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Change type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Write sequence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Product SEO title / description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query product { seo { title description } } → productUpdate echoing both seo fields even when only one changes [45][47]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Page / collection / blog / article SEO title + description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read then write global.title_tag / global.description_tag metafields (single_line_text_field) [46]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Per-resource noindex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metafield seo.hidden = 1 [46]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Handle change (URL change)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refused unless paired in the same ledger batch with urlRedirectCreate for the old path [48]; unpaired handle changes are HIGH risk and permanently human-gated (FR-11.2)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Image alt text / same-URL image replacement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fileUpdate — alt inline, binary via originalSource, then poll to ready [52]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JSON-LD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theme app extension (app-embed block), not a theme-file write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Batching and ordering.</w:t>
      </w:r>
      <w:r>
        <w:rPr>
          <w:rFonts w:ascii="Arial" w:hAnsi="Arial"/>
          <w:b w:val="0"/>
          <w:i w:val="0"/>
          <w:color w:val="374151"/>
          <w:sz w:val="21"/>
        </w:rPr>
        <w:t xml:space="preserve"> Mutations are paced against the point bucket at ~5/second; anything above a few hundred products is routed through </w:t>
      </w:r>
      <w:r>
        <w:rPr>
          <w:rFonts w:ascii="Consolas" w:hAnsi="Consolas" w:cs="Consolas"/>
          <w:color w:val="111827"/>
          <w:sz w:val="19"/>
        </w:rPr>
        <w:t>bulkOperationRunMutation</w:t>
      </w:r>
      <w:r>
        <w:rPr>
          <w:rFonts w:ascii="Arial" w:hAnsi="Arial"/>
          <w:b w:val="0"/>
          <w:i w:val="0"/>
          <w:color w:val="374151"/>
          <w:sz w:val="21"/>
        </w:rPr>
        <w:t xml:space="preserve"> [51], which the Platform treats as one ledger batch with one receipt. Ordering is load-bearing on this channel in a way it is not elsewhere: within a batch, </w:t>
      </w:r>
      <w:r>
        <w:rPr>
          <w:rFonts w:ascii="Arial" w:hAnsi="Arial"/>
          <w:b/>
          <w:i w:val="0"/>
          <w:color w:val="111827"/>
          <w:sz w:val="21"/>
        </w:rPr>
        <w:t>redirect creation precedes the handle change that needs it</w:t>
      </w:r>
      <w:r>
        <w:rPr>
          <w:rFonts w:ascii="Arial" w:hAnsi="Arial"/>
          <w:b w:val="0"/>
          <w:i w:val="0"/>
          <w:color w:val="374151"/>
          <w:sz w:val="21"/>
        </w:rPr>
        <w:t xml:space="preserve">, and metafield writes precede any publish step, so that no intermediate state is ever live where a URL has moved without its 301. Rollback is ledger-driven inverse writes (D-21) — there is no Shopify-side revision history to restore from — which is the second reason the </w:t>
      </w:r>
      <w:r>
        <w:rPr>
          <w:rFonts w:ascii="Consolas" w:hAnsi="Consolas" w:cs="Consolas"/>
          <w:color w:val="111827"/>
          <w:sz w:val="19"/>
        </w:rPr>
        <w:t>before</w:t>
      </w:r>
      <w:r>
        <w:rPr>
          <w:rFonts w:ascii="Arial" w:hAnsi="Arial"/>
          <w:b w:val="0"/>
          <w:i w:val="0"/>
          <w:color w:val="374151"/>
          <w:sz w:val="21"/>
        </w:rPr>
        <w:t xml:space="preserve"> read is not optional.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7   </w:t>
      </w:r>
      <w:r>
        <w:rPr>
          <w:rFonts w:ascii="Arial" w:hAnsi="Arial"/>
          <w:b/>
          <w:i w:val="0"/>
          <w:color w:val="1E3A8A"/>
          <w:sz w:val="28"/>
        </w:rPr>
        <w:t>Deploy hosts and the custom-site edge channel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Two related surfaces sit here. </w:t>
      </w:r>
      <w:r>
        <w:rPr>
          <w:rFonts w:ascii="Arial" w:hAnsi="Arial"/>
          <w:b/>
          <w:i w:val="0"/>
          <w:color w:val="111827"/>
          <w:sz w:val="21"/>
        </w:rPr>
        <w:t>§7.1–7.2</w:t>
      </w:r>
      <w:r>
        <w:rPr>
          <w:rFonts w:ascii="Arial" w:hAnsi="Arial"/>
          <w:b w:val="0"/>
          <w:i w:val="0"/>
          <w:color w:val="374151"/>
          <w:sz w:val="21"/>
        </w:rPr>
        <w:t xml:space="preserve"> cover the deploy hosts that make the git channel's Validate and Rollback stages real (FR-12.1, FR-14.2): every generated change is validated against a </w:t>
      </w:r>
      <w:r>
        <w:rPr>
          <w:rFonts w:ascii="Arial" w:hAnsi="Arial"/>
          <w:b/>
          <w:i w:val="0"/>
          <w:color w:val="111827"/>
          <w:sz w:val="21"/>
        </w:rPr>
        <w:t>rendered preview URL</w:t>
      </w:r>
      <w:r>
        <w:rPr>
          <w:rFonts w:ascii="Arial" w:hAnsi="Arial"/>
          <w:b w:val="0"/>
          <w:i w:val="0"/>
          <w:color w:val="374151"/>
          <w:sz w:val="21"/>
        </w:rPr>
        <w:t xml:space="preserve"> before production, and production can be repointed to a prior deployment in seconds. </w:t>
      </w:r>
      <w:r>
        <w:rPr>
          <w:rFonts w:ascii="Arial" w:hAnsi="Arial"/>
          <w:b/>
          <w:i w:val="0"/>
          <w:color w:val="111827"/>
          <w:sz w:val="21"/>
        </w:rPr>
        <w:t>§7.3</w:t>
      </w:r>
      <w:r>
        <w:rPr>
          <w:rFonts w:ascii="Arial" w:hAnsi="Arial"/>
          <w:b w:val="0"/>
          <w:i w:val="0"/>
          <w:color w:val="374151"/>
          <w:sz w:val="21"/>
        </w:rPr>
        <w:t xml:space="preserve"> covers the fourth change-application channel — edge-worker injection for custom sites (FR-9.4), the adapter that reaches sites with no git repo, no supported CMS, and no Shopify store.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7.1  </w:t>
      </w:r>
      <w:r>
        <w:rPr>
          <w:rFonts w:ascii="Arial" w:hAnsi="Arial"/>
          <w:b/>
          <w:i w:val="0"/>
          <w:color w:val="1E3A8A"/>
          <w:sz w:val="24"/>
        </w:rPr>
        <w:t>Vercel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Preview deployments: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Consolas" w:hAnsi="Consolas" w:cs="Consolas"/>
          <w:color w:val="111827"/>
          <w:sz w:val="19"/>
        </w:rPr>
        <w:t>POST /v13/deployments</w:t>
      </w:r>
      <w:r>
        <w:rPr>
          <w:rFonts w:ascii="Arial" w:hAnsi="Arial"/>
          <w:b w:val="0"/>
          <w:i w:val="0"/>
          <w:color w:val="374151"/>
          <w:sz w:val="21"/>
        </w:rPr>
        <w:t xml:space="preserve"> with </w:t>
      </w:r>
      <w:r>
        <w:rPr>
          <w:rFonts w:ascii="Consolas" w:hAnsi="Consolas" w:cs="Consolas"/>
          <w:color w:val="111827"/>
          <w:sz w:val="19"/>
        </w:rPr>
        <w:t>gitSource: {type, org, repo, ref}</w:t>
      </w:r>
      <w:r>
        <w:rPr>
          <w:rFonts w:ascii="Arial" w:hAnsi="Arial"/>
          <w:b w:val="0"/>
          <w:i w:val="0"/>
          <w:color w:val="374151"/>
          <w:sz w:val="21"/>
        </w:rPr>
        <w:t xml:space="preserve"> builds a branch and returns a unique preview URL; states </w:t>
      </w:r>
      <w:r>
        <w:rPr>
          <w:rFonts w:ascii="Consolas" w:hAnsi="Consolas" w:cs="Consolas"/>
          <w:color w:val="111827"/>
          <w:sz w:val="19"/>
        </w:rPr>
        <w:t>QUEUED → INITIALIZING → BUILDING → READY|ERROR</w:t>
      </w:r>
      <w:r>
        <w:rPr>
          <w:rFonts w:ascii="Arial" w:hAnsi="Arial"/>
          <w:b w:val="0"/>
          <w:i w:val="0"/>
          <w:color w:val="374151"/>
          <w:sz w:val="21"/>
        </w:rPr>
        <w:t xml:space="preserve">; </w:t>
      </w:r>
      <w:r>
        <w:rPr>
          <w:rFonts w:ascii="Consolas" w:hAnsi="Consolas" w:cs="Consolas"/>
          <w:color w:val="111827"/>
          <w:sz w:val="19"/>
        </w:rPr>
        <w:t>skipAutoDetectionConfirmation=1</w:t>
      </w:r>
      <w:r>
        <w:rPr>
          <w:rFonts w:ascii="Arial" w:hAnsi="Arial"/>
          <w:b w:val="0"/>
          <w:i w:val="0"/>
          <w:color w:val="374151"/>
          <w:sz w:val="21"/>
        </w:rPr>
        <w:t xml:space="preserve"> suppresses framework-mismatch 400s in automation [54]. Deployment Protection can gate preview URLs; a protection-bypass API lets the validator fetch protected previews [55].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Limits that size the pipeline</w:t>
      </w:r>
      <w:r>
        <w:rPr>
          <w:rFonts w:ascii="Arial" w:hAnsi="Arial"/>
          <w:b w:val="0"/>
          <w:i w:val="0"/>
          <w:color w:val="374151"/>
          <w:sz w:val="21"/>
        </w:rPr>
        <w:t xml:space="preserve"> [55]: deployments/day </w:t>
      </w:r>
      <w:r>
        <w:rPr>
          <w:rFonts w:ascii="Arial" w:hAnsi="Arial"/>
          <w:b/>
          <w:i w:val="0"/>
          <w:color w:val="111827"/>
          <w:sz w:val="21"/>
        </w:rPr>
        <w:t>100 (Hobby) / 6,000 (Pro) / 24,000 (Enterprise)</w:t>
      </w:r>
      <w:r>
        <w:rPr>
          <w:rFonts w:ascii="Arial" w:hAnsi="Arial"/>
          <w:b w:val="0"/>
          <w:i w:val="0"/>
          <w:color w:val="374151"/>
          <w:sz w:val="21"/>
        </w:rPr>
        <w:t xml:space="preserve">; per-hour 100/450/1,800; build time cap </w:t>
      </w:r>
      <w:r>
        <w:rPr>
          <w:rFonts w:ascii="Arial" w:hAnsi="Arial"/>
          <w:b/>
          <w:i w:val="0"/>
          <w:color w:val="111827"/>
          <w:sz w:val="21"/>
        </w:rPr>
        <w:t>45 minutes</w:t>
      </w:r>
      <w:r>
        <w:rPr>
          <w:rFonts w:ascii="Arial" w:hAnsi="Arial"/>
          <w:b w:val="0"/>
          <w:i w:val="0"/>
          <w:color w:val="374151"/>
          <w:sz w:val="21"/>
        </w:rPr>
        <w:t>; build CPU billed from $0.0035/CPU-min on Pro. A customer on Hobby caps the Platform at ~100 validation deploys/day for that site — validation batching and plan-tier guidance are product requirements.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Instant Rollback:</w:t>
      </w:r>
      <w:r>
        <w:rPr>
          <w:rFonts w:ascii="Arial" w:hAnsi="Arial"/>
          <w:b w:val="0"/>
          <w:i w:val="0"/>
          <w:color w:val="374151"/>
          <w:sz w:val="21"/>
        </w:rPr>
        <w:t xml:space="preserve"> repoints production domains to a previously aliased deployment at the routing layer — no rebuild, effective in seconds; Pro/Enterprise can roll back to any prior production deployment, Hobby only the immediately previous one [56]. The API endpoint (</w:t>
      </w:r>
      <w:r>
        <w:rPr>
          <w:rFonts w:ascii="Consolas" w:hAnsi="Consolas" w:cs="Consolas"/>
          <w:color w:val="111827"/>
          <w:sz w:val="19"/>
        </w:rPr>
        <w:t>POST /v9/projects/{projectId}/rollback/{deploymentId}</w:t>
      </w:r>
      <w:r>
        <w:rPr>
          <w:rFonts w:ascii="Arial" w:hAnsi="Arial"/>
          <w:b w:val="0"/>
          <w:i w:val="0"/>
          <w:color w:val="374151"/>
          <w:sz w:val="21"/>
        </w:rPr>
        <w:t xml:space="preserve">) is functional but </w:t>
      </w:r>
      <w:r>
        <w:rPr>
          <w:rFonts w:ascii="Arial" w:hAnsi="Arial"/>
          <w:b/>
          <w:i w:val="0"/>
          <w:color w:val="111827"/>
          <w:sz w:val="21"/>
        </w:rPr>
        <w:t>absent from the public REST reference°</w:t>
      </w:r>
      <w:r>
        <w:rPr>
          <w:rFonts w:ascii="Arial" w:hAnsi="Arial"/>
          <w:b w:val="0"/>
          <w:i w:val="0"/>
          <w:color w:val="374151"/>
          <w:sz w:val="21"/>
        </w:rPr>
        <w:t xml:space="preserve"> — it is documented only in community write-ups [57], so the Platform treats it as semi-documented: wrapped behind an adapter, health-checked at onboarding, and always paired with the git-revert PR as the guaranteed fallback. Three operational traps are modeled as state, not hoped away [56]: env-var changes are not applied to the rolled-back build; cron jobs revert to the old deployment's state; and </w:t>
      </w:r>
      <w:r>
        <w:rPr>
          <w:rFonts w:ascii="Arial" w:hAnsi="Arial"/>
          <w:b/>
          <w:i w:val="0"/>
          <w:color w:val="111827"/>
          <w:sz w:val="21"/>
        </w:rPr>
        <w:t>after a rollback Vercel disables auto-assignment of production domains</w:t>
      </w:r>
      <w:r>
        <w:rPr>
          <w:rFonts w:ascii="Arial" w:hAnsi="Arial"/>
          <w:b w:val="0"/>
          <w:i w:val="0"/>
          <w:color w:val="374151"/>
          <w:sz w:val="21"/>
        </w:rPr>
        <w:t xml:space="preserve"> until a promote "undoes" it — otherwise the customer's next push silently never ships.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Auth and scoping.</w:t>
      </w:r>
      <w:r>
        <w:rPr>
          <w:rFonts w:ascii="Arial" w:hAnsi="Arial"/>
          <w:b w:val="0"/>
          <w:i w:val="0"/>
          <w:color w:val="374151"/>
          <w:sz w:val="21"/>
        </w:rPr>
        <w:t xml:space="preserve"> Requests carry a bearer access token (</w:t>
      </w:r>
      <w:r>
        <w:rPr>
          <w:rFonts w:ascii="Consolas" w:hAnsi="Consolas" w:cs="Consolas"/>
          <w:color w:val="111827"/>
          <w:sz w:val="19"/>
        </w:rPr>
        <w:t>Authorization: Bearer vcp_…</w:t>
      </w:r>
      <w:r>
        <w:rPr>
          <w:rFonts w:ascii="Arial" w:hAnsi="Arial"/>
          <w:b w:val="0"/>
          <w:i w:val="0"/>
          <w:color w:val="374151"/>
          <w:sz w:val="21"/>
        </w:rPr>
        <w:t xml:space="preserve">). Vercel offers three scope levels — </w:t>
      </w:r>
      <w:r>
        <w:rPr>
          <w:rFonts w:ascii="Arial" w:hAnsi="Arial"/>
          <w:b/>
          <w:i w:val="0"/>
          <w:color w:val="111827"/>
          <w:sz w:val="21"/>
        </w:rPr>
        <w:t>Full Account</w:t>
      </w:r>
      <w:r>
        <w:rPr>
          <w:rFonts w:ascii="Arial" w:hAnsi="Arial"/>
          <w:b w:val="0"/>
          <w:i w:val="0"/>
          <w:color w:val="374151"/>
          <w:sz w:val="21"/>
        </w:rPr>
        <w:t xml:space="preserve"> (the user's personal account and every team they belong to), </w:t>
      </w:r>
      <w:r>
        <w:rPr>
          <w:rFonts w:ascii="Arial" w:hAnsi="Arial"/>
          <w:b/>
          <w:i w:val="0"/>
          <w:color w:val="111827"/>
          <w:sz w:val="21"/>
        </w:rPr>
        <w:t>Team</w:t>
      </w:r>
      <w:r>
        <w:rPr>
          <w:rFonts w:ascii="Arial" w:hAnsi="Arial"/>
          <w:b w:val="0"/>
          <w:i w:val="0"/>
          <w:color w:val="374151"/>
          <w:sz w:val="21"/>
        </w:rPr>
        <w:t xml:space="preserve"> (one team, all its projects), and </w:t>
      </w:r>
      <w:r>
        <w:rPr>
          <w:rFonts w:ascii="Arial" w:hAnsi="Arial"/>
          <w:b/>
          <w:i w:val="0"/>
          <w:color w:val="111827"/>
          <w:sz w:val="21"/>
        </w:rPr>
        <w:t>Project</w:t>
      </w:r>
      <w:r>
        <w:rPr>
          <w:rFonts w:ascii="Arial" w:hAnsi="Arial"/>
          <w:b w:val="0"/>
          <w:i w:val="0"/>
          <w:color w:val="374151"/>
          <w:sz w:val="21"/>
        </w:rPr>
        <w:t xml:space="preserve"> (a single project within a team) — chosen at creation, alongside a mandatory expiry; the value is shown once [92]. </w:t>
      </w:r>
      <w:r>
        <w:rPr>
          <w:rFonts w:ascii="Arial" w:hAnsi="Arial"/>
          <w:b/>
          <w:i w:val="0"/>
          <w:color w:val="111827"/>
          <w:sz w:val="21"/>
        </w:rPr>
        <w:t>The Platform requires a project-scoped token per customer site.</w:t>
      </w:r>
      <w:r>
        <w:rPr>
          <w:rFonts w:ascii="Arial" w:hAnsi="Arial"/>
          <w:b w:val="0"/>
          <w:i w:val="0"/>
          <w:color w:val="374151"/>
          <w:sz w:val="21"/>
        </w:rPr>
        <w:t xml:space="preserve"> A project-scoped token denies any request to another project, to a team-level resource, or to a user-level resource, which is what bounds the blast radius of a token that holds production-deploy and production-rollback power over a live site (NFR-5). Two properties make this operationally clean: team- and project-scoped tokens infer the team from the token, so no </w:t>
      </w:r>
      <w:r>
        <w:rPr>
          <w:rFonts w:ascii="Consolas" w:hAnsi="Consolas" w:cs="Consolas"/>
          <w:color w:val="111827"/>
          <w:sz w:val="19"/>
        </w:rPr>
        <w:t>teamId</w:t>
      </w:r>
      <w:r>
        <w:rPr>
          <w:rFonts w:ascii="Arial" w:hAnsi="Arial"/>
          <w:b w:val="0"/>
          <w:i w:val="0"/>
          <w:color w:val="374151"/>
          <w:sz w:val="21"/>
        </w:rPr>
        <w:t xml:space="preserve"> parameter can accidentally widen the target; and a project-scoped token </w:t>
      </w:r>
      <w:r>
        <w:rPr>
          <w:rFonts w:ascii="Arial" w:hAnsi="Arial"/>
          <w:b/>
          <w:i w:val="0"/>
          <w:color w:val="111827"/>
          <w:sz w:val="21"/>
        </w:rPr>
        <w:t>cannot mint further tokens</w:t>
      </w:r>
      <w:r>
        <w:rPr>
          <w:rFonts w:ascii="Arial" w:hAnsi="Arial"/>
          <w:b w:val="0"/>
          <w:i w:val="0"/>
          <w:color w:val="374151"/>
          <w:sz w:val="21"/>
        </w:rPr>
        <w:t xml:space="preserve"> — only a full-account token can, so the Platform never stores one. Tokens are held per-tenant under KMS envelope encryption (D-32) and re-requested at expiry as part of onboarding health checks. Where a customer's team enforces 2FA or SAML before token creation, that is surfaced at onboarding as a prerequisite, not discovered at first deploy.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7.2  </w:t>
      </w:r>
      <w:r>
        <w:rPr>
          <w:rFonts w:ascii="Arial" w:hAnsi="Arial"/>
          <w:b/>
          <w:i w:val="0"/>
          <w:color w:val="1E3A8A"/>
          <w:sz w:val="24"/>
        </w:rPr>
        <w:t>Netlify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 xml:space="preserve">Automatic Deploy Previews per PR at </w:t>
      </w:r>
      <w:r>
        <w:rPr>
          <w:rFonts w:ascii="Consolas" w:hAnsi="Consolas" w:cs="Consolas"/>
          <w:color w:val="111827"/>
          <w:sz w:val="19"/>
        </w:rPr>
        <w:t>deploy-preview-&lt;PR&gt;--&lt;site&gt;.netlify.app</w:t>
      </w:r>
      <w:r>
        <w:rPr>
          <w:rFonts w:ascii="Arial" w:hAnsi="Arial"/>
          <w:b w:val="0"/>
          <w:i w:val="0"/>
          <w:color w:val="374151"/>
          <w:sz w:val="21"/>
        </w:rPr>
        <w:t xml:space="preserve"> [59]; API deploys via file digest (upload only changed hashes) or ZIP (≤25,000 files); </w:t>
      </w:r>
      <w:r>
        <w:rPr>
          <w:rFonts w:ascii="Consolas" w:hAnsi="Consolas" w:cs="Consolas"/>
          <w:color w:val="111827"/>
          <w:sz w:val="19"/>
        </w:rPr>
        <w:t>draft: true</w:t>
      </w:r>
      <w:r>
        <w:rPr>
          <w:rFonts w:ascii="Arial" w:hAnsi="Arial"/>
          <w:b w:val="0"/>
          <w:i w:val="0"/>
          <w:color w:val="374151"/>
          <w:sz w:val="21"/>
        </w:rPr>
        <w:t xml:space="preserve"> builds without touching the live site — a clean validation target [58].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 xml:space="preserve">Limits: </w:t>
      </w:r>
      <w:r>
        <w:rPr>
          <w:rFonts w:ascii="Arial" w:hAnsi="Arial"/>
          <w:b/>
          <w:i w:val="0"/>
          <w:color w:val="111827"/>
          <w:sz w:val="21"/>
        </w:rPr>
        <w:t>500 API requests/minute; 3 deploys/minute; 100 API deploys/day</w:t>
      </w:r>
      <w:r>
        <w:rPr>
          <w:rFonts w:ascii="Arial" w:hAnsi="Arial"/>
          <w:b w:val="0"/>
          <w:i w:val="0"/>
          <w:color w:val="374151"/>
          <w:sz w:val="21"/>
        </w:rPr>
        <w:t xml:space="preserve"> [58].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 xml:space="preserve">Rollback: </w:t>
      </w:r>
      <w:r>
        <w:rPr>
          <w:rFonts w:ascii="Consolas" w:hAnsi="Consolas" w:cs="Consolas"/>
          <w:color w:val="111827"/>
          <w:sz w:val="19"/>
        </w:rPr>
        <w:t>POST /api/v1/sites/{site_id}/deploys/{deploy_id}/restore</w:t>
      </w:r>
      <w:r>
        <w:rPr>
          <w:rFonts w:ascii="Arial" w:hAnsi="Arial"/>
          <w:b w:val="0"/>
          <w:i w:val="0"/>
          <w:color w:val="374151"/>
          <w:sz w:val="21"/>
        </w:rPr>
        <w:t xml:space="preserve"> republishes a prior immutable deploy as current — instant and fully documented [58].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Auth and scoping — the weaker of the two models, and it constrains the product.</w:t>
      </w:r>
      <w:r>
        <w:rPr>
          <w:rFonts w:ascii="Arial" w:hAnsi="Arial"/>
          <w:b w:val="0"/>
          <w:i w:val="0"/>
          <w:color w:val="374151"/>
          <w:sz w:val="21"/>
        </w:rPr>
        <w:t xml:space="preserve"> Netlify offers personal access tokens (</w:t>
      </w:r>
      <w:r>
        <w:rPr>
          <w:rFonts w:ascii="Consolas" w:hAnsi="Consolas" w:cs="Consolas"/>
          <w:color w:val="111827"/>
          <w:sz w:val="19"/>
        </w:rPr>
        <w:t>Authorization: Bearer …</w:t>
      </w:r>
      <w:r>
        <w:rPr>
          <w:rFonts w:ascii="Arial" w:hAnsi="Arial"/>
          <w:b w:val="0"/>
          <w:i w:val="0"/>
          <w:color w:val="374151"/>
          <w:sz w:val="21"/>
        </w:rPr>
        <w:t xml:space="preserve">) and OAuth applications [58]. A </w:t>
      </w:r>
      <w:r>
        <w:rPr>
          <w:rFonts w:ascii="Arial" w:hAnsi="Arial"/>
          <w:b/>
          <w:i w:val="0"/>
          <w:color w:val="111827"/>
          <w:sz w:val="21"/>
        </w:rPr>
        <w:t>PAT reaches every site and resource the issuing user can access and cannot be scoped to one site</w:t>
      </w:r>
      <w:r>
        <w:rPr>
          <w:rFonts w:ascii="Arial" w:hAnsi="Arial"/>
          <w:b w:val="0"/>
          <w:i w:val="0"/>
          <w:color w:val="374151"/>
          <w:sz w:val="21"/>
        </w:rPr>
        <w:t xml:space="preserve"> — there is no project-scoped equivalent to Vercel's. Expiry is mandatory at creation and the value is shown once; a password reset silently invalidates every PAT and OAuth token issued before it, which is a real support-load source and is health-checked rather than discovered on a failed deploy. Consequences the Platform accepts deliberately: (a) it asks the customer to create a </w:t>
      </w:r>
      <w:r>
        <w:rPr>
          <w:rFonts w:ascii="Arial" w:hAnsi="Arial"/>
          <w:b/>
          <w:i w:val="0"/>
          <w:color w:val="111827"/>
          <w:sz w:val="21"/>
        </w:rPr>
        <w:t>dedicated Netlify user</w:t>
      </w:r>
      <w:r>
        <w:rPr>
          <w:rFonts w:ascii="Arial" w:hAnsi="Arial"/>
          <w:b w:val="0"/>
          <w:i w:val="0"/>
          <w:color w:val="374151"/>
          <w:sz w:val="21"/>
        </w:rPr>
        <w:t xml:space="preserve"> holding only the sites under management, so the un-scopable token is bounded by the </w:t>
      </w:r>
      <w:r>
        <w:rPr>
          <w:rFonts w:ascii="Arial" w:hAnsi="Arial"/>
          <w:b w:val="0"/>
          <w:i/>
          <w:color w:val="374151"/>
          <w:sz w:val="21"/>
        </w:rPr>
        <w:t>account</w:t>
      </w:r>
      <w:r>
        <w:rPr>
          <w:rFonts w:ascii="Arial" w:hAnsi="Arial"/>
          <w:b w:val="0"/>
          <w:i w:val="0"/>
          <w:color w:val="374151"/>
          <w:sz w:val="21"/>
        </w:rPr>
        <w:t xml:space="preserve"> instead — the same pattern as the WordPress Editor-role user (§5); (b) it enforces a </w:t>
      </w:r>
      <w:r>
        <w:rPr>
          <w:rFonts w:ascii="Arial" w:hAnsi="Arial"/>
          <w:b/>
          <w:i w:val="0"/>
          <w:color w:val="111827"/>
          <w:sz w:val="21"/>
        </w:rPr>
        <w:t>server-side site allowlist</w:t>
      </w:r>
      <w:r>
        <w:rPr>
          <w:rFonts w:ascii="Arial" w:hAnsi="Arial"/>
          <w:b w:val="0"/>
          <w:i w:val="0"/>
          <w:color w:val="374151"/>
          <w:sz w:val="21"/>
        </w:rPr>
        <w:t xml:space="preserve">, refusing any call whose </w:t>
      </w:r>
      <w:r>
        <w:rPr>
          <w:rFonts w:ascii="Consolas" w:hAnsi="Consolas" w:cs="Consolas"/>
          <w:color w:val="111827"/>
          <w:sz w:val="19"/>
        </w:rPr>
        <w:t>site_id</w:t>
      </w:r>
      <w:r>
        <w:rPr>
          <w:rFonts w:ascii="Arial" w:hAnsi="Arial"/>
          <w:b w:val="0"/>
          <w:i w:val="0"/>
          <w:color w:val="374151"/>
          <w:sz w:val="21"/>
        </w:rPr>
        <w:t xml:space="preserve"> is not the one the tenant connected, exactly as it does for GSC properties (§2.5) — with an account-wide token, isolation is the Platform's job, not Netlify's; and (c) for public/marketplace distribution, the </w:t>
      </w:r>
      <w:r>
        <w:rPr>
          <w:rFonts w:ascii="Arial" w:hAnsi="Arial"/>
          <w:b/>
          <w:i w:val="0"/>
          <w:color w:val="111827"/>
          <w:sz w:val="21"/>
        </w:rPr>
        <w:t>OAuth app</w:t>
      </w:r>
      <w:r>
        <w:rPr>
          <w:rFonts w:ascii="Arial" w:hAnsi="Arial"/>
          <w:b w:val="0"/>
          <w:i w:val="0"/>
          <w:color w:val="374151"/>
          <w:sz w:val="21"/>
        </w:rPr>
        <w:t xml:space="preserve"> flow replaces the PAT so credentials are user-authorized rather than shared. Tokens are stored per-tenant under KMS envelope encryption (D-32).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How the Platform uses both.</w:t>
      </w:r>
      <w:r>
        <w:rPr>
          <w:rFonts w:ascii="Arial" w:hAnsi="Arial"/>
          <w:b w:val="0"/>
          <w:i w:val="0"/>
          <w:color w:val="374151"/>
          <w:sz w:val="21"/>
        </w:rPr>
        <w:t xml:space="preserve"> The preview URL is the unit of validation: meta-tag diff assertions, HTML validation, self-built JSON-LD checks, Lighthouse budgets, and link checks all run against the rendered preview, and results post back as GitHub Checks (Section 4). Rollback is two-speed: host-level instant rollback for emergencies (seconds), git revert PR for durable reversal (minutes). For customers on neither host, the Platform provides its own sandboxed build-and-serve preview stage — scope acknowledged in Doc 07.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7.3  </w:t>
      </w:r>
      <w:r>
        <w:rPr>
          <w:rFonts w:ascii="Arial" w:hAnsi="Arial"/>
          <w:b/>
          <w:i w:val="0"/>
          <w:color w:val="1E3A8A"/>
          <w:sz w:val="24"/>
        </w:rPr>
        <w:t>Custom sites — the edge-worker channel (FR-9.4)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The fourth change-application adapter (D-17d), and the only one that reaches a site with no git repo, no supported CMS, and no Shopify store. It is also the only channel where the Platform enters the customer's </w:t>
      </w:r>
      <w:r>
        <w:rPr>
          <w:rFonts w:ascii="Arial" w:hAnsi="Arial"/>
          <w:b/>
          <w:i w:val="0"/>
          <w:color w:val="111827"/>
          <w:sz w:val="21"/>
        </w:rPr>
        <w:t>serving path</w:t>
      </w:r>
      <w:r>
        <w:rPr>
          <w:rFonts w:ascii="Arial" w:hAnsi="Arial"/>
          <w:b w:val="0"/>
          <w:i w:val="0"/>
          <w:color w:val="374151"/>
          <w:sz w:val="21"/>
        </w:rPr>
        <w:t>, which changes its risk profile more than its API surface does.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Mechanism.</w:t>
      </w:r>
      <w:r>
        <w:rPr>
          <w:rFonts w:ascii="Arial" w:hAnsi="Arial"/>
          <w:b w:val="0"/>
          <w:i w:val="0"/>
          <w:color w:val="374151"/>
          <w:sz w:val="21"/>
        </w:rPr>
        <w:t xml:space="preserve"> A CDN worker rewrites HTML in flight between origin and user. Cloudflare's </w:t>
      </w:r>
      <w:r>
        <w:rPr>
          <w:rFonts w:ascii="Arial" w:hAnsi="Arial"/>
          <w:b/>
          <w:i w:val="0"/>
          <w:color w:val="111827"/>
          <w:sz w:val="21"/>
        </w:rPr>
        <w:t>HTMLRewriter</w:t>
      </w:r>
      <w:r>
        <w:rPr>
          <w:rFonts w:ascii="Arial" w:hAnsi="Arial"/>
          <w:b w:val="0"/>
          <w:i w:val="0"/>
          <w:color w:val="374151"/>
          <w:sz w:val="21"/>
        </w:rPr>
        <w:t xml:space="preserve"> is the reference implementation: a streaming, zero-copy HTML parser with CSS-selector handlers (</w:t>
      </w:r>
      <w:r>
        <w:rPr>
          <w:rFonts w:ascii="Consolas" w:hAnsi="Consolas" w:cs="Consolas"/>
          <w:color w:val="111827"/>
          <w:sz w:val="19"/>
        </w:rPr>
        <w:t>on('title')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on('meta[name=description]')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on('head')</w:t>
      </w:r>
      <w:r>
        <w:rPr>
          <w:rFonts w:ascii="Arial" w:hAnsi="Arial"/>
          <w:b w:val="0"/>
          <w:i w:val="0"/>
          <w:color w:val="374151"/>
          <w:sz w:val="21"/>
        </w:rPr>
        <w:t xml:space="preserve">) supporting </w:t>
      </w:r>
      <w:r>
        <w:rPr>
          <w:rFonts w:ascii="Consolas" w:hAnsi="Consolas" w:cs="Consolas"/>
          <w:color w:val="111827"/>
          <w:sz w:val="19"/>
        </w:rPr>
        <w:t>setInnerContent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setAttribute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append</w:t>
      </w:r>
      <w:r>
        <w:rPr>
          <w:rFonts w:ascii="Arial" w:hAnsi="Arial"/>
          <w:b w:val="0"/>
          <w:i w:val="0"/>
          <w:color w:val="374151"/>
          <w:sz w:val="21"/>
        </w:rPr>
        <w:t>/</w:t>
      </w:r>
      <w:r>
        <w:rPr>
          <w:rFonts w:ascii="Consolas" w:hAnsi="Consolas" w:cs="Consolas"/>
          <w:color w:val="111827"/>
          <w:sz w:val="19"/>
        </w:rPr>
        <w:t>prepend</w:t>
      </w:r>
      <w:r>
        <w:rPr>
          <w:rFonts w:ascii="Arial" w:hAnsi="Arial"/>
          <w:b w:val="0"/>
          <w:i w:val="0"/>
          <w:color w:val="374151"/>
          <w:sz w:val="21"/>
        </w:rPr>
        <w:t xml:space="preserve"> and </w:t>
      </w:r>
      <w:r>
        <w:rPr>
          <w:rFonts w:ascii="Consolas" w:hAnsi="Consolas" w:cs="Consolas"/>
          <w:color w:val="111827"/>
          <w:sz w:val="19"/>
        </w:rPr>
        <w:t>remove</w:t>
      </w:r>
      <w:r>
        <w:rPr>
          <w:rFonts w:ascii="Arial" w:hAnsi="Arial"/>
          <w:b w:val="0"/>
          <w:i w:val="0"/>
          <w:color w:val="374151"/>
          <w:sz w:val="21"/>
        </w:rPr>
        <w:t xml:space="preserve">, with async handlers [93]. That covers titles, meta descriptions, canonicals, robots meta, hreflang, JSON-LD injection, </w:t>
      </w:r>
      <w:r>
        <w:rPr>
          <w:rFonts w:ascii="Consolas" w:hAnsi="Consolas" w:cs="Consolas"/>
          <w:color w:val="111827"/>
          <w:sz w:val="19"/>
        </w:rPr>
        <w:t>alt</w:t>
      </w:r>
      <w:r>
        <w:rPr>
          <w:rFonts w:ascii="Arial" w:hAnsi="Arial"/>
          <w:b w:val="0"/>
          <w:i w:val="0"/>
          <w:color w:val="374151"/>
          <w:sz w:val="21"/>
        </w:rPr>
        <w:t xml:space="preserve"> attributes, internal-link insertion, and — at the worker level — redirects and response headers, with </w:t>
      </w:r>
      <w:r>
        <w:rPr>
          <w:rFonts w:ascii="Arial" w:hAnsi="Arial"/>
          <w:b/>
          <w:i w:val="0"/>
          <w:color w:val="111827"/>
          <w:sz w:val="21"/>
        </w:rPr>
        <w:t>zero changes to origin code</w:t>
      </w:r>
      <w:r>
        <w:rPr>
          <w:rFonts w:ascii="Arial" w:hAnsi="Arial"/>
          <w:b w:val="0"/>
          <w:i w:val="0"/>
          <w:color w:val="374151"/>
          <w:sz w:val="21"/>
        </w:rPr>
        <w:t>. Commercial precedent exists: SearchPilot runs this architecture for enterprise SEO A/B testing, with automatic fall-back to transparent-proxy mode on application error [95] — a failsafe the Platform copies rather than reinvents.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External API surface and auth.</w:t>
      </w:r>
      <w:r>
        <w:rPr>
          <w:rFonts w:ascii="Arial" w:hAnsi="Arial"/>
          <w:b w:val="0"/>
          <w:i w:val="0"/>
          <w:color w:val="374151"/>
          <w:sz w:val="21"/>
        </w:rPr>
        <w:t xml:space="preserve"> Unlike §7.1–7.2, this channel depends on two distinct customer-side surfaces: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Surface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the Platform needs it for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Edge platform deploy/config API (Cloudflare Workers, or Workers for Platforms)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upload and version the worker script, bind it to routes, enable/disable a rule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Customer-issued API token, scoped to Workers Scripts edit + the specific zone — never a Global API Key; the same least-privilege posture as §7.1 (NFR-5)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DNS / proxy mode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traffic must actually traverse the worker: the zone must be proxied (orange-cloud) or, in the managed-proxy model, DNS must point at the Platform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Customer-controlled; a change the Platform requests and verifies, never makes silently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Three onboarding models, in ascending order of friction and trust: </w:t>
      </w:r>
      <w:r>
        <w:rPr>
          <w:rFonts w:ascii="Arial" w:hAnsi="Arial"/>
          <w:b/>
          <w:i w:val="0"/>
          <w:color w:val="111827"/>
          <w:sz w:val="21"/>
        </w:rPr>
        <w:t>(a)</w:t>
      </w:r>
      <w:r>
        <w:rPr>
          <w:rFonts w:ascii="Arial" w:hAnsi="Arial"/>
          <w:b w:val="0"/>
          <w:i w:val="0"/>
          <w:color w:val="374151"/>
          <w:sz w:val="21"/>
        </w:rPr>
        <w:t xml:space="preserve"> the customer is already on Cloudflare and installs the Platform's worker on their own account — the default and the only model in scope at MVP; </w:t>
      </w:r>
      <w:r>
        <w:rPr>
          <w:rFonts w:ascii="Arial" w:hAnsi="Arial"/>
          <w:b/>
          <w:i w:val="0"/>
          <w:color w:val="111827"/>
          <w:sz w:val="21"/>
        </w:rPr>
        <w:t>(b)</w:t>
      </w:r>
      <w:r>
        <w:rPr>
          <w:rFonts w:ascii="Arial" w:hAnsi="Arial"/>
          <w:b w:val="0"/>
          <w:i w:val="0"/>
          <w:color w:val="374151"/>
          <w:sz w:val="21"/>
        </w:rPr>
        <w:t xml:space="preserve"> DNS is repointed through a Platform-managed proxy — highest trust bar, enterprise-only; </w:t>
      </w:r>
      <w:r>
        <w:rPr>
          <w:rFonts w:ascii="Arial" w:hAnsi="Arial"/>
          <w:b/>
          <w:i w:val="0"/>
          <w:color w:val="111827"/>
          <w:sz w:val="21"/>
        </w:rPr>
        <w:t>(c)</w:t>
      </w:r>
      <w:r>
        <w:rPr>
          <w:rFonts w:ascii="Arial" w:hAnsi="Arial"/>
          <w:b w:val="0"/>
          <w:i w:val="0"/>
          <w:color w:val="374151"/>
          <w:sz w:val="21"/>
        </w:rPr>
        <w:t xml:space="preserve"> the customer runs a different CDN (Fastly, Akamai, CloudFront) and needs a per-CDN worker build — out of scope until demand justifies it.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Quotas and cost.</w:t>
      </w:r>
      <w:r>
        <w:rPr>
          <w:rFonts w:ascii="Arial" w:hAnsi="Arial"/>
          <w:b w:val="0"/>
          <w:i w:val="0"/>
          <w:color w:val="374151"/>
          <w:sz w:val="21"/>
        </w:rPr>
        <w:t xml:space="preserve"> Cloudflare Workers free tier: </w:t>
      </w:r>
      <w:r>
        <w:rPr>
          <w:rFonts w:ascii="Arial" w:hAnsi="Arial"/>
          <w:b/>
          <w:i w:val="0"/>
          <w:color w:val="111827"/>
          <w:sz w:val="21"/>
        </w:rPr>
        <w:t>100,000 requests/day and 10 ms CPU per invocation</w:t>
      </w:r>
      <w:r>
        <w:rPr>
          <w:rFonts w:ascii="Arial" w:hAnsi="Arial"/>
          <w:b w:val="0"/>
          <w:i w:val="0"/>
          <w:color w:val="374151"/>
          <w:sz w:val="21"/>
        </w:rPr>
        <w:t>; the paid plan removes the daily request cap and raises CPU to 30 s (configurable to 5 min), 128 MB memory, and 10,000 subrequests [94]. An HTMLRewriter pass over a full page is typically sub-millisecond of CPU, so even the free tier carries small sites; the binding constraint is the customer's request volume, not the rewrite. Cost sits on the customer's Cloudflare account, which is deliberate — the Platform does not resell edge capacity.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Two constraints that shape the design, and one of them is a business decision, not a technical one: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The Platform becomes an availability dependency.</w:t>
      </w:r>
      <w:r>
        <w:rPr>
          <w:rFonts w:ascii="Arial" w:hAnsi="Arial"/>
          <w:b w:val="0"/>
          <w:i w:val="0"/>
          <w:color w:val="374151"/>
          <w:sz w:val="21"/>
        </w:rPr>
        <w:t xml:space="preserve"> Sitting in the serving path means a Platform outage is a </w:t>
      </w:r>
      <w:r>
        <w:rPr>
          <w:rFonts w:ascii="Arial" w:hAnsi="Arial"/>
          <w:b w:val="0"/>
          <w:i/>
          <w:color w:val="374151"/>
          <w:sz w:val="21"/>
        </w:rPr>
        <w:t>customer site</w:t>
      </w:r>
      <w:r>
        <w:rPr>
          <w:rFonts w:ascii="Arial" w:hAnsi="Arial"/>
          <w:b w:val="0"/>
          <w:i w:val="0"/>
          <w:color w:val="374151"/>
          <w:sz w:val="21"/>
        </w:rPr>
        <w:t xml:space="preserve"> outage, not a paused pipeline. This is a categorically different exposure from every other channel in this document, and it is why the channel ships </w:t>
      </w:r>
      <w:r>
        <w:rPr>
          <w:rFonts w:ascii="Arial" w:hAnsi="Arial"/>
          <w:b/>
          <w:i w:val="0"/>
          <w:color w:val="111827"/>
          <w:sz w:val="21"/>
        </w:rPr>
        <w:t>after</w:t>
      </w:r>
      <w:r>
        <w:rPr>
          <w:rFonts w:ascii="Arial" w:hAnsi="Arial"/>
          <w:b w:val="0"/>
          <w:i w:val="0"/>
          <w:color w:val="374151"/>
          <w:sz w:val="21"/>
        </w:rPr>
        <w:t xml:space="preserve"> the API adapters, with transparent-proxy failover from day one, an explicit SLA, and a security review before any enterprise deal. §12 records it as a channel-fatal dependency with an availability tail the others do not have.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The cloaking line.</w:t>
      </w:r>
      <w:r>
        <w:rPr>
          <w:rFonts w:ascii="Arial" w:hAnsi="Arial"/>
          <w:b w:val="0"/>
          <w:i w:val="0"/>
          <w:color w:val="374151"/>
          <w:sz w:val="21"/>
        </w:rPr>
        <w:t xml:space="preserve"> Edge rewrites are indistinguishable from origin HTML to Googlebot — no rendering caveats apply, which is the channel's main advantage over client-side JS injection. But rewrites </w:t>
      </w:r>
      <w:r>
        <w:rPr>
          <w:rFonts w:ascii="Arial" w:hAnsi="Arial"/>
          <w:b/>
          <w:i w:val="0"/>
          <w:color w:val="111827"/>
          <w:sz w:val="21"/>
        </w:rPr>
        <w:t>must be applied uniformly to every user agent</w:t>
      </w:r>
      <w:r>
        <w:rPr>
          <w:rFonts w:ascii="Arial" w:hAnsi="Arial"/>
          <w:b w:val="0"/>
          <w:i w:val="0"/>
          <w:color w:val="374151"/>
          <w:sz w:val="21"/>
        </w:rPr>
        <w:t>: serving different HTML to search engines than to users is cloaking and risks a manual action. The worker therefore has no UA branch at all, and the validation stage asserts byte-identical rewrites across a Googlebot UA and a browser UA before any rule goes live.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Rollback.</w:t>
      </w:r>
      <w:r>
        <w:rPr>
          <w:rFonts w:ascii="Arial" w:hAnsi="Arial"/>
          <w:b w:val="0"/>
          <w:i w:val="0"/>
          <w:color w:val="374151"/>
          <w:sz w:val="21"/>
        </w:rPr>
        <w:t xml:space="preserve"> The fastest of any channel: disabling a rule takes effect in seconds and needs no rebuild or recrawl. That makes the edge adapter attractive as an </w:t>
      </w:r>
      <w:r>
        <w:rPr>
          <w:rFonts w:ascii="Arial" w:hAnsi="Arial"/>
          <w:b w:val="0"/>
          <w:i/>
          <w:color w:val="374151"/>
          <w:sz w:val="21"/>
        </w:rPr>
        <w:t>instant-apply and instant-revert</w:t>
      </w:r>
      <w:r>
        <w:rPr>
          <w:rFonts w:ascii="Arial" w:hAnsi="Arial"/>
          <w:b w:val="0"/>
          <w:i w:val="0"/>
          <w:color w:val="374151"/>
          <w:sz w:val="21"/>
        </w:rPr>
        <w:t xml:space="preserve"> lever even for sites that also have a git or CMS channel — but the change ledger remains the source of truth (D-14/D-21), and a rule is never the only record of a change.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Client-side JS injection is explicitly rejected as a paid tier.</w:t>
      </w:r>
      <w:r>
        <w:rPr>
          <w:rFonts w:ascii="Arial" w:hAnsi="Arial"/>
          <w:b w:val="0"/>
          <w:i w:val="0"/>
          <w:color w:val="374151"/>
          <w:sz w:val="21"/>
        </w:rPr>
        <w:t xml:space="preserve"> Google supports JS-set titles, meta descriptions and JSON-LD at render time, and warns against JS-set canonicals that differ from the raw HTML [96]. It is second-class regardless: render-delay, a noindex blind spot, and non-Google crawlers that never execute it. Offered as a trial/demo mode only.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8   </w:t>
      </w:r>
      <w:r>
        <w:rPr>
          <w:rFonts w:ascii="Arial" w:hAnsi="Arial"/>
          <w:b/>
          <w:i w:val="0"/>
          <w:color w:val="1E3A8A"/>
          <w:sz w:val="28"/>
        </w:rPr>
        <w:t>Third-party SERP and keyword data — DataForSEO + Serper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Serves FR-5.1 (keyword discovery beyond GSC's anonymization gap), FR-7.1 (competitor identity and SERP features), and the SERP-feature multipliers in the opportunity score. Decision: </w:t>
      </w:r>
      <w:r>
        <w:rPr>
          <w:rFonts w:ascii="Arial" w:hAnsi="Arial"/>
          <w:b/>
          <w:i w:val="0"/>
          <w:color w:val="111827"/>
          <w:sz w:val="21"/>
        </w:rPr>
        <w:t>DataForSEO primary, Serper secondary</w:t>
      </w:r>
      <w:r>
        <w:rPr>
          <w:rFonts w:ascii="Arial" w:hAnsi="Arial"/>
          <w:b w:val="0"/>
          <w:i w:val="0"/>
          <w:color w:val="374151"/>
          <w:sz w:val="21"/>
        </w:rPr>
        <w:t xml:space="preserve">, both behind a mandatory multi-vendor </w:t>
      </w:r>
      <w:r>
        <w:rPr>
          <w:rFonts w:ascii="Consolas" w:hAnsi="Consolas" w:cs="Consolas"/>
          <w:color w:val="111827"/>
          <w:sz w:val="19"/>
        </w:rPr>
        <w:t>SerpProvider</w:t>
      </w:r>
      <w:r>
        <w:rPr>
          <w:rFonts w:ascii="Arial" w:hAnsi="Arial"/>
          <w:b w:val="0"/>
          <w:i w:val="0"/>
          <w:color w:val="374151"/>
          <w:sz w:val="21"/>
        </w:rPr>
        <w:t xml:space="preserve"> abstraction; Semrush/Ahrefs APIs skipped; Google Keyword Planner rejected as a foundation.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8.1  </w:t>
      </w:r>
      <w:r>
        <w:rPr>
          <w:rFonts w:ascii="Arial" w:hAnsi="Arial"/>
          <w:b/>
          <w:i w:val="0"/>
          <w:color w:val="1E3A8A"/>
          <w:sz w:val="24"/>
        </w:rPr>
        <w:t>DataForSEO (primary)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Pay-as-you-go, $50 minimum deposit. Verified pricing (Aug 2026):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Product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Price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SERP API (Advanced parse)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$0.60/1k standard queue (~5 min) · $1.20/1k priority · $2.00/1k live (~6 s)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one "SERP" = 10 results; AI Overview capture +$0.0006/keyword [60]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People-Also-Ask depth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+$0.00015/click (depth 1–4), auto-refunded if absent [64]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question mining for content gaps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Keywords Data (Google Ads volume)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$0.06/request standard ($0.09 live) for up to 1,000 keywords ≈ $0.06/1k keywords [61]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 commercial replacement for gated Keyword Planner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Labs (intent, ideas, competitor domains)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$0.012/task + $0.00012/item; search_intent classifies 1,000 keywords/call [63]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intent gate for the competitor filter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OnPage Instant Pages / Content Parsing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$0.000125/page base · $0.00125 JS-rendered · $0.00425 full browser + Core Web Vitals (CWV); 20 URLs/request, cross-domain [62]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tier 1–2 of the competitor fetch ladder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Hard quotas</w:t>
      </w:r>
      <w:r>
        <w:rPr>
          <w:rFonts w:ascii="Arial" w:hAnsi="Arial"/>
          <w:b w:val="0"/>
          <w:i w:val="0"/>
          <w:color w:val="374151"/>
          <w:sz w:val="21"/>
        </w:rPr>
        <w:t xml:space="preserve"> [97]: </w:t>
      </w:r>
      <w:r>
        <w:rPr>
          <w:rFonts w:ascii="Arial" w:hAnsi="Arial"/>
          <w:b/>
          <w:i w:val="0"/>
          <w:color w:val="111827"/>
          <w:sz w:val="21"/>
        </w:rPr>
        <w:t>2,000 API calls/minute</w:t>
      </w:r>
      <w:r>
        <w:rPr>
          <w:rFonts w:ascii="Arial" w:hAnsi="Arial"/>
          <w:b w:val="0"/>
          <w:i w:val="0"/>
          <w:color w:val="374151"/>
          <w:sz w:val="21"/>
        </w:rPr>
        <w:t xml:space="preserve"> per account, and </w:t>
      </w:r>
      <w:r>
        <w:rPr>
          <w:rFonts w:ascii="Arial" w:hAnsi="Arial"/>
          <w:b/>
          <w:i w:val="0"/>
          <w:color w:val="111827"/>
          <w:sz w:val="21"/>
        </w:rPr>
        <w:t>≤100 tasks per POST call</w:t>
      </w:r>
      <w:r>
        <w:rPr>
          <w:rFonts w:ascii="Arial" w:hAnsi="Arial"/>
          <w:b w:val="0"/>
          <w:i w:val="0"/>
          <w:color w:val="374151"/>
          <w:sz w:val="21"/>
        </w:rPr>
        <w:t xml:space="preserve"> — tasks beyond the hundredth in a single array are rejected with error </w:t>
      </w:r>
      <w:r>
        <w:rPr>
          <w:rFonts w:ascii="Consolas" w:hAnsi="Consolas" w:cs="Consolas"/>
          <w:color w:val="111827"/>
          <w:sz w:val="19"/>
        </w:rPr>
        <w:t>40006</w:t>
      </w:r>
      <w:r>
        <w:rPr>
          <w:rFonts w:ascii="Arial" w:hAnsi="Arial"/>
          <w:b w:val="0"/>
          <w:i w:val="0"/>
          <w:color w:val="374151"/>
          <w:sz w:val="21"/>
        </w:rPr>
        <w:t xml:space="preserve"> rather than silently dropped. Per-endpoint ceilings are additionally returned on every response in the </w:t>
      </w:r>
      <w:r>
        <w:rPr>
          <w:rFonts w:ascii="Consolas" w:hAnsi="Consolas" w:cs="Consolas"/>
          <w:color w:val="111827"/>
          <w:sz w:val="19"/>
        </w:rPr>
        <w:t>X-RateLimit-Limit</w:t>
      </w:r>
      <w:r>
        <w:rPr>
          <w:rFonts w:ascii="Arial" w:hAnsi="Arial"/>
          <w:b w:val="0"/>
          <w:i w:val="0"/>
          <w:color w:val="374151"/>
          <w:sz w:val="21"/>
        </w:rPr>
        <w:t xml:space="preserve"> / </w:t>
      </w:r>
      <w:r>
        <w:rPr>
          <w:rFonts w:ascii="Consolas" w:hAnsi="Consolas" w:cs="Consolas"/>
          <w:color w:val="111827"/>
          <w:sz w:val="19"/>
        </w:rPr>
        <w:t>X-RateLimit-Remaining</w:t>
      </w:r>
      <w:r>
        <w:rPr>
          <w:rFonts w:ascii="Arial" w:hAnsi="Arial"/>
          <w:b w:val="0"/>
          <w:i w:val="0"/>
          <w:color w:val="374151"/>
          <w:sz w:val="21"/>
        </w:rPr>
        <w:t xml:space="preserve"> headers, so the adapter reads its live budget rather than assuming one. Per-request task caps differ by product and are the practical batching unit: 1,000 keywords per Keywords Data request [61], 1,000 keywords per Labs </w:t>
      </w:r>
      <w:r>
        <w:rPr>
          <w:rFonts w:ascii="Consolas" w:hAnsi="Consolas" w:cs="Consolas"/>
          <w:color w:val="111827"/>
          <w:sz w:val="19"/>
        </w:rPr>
        <w:t>search_intent</w:t>
      </w:r>
      <w:r>
        <w:rPr>
          <w:rFonts w:ascii="Arial" w:hAnsi="Arial"/>
          <w:b w:val="0"/>
          <w:i w:val="0"/>
          <w:color w:val="374151"/>
          <w:sz w:val="21"/>
        </w:rPr>
        <w:t xml:space="preserve"> call [63], 20 URLs per OnPage request [62].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Latency.</w:t>
      </w:r>
      <w:r>
        <w:rPr>
          <w:rFonts w:ascii="Arial" w:hAnsi="Arial"/>
          <w:b w:val="0"/>
          <w:i w:val="0"/>
          <w:color w:val="374151"/>
          <w:sz w:val="21"/>
        </w:rPr>
        <w:t xml:space="preserve"> Queue-dependent by design: standard queue ~5 minutes, priority ~1–2 minutes, Live ~6 seconds at 3.3× the standard price. Scheduled jobs never use Live.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Commercial terms.</w:t>
      </w:r>
      <w:r>
        <w:rPr>
          <w:rFonts w:ascii="Arial" w:hAnsi="Arial"/>
          <w:b w:val="0"/>
          <w:i w:val="0"/>
          <w:color w:val="374151"/>
          <w:sz w:val="21"/>
        </w:rPr>
        <w:t xml:space="preserve"> Pay-as-you-go from a $50 minimum deposit; </w:t>
      </w:r>
      <w:r>
        <w:rPr>
          <w:rFonts w:ascii="Arial" w:hAnsi="Arial"/>
          <w:b/>
          <w:i w:val="0"/>
          <w:color w:val="111827"/>
          <w:sz w:val="21"/>
        </w:rPr>
        <w:t>credits never expire</w:t>
      </w:r>
      <w:r>
        <w:rPr>
          <w:rFonts w:ascii="Arial" w:hAnsi="Arial"/>
          <w:b w:val="0"/>
          <w:i w:val="0"/>
          <w:color w:val="374151"/>
          <w:sz w:val="21"/>
        </w:rPr>
        <w:t xml:space="preserve"> [60] — the opposite of Serper's 6-month expiry (§8.2), and a real procurement input when sizing a prepaid balance against uneven monthly usage.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One account covers SERPs, volumes, intent, and competitor-page parsing — a full competitor analysis lands at ~$0.02–0.05 per keyword, and daily rank tracking for a medium site at ~$18–54/month on the standard queue.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8.2  </w:t>
      </w:r>
      <w:r>
        <w:rPr>
          <w:rFonts w:ascii="Arial" w:hAnsi="Arial"/>
          <w:b/>
          <w:i w:val="0"/>
          <w:color w:val="1E3A8A"/>
          <w:sz w:val="24"/>
        </w:rPr>
        <w:t>Serper (secondary / failover)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Google-only and fastest (1–2 s), on prepaid credits with </w:t>
      </w:r>
      <w:r>
        <w:rPr>
          <w:rFonts w:ascii="Arial" w:hAnsi="Arial"/>
          <w:b/>
          <w:i w:val="0"/>
          <w:color w:val="111827"/>
          <w:sz w:val="21"/>
        </w:rPr>
        <w:t>2,500 free</w:t>
      </w:r>
      <w:r>
        <w:rPr>
          <w:rFonts w:ascii="Arial" w:hAnsi="Arial"/>
          <w:b w:val="0"/>
          <w:i w:val="0"/>
          <w:color w:val="374151"/>
          <w:sz w:val="21"/>
        </w:rPr>
        <w:t xml:space="preserve"> to start [65].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Pricing.</w:t>
      </w:r>
      <w:r>
        <w:rPr>
          <w:rFonts w:ascii="Arial" w:hAnsi="Arial"/>
          <w:b w:val="0"/>
          <w:i w:val="0"/>
          <w:color w:val="374151"/>
          <w:sz w:val="21"/>
        </w:rPr>
        <w:t xml:space="preserve"> This document uses the volume ladder </w:t>
      </w:r>
      <w:r>
        <w:rPr>
          <w:rFonts w:ascii="Arial" w:hAnsi="Arial"/>
          <w:b/>
          <w:i w:val="0"/>
          <w:color w:val="111827"/>
          <w:sz w:val="21"/>
        </w:rPr>
        <w:t>$50/50k ($1.00/1k) → $375/500k ($0.75/1k) → $1,250/2.5M ($0.50/1k)</w:t>
      </w:r>
      <w:r>
        <w:rPr>
          <w:rFonts w:ascii="Arial" w:hAnsi="Arial"/>
          <w:b w:val="0"/>
          <w:i w:val="0"/>
          <w:color w:val="374151"/>
          <w:sz w:val="21"/>
        </w:rPr>
        <w:t xml:space="preserve"> [65][66], i.e. </w:t>
      </w:r>
      <w:r>
        <w:rPr>
          <w:rFonts w:ascii="Arial" w:hAnsi="Arial"/>
          <w:b/>
          <w:i w:val="0"/>
          <w:color w:val="111827"/>
          <w:sz w:val="21"/>
        </w:rPr>
        <w:t>$0.50/1k at the 2.5M-query tier</w:t>
      </w:r>
      <w:r>
        <w:rPr>
          <w:rFonts w:ascii="Arial" w:hAnsi="Arial"/>
          <w:b w:val="0"/>
          <w:i w:val="0"/>
          <w:color w:val="374151"/>
          <w:sz w:val="21"/>
        </w:rPr>
        <w:t xml:space="preserve"> — the figure the Platform's own budgets assume, since failover volume sits at the low end of that ladder, not the top. A conflicting floor of </w:t>
      </w:r>
      <w:r>
        <w:rPr>
          <w:rFonts w:ascii="Arial" w:hAnsi="Arial"/>
          <w:b/>
          <w:i w:val="0"/>
          <w:color w:val="111827"/>
          <w:sz w:val="21"/>
        </w:rPr>
        <w:t>$0.30/1k°</w:t>
      </w:r>
      <w:r>
        <w:rPr>
          <w:rFonts w:ascii="Arial" w:hAnsi="Arial"/>
          <w:b w:val="0"/>
          <w:i w:val="0"/>
          <w:color w:val="374151"/>
          <w:sz w:val="21"/>
        </w:rPr>
        <w:t xml:space="preserve"> circulates for the largest prepaid packs (up to $3,750) [66]; it is a third-party pricing tracker rather than a Serper price list, applies only at volumes well beyond the failover role, and is deliberately not used in any cost figure here. Both figures come from secondary sources — Serper does not publish a rate card at a stable URL — so treat the ladder as the planning basis and confirm at contract time.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Commercial terms.</w:t>
      </w:r>
      <w:r>
        <w:rPr>
          <w:rFonts w:ascii="Arial" w:hAnsi="Arial"/>
          <w:b w:val="0"/>
          <w:i w:val="0"/>
          <w:color w:val="374151"/>
          <w:sz w:val="21"/>
        </w:rPr>
        <w:t xml:space="preserve"> Prepaid credits </w:t>
      </w:r>
      <w:r>
        <w:rPr>
          <w:rFonts w:ascii="Arial" w:hAnsi="Arial"/>
          <w:b/>
          <w:i w:val="0"/>
          <w:color w:val="111827"/>
          <w:sz w:val="21"/>
        </w:rPr>
        <w:t>expire after 6 months</w:t>
      </w:r>
      <w:r>
        <w:rPr>
          <w:rFonts w:ascii="Arial" w:hAnsi="Arial"/>
          <w:b w:val="0"/>
          <w:i w:val="0"/>
          <w:color w:val="374151"/>
          <w:sz w:val="21"/>
        </w:rPr>
        <w:t xml:space="preserve"> [66] — contrast DataForSEO, whose credits never expire (§8.1). The asymmetry is the reason Serper is bought in small top-ups sized to expected failover volume rather than in a large discounted pack that would likely expire unused.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Rate limits.</w:t>
      </w:r>
      <w:r>
        <w:rPr>
          <w:rFonts w:ascii="Arial" w:hAnsi="Arial"/>
          <w:b w:val="0"/>
          <w:i w:val="0"/>
          <w:color w:val="374151"/>
          <w:sz w:val="21"/>
        </w:rPr>
        <w:t xml:space="preserve"> </w:t>
      </w:r>
      <w:r>
        <w:rPr>
          <w:rFonts w:ascii="Arial" w:hAnsi="Arial"/>
          <w:b/>
          <w:i w:val="0"/>
          <w:color w:val="111827"/>
          <w:sz w:val="21"/>
        </w:rPr>
        <w:t>Not published by the vendor.</w:t>
      </w:r>
      <w:r>
        <w:rPr>
          <w:rFonts w:ascii="Arial" w:hAnsi="Arial"/>
          <w:b w:val="0"/>
          <w:i w:val="0"/>
          <w:color w:val="374151"/>
          <w:sz w:val="21"/>
        </w:rPr>
        <w:t xml:space="preserve"> Serper documents neither a QPS ceiling nor a concurrency limit on its site or API pages; the only quantitative claims are 2,500 free credits and 1–2 s latency [65]. The adapter therefore treats throughput as unknown: it starts conservatively, backs off on 429, and the real ceiling is </w:t>
      </w:r>
      <w:r>
        <w:rPr>
          <w:rFonts w:ascii="Arial" w:hAnsi="Arial"/>
          <w:b/>
          <w:i w:val="0"/>
          <w:color w:val="111827"/>
          <w:sz w:val="21"/>
        </w:rPr>
        <w:t>measured during the POC</w:t>
      </w:r>
      <w:r>
        <w:rPr>
          <w:rFonts w:ascii="Arial" w:hAnsi="Arial"/>
          <w:b w:val="0"/>
          <w:i w:val="0"/>
          <w:color w:val="374151"/>
          <w:sz w:val="21"/>
        </w:rPr>
        <w:t xml:space="preserve"> and recorded per account rather than assumed. This is a genuine gap in vendor documentation, not an omission in this research.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Surface.</w:t>
      </w:r>
      <w:r>
        <w:rPr>
          <w:rFonts w:ascii="Arial" w:hAnsi="Arial"/>
          <w:b w:val="0"/>
          <w:i w:val="0"/>
          <w:color w:val="374151"/>
          <w:sz w:val="21"/>
        </w:rPr>
        <w:t xml:space="preserve"> Endpoints include search, news, shopping, and </w:t>
      </w:r>
      <w:r>
        <w:rPr>
          <w:rFonts w:ascii="Arial" w:hAnsi="Arial"/>
          <w:b/>
          <w:i w:val="0"/>
          <w:color w:val="111827"/>
          <w:sz w:val="21"/>
        </w:rPr>
        <w:t>autocomplete</w:t>
      </w:r>
      <w:r>
        <w:rPr>
          <w:rFonts w:ascii="Arial" w:hAnsi="Arial"/>
          <w:b w:val="0"/>
          <w:i w:val="0"/>
          <w:color w:val="374151"/>
          <w:sz w:val="21"/>
        </w:rPr>
        <w:t xml:space="preserve"> (cheap keyword-suggestion mining). No keyword database and no page fetching — it is the low-latency live-SERP lever and the failover vendor, nothing more.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8.3  </w:t>
      </w:r>
      <w:r>
        <w:rPr>
          <w:rFonts w:ascii="Arial" w:hAnsi="Arial"/>
          <w:b/>
          <w:i w:val="0"/>
          <w:color w:val="1E3A8A"/>
          <w:sz w:val="24"/>
        </w:rPr>
        <w:t>Rejected options (and why)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SerpApi</w:t>
      </w:r>
      <w:r>
        <w:rPr>
          <w:rFonts w:ascii="Arial" w:hAnsi="Arial"/>
          <w:b w:val="0"/>
          <w:i w:val="0"/>
          <w:color w:val="374151"/>
          <w:sz w:val="21"/>
        </w:rPr>
        <w:t xml:space="preserve">: $25/1k down to ~$9.17/1k° — 10–25× Serper's price, and ~15–42× DataForSEO's standard queue — and now the named defendant in both active scraping suits [66][67]. (Pricing via a third-party comparison tracker; the </w:t>
      </w:r>
      <w:r>
        <w:rPr>
          <w:rFonts w:ascii="Arial" w:hAnsi="Arial"/>
          <w:b w:val="0"/>
          <w:i/>
          <w:color w:val="374151"/>
          <w:sz w:val="21"/>
        </w:rPr>
        <w:t>order of magnitude</w:t>
      </w:r>
      <w:r>
        <w:rPr>
          <w:rFonts w:ascii="Arial" w:hAnsi="Arial"/>
          <w:b w:val="0"/>
          <w:i w:val="0"/>
          <w:color w:val="374151"/>
          <w:sz w:val="21"/>
        </w:rPr>
        <w:t>, which is what the decision rests on, is not in doubt.)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Semrush API</w:t>
      </w:r>
      <w:r>
        <w:rPr>
          <w:rFonts w:ascii="Arial" w:hAnsi="Arial"/>
          <w:b w:val="0"/>
          <w:i w:val="0"/>
          <w:color w:val="374151"/>
          <w:sz w:val="21"/>
        </w:rPr>
        <w:t xml:space="preserve">: requires the $549/mo° Advanced plan plus separately purchased units, and its ToS caps cached API data at </w:t>
      </w:r>
      <w:r>
        <w:rPr>
          <w:rFonts w:ascii="Arial" w:hAnsi="Arial"/>
          <w:b/>
          <w:i w:val="0"/>
          <w:color w:val="111827"/>
          <w:sz w:val="21"/>
        </w:rPr>
        <w:t>1 month without written consent</w:t>
      </w:r>
      <w:r>
        <w:rPr>
          <w:rFonts w:ascii="Arial" w:hAnsi="Arial"/>
          <w:b w:val="0"/>
          <w:i w:val="0"/>
          <w:color w:val="374151"/>
          <w:sz w:val="21"/>
        </w:rPr>
        <w:t xml:space="preserve"> — hostile to a warehouse-first platform [71]. (Both figures from a third-party pricing write-up rather than Semrush's own developer docs; the disqualifying constraint is the caching clause, which no pricing revision would change.)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Ahrefs API v3</w:t>
      </w:r>
      <w:r>
        <w:rPr>
          <w:rFonts w:ascii="Arial" w:hAnsi="Arial"/>
          <w:b w:val="0"/>
          <w:i w:val="0"/>
          <w:color w:val="374151"/>
          <w:sz w:val="21"/>
        </w:rPr>
        <w:t>: plan-bundled unit budgets (Lite $129/mo ≈ 100k units) with per-row × per-field costs that make programmatic scale expensive; resale terms need an Enterprise conversation [72].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Google Keyword Planner (Ads API)</w:t>
      </w:r>
      <w:r>
        <w:rPr>
          <w:rFonts w:ascii="Arial" w:hAnsi="Arial"/>
          <w:b w:val="0"/>
          <w:i w:val="0"/>
          <w:color w:val="374151"/>
          <w:sz w:val="21"/>
        </w:rPr>
        <w:t>: keyword-planning services are blocked at the auto-granted Explorer tier; Basic access needs an application and a manager account; without active ad spend, volumes come back as bucketed ranges; permissible-use policy is written for ads tooling — unusable as a SaaS dependency [73][74].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8.4  </w:t>
      </w:r>
      <w:r>
        <w:rPr>
          <w:rFonts w:ascii="Arial" w:hAnsi="Arial"/>
          <w:b/>
          <w:i w:val="0"/>
          <w:color w:val="1E3A8A"/>
          <w:sz w:val="24"/>
        </w:rPr>
        <w:t>ToS and legal posture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Every SERP feed on the market is scraped: Google offers no official SERP API, and Microsoft retired the Bing Search APIs on August 11, 2025 (the Azure-locked replacement is reported 40–483% more expensive) [70]. The current landscape: Google deployed anti-bot defenses ("SearchGuard", Jan 2025) and sued SerpApi on December 19, 2025 under DMCA §1201 [67]; in 2026 the court dismissed Google's </w:t>
      </w:r>
      <w:r>
        <w:rPr>
          <w:rFonts w:ascii="Arial" w:hAnsi="Arial"/>
          <w:b/>
          <w:i w:val="0"/>
          <w:color w:val="111827"/>
          <w:sz w:val="21"/>
        </w:rPr>
        <w:t>copyright</w:t>
      </w:r>
      <w:r>
        <w:rPr>
          <w:rFonts w:ascii="Arial" w:hAnsi="Arial"/>
          <w:b w:val="0"/>
          <w:i w:val="0"/>
          <w:color w:val="374151"/>
          <w:sz w:val="21"/>
        </w:rPr>
        <w:t xml:space="preserve"> claims (plain search results are "not works protected under the Copyright Act") while leaving non-copyright theories open [68]; Reddit's parallel suit against SerpApi/Oxylabs largely </w:t>
      </w:r>
      <w:r>
        <w:rPr>
          <w:rFonts w:ascii="Arial" w:hAnsi="Arial"/>
          <w:b/>
          <w:i w:val="0"/>
          <w:color w:val="111827"/>
          <w:sz w:val="21"/>
        </w:rPr>
        <w:t>survived a motion to dismiss on July 31, 2026</w:t>
      </w:r>
      <w:r>
        <w:rPr>
          <w:rFonts w:ascii="Arial" w:hAnsi="Arial"/>
          <w:b w:val="0"/>
          <w:i w:val="0"/>
          <w:color w:val="374151"/>
          <w:sz w:val="21"/>
        </w:rPr>
        <w:t xml:space="preserve"> [69]. The Platform's posture, set accordingly: buy SERP data from providers rather than scraping in-house (the provider absorbs ToS/anti-bot risk and provides a contract surface); keep per-keyword SERP frequency low (weekly/monthly, event-triggered); lean on GSC — first-party and fully legal — for all rank/impression time series so SERPs are needed only for competitor identity and SERP features; never use customer Google credentials for anything SERP-shaped; and keep two vendors wired so a provider becoming unavailable inside a quarter is a config change, not an outage. Doc 06 carries the corresponding risk entry.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8.5  </w:t>
      </w:r>
      <w:r>
        <w:rPr>
          <w:rFonts w:ascii="Arial" w:hAnsi="Arial"/>
          <w:b/>
          <w:i w:val="0"/>
          <w:color w:val="1E3A8A"/>
          <w:sz w:val="24"/>
        </w:rPr>
        <w:t>How the Platform uses them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These are </w:t>
      </w:r>
      <w:r>
        <w:rPr>
          <w:rFonts w:ascii="Arial" w:hAnsi="Arial"/>
          <w:b/>
          <w:i w:val="0"/>
          <w:color w:val="111827"/>
          <w:sz w:val="21"/>
        </w:rPr>
        <w:t>read-only</w:t>
      </w:r>
      <w:r>
        <w:rPr>
          <w:rFonts w:ascii="Arial" w:hAnsi="Arial"/>
          <w:b w:val="0"/>
          <w:i w:val="0"/>
          <w:color w:val="374151"/>
          <w:sz w:val="21"/>
        </w:rPr>
        <w:t xml:space="preserve"> APIs — nothing here writes to a customer site, so unlike §4–§7 there is no ordering constraint against the change ledger. What there is instead is a spend and freshness discipline, since every call costs money and none of it is first-party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Vendor + endpoint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Cadence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Batching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Keyword universe / volumes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DataForSEO Keywords Data (standard)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onboarding, then monthly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1,000 keywords per request [61]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Intent classification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DataForSEO Labs search_intent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once per new keyword, cached indefinitely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1,000 keywords per call [63]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SERP snapshot + SERP features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DataForSEO SERP Advanced (standard queue)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weekly for tracked head terms, monthly for the tail, plus event-triggered on a decay alert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≤100 tasks per POST [97], task-post then poll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Competitor page parsing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DataForSEO OnPage, escalating basic → JS-rendered → full browser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once per competitor page per analysis, re-fetched only on content-hash change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20 URLs per request [62]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Low-latency spot check / failover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Serper search + autocomplete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interactive UI paths only, and whenever DataForSEO is degraded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single queries; no bulk path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Ordering and provider selection.</w:t>
      </w:r>
      <w:r>
        <w:rPr>
          <w:rFonts w:ascii="Arial" w:hAnsi="Arial"/>
          <w:b w:val="0"/>
          <w:i w:val="0"/>
          <w:color w:val="374151"/>
          <w:sz w:val="21"/>
        </w:rPr>
        <w:t xml:space="preserve"> Every call goes through the </w:t>
      </w:r>
      <w:r>
        <w:rPr>
          <w:rFonts w:ascii="Consolas" w:hAnsi="Consolas" w:cs="Consolas"/>
          <w:color w:val="111827"/>
          <w:sz w:val="19"/>
        </w:rPr>
        <w:t>SerpProvider</w:t>
      </w:r>
      <w:r>
        <w:rPr>
          <w:rFonts w:ascii="Arial" w:hAnsi="Arial"/>
          <w:b w:val="0"/>
          <w:i w:val="0"/>
          <w:color w:val="374151"/>
          <w:sz w:val="21"/>
        </w:rPr>
        <w:t xml:space="preserve"> abstraction, never a vendor SDK directly, so failover is a config change (D-24). Selection is by </w:t>
      </w:r>
      <w:r>
        <w:rPr>
          <w:rFonts w:ascii="Arial" w:hAnsi="Arial"/>
          <w:b w:val="0"/>
          <w:i/>
          <w:color w:val="374151"/>
          <w:sz w:val="21"/>
        </w:rPr>
        <w:t>latency requirement</w:t>
      </w:r>
      <w:r>
        <w:rPr>
          <w:rFonts w:ascii="Arial" w:hAnsi="Arial"/>
          <w:b w:val="0"/>
          <w:i w:val="0"/>
          <w:color w:val="374151"/>
          <w:sz w:val="21"/>
        </w:rPr>
        <w:t>, not by preference: scheduled work always takes DataForSEO's standard queue, and Serper is reached for only when a human is waiting or the primary is failing. Results are warehoused with the vendor and fetch timestamp attached, because a SERP is a point-in-time observation and two vendors' snapshots are never mixed inside one comparison — the same rule that governs GA4 API-vs-BigQuery totals (§3).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Spend control.</w:t>
      </w:r>
      <w:r>
        <w:rPr>
          <w:rFonts w:ascii="Arial" w:hAnsi="Arial"/>
          <w:b w:val="0"/>
          <w:i w:val="0"/>
          <w:color w:val="374151"/>
          <w:sz w:val="21"/>
        </w:rPr>
        <w:t xml:space="preserve"> Per-tenant budgets are enforced before the call, not reconciled after it (NFR-6): the scheduler prices a batch from the table above and refuses to exceed the tenant's monthly SERP allocation, degrading to a longer refresh interval rather than overspending. Because DataForSEO credits never expire and Serper's expire in six months (§8.1–8.2), prepaid balances are held mostly with the primary.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9   </w:t>
      </w:r>
      <w:r>
        <w:rPr>
          <w:rFonts w:ascii="Arial" w:hAnsi="Arial"/>
          <w:b/>
          <w:i w:val="0"/>
          <w:color w:val="1E3A8A"/>
          <w:sz w:val="28"/>
        </w:rPr>
        <w:t>Bing Webmaster Tools, IndexNow, and the other change-notification levers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Free bolt-ons: corroboration data and non-Google index pings. Neither is in the MVP data path (FR-5.1 lists Bing as a source; deferred per Doc 01 §6).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Bing Webmaster Tools API.</w:t>
      </w:r>
      <w:r>
        <w:rPr>
          <w:rFonts w:ascii="Arial" w:hAnsi="Arial"/>
          <w:b w:val="0"/>
          <w:i w:val="0"/>
          <w:color w:val="374151"/>
          <w:sz w:val="21"/>
        </w:rPr>
        <w:t xml:space="preserve"> Auth is a per-account API key generated in the BWT dashboard [75]. Useful read endpoints: </w:t>
      </w:r>
      <w:r>
        <w:rPr>
          <w:rFonts w:ascii="Consolas" w:hAnsi="Consolas" w:cs="Consolas"/>
          <w:color w:val="111827"/>
          <w:sz w:val="19"/>
        </w:rPr>
        <w:t>GetQueryStats</w:t>
      </w:r>
      <w:r>
        <w:rPr>
          <w:rFonts w:ascii="Arial" w:hAnsi="Arial"/>
          <w:b w:val="0"/>
          <w:i w:val="0"/>
          <w:color w:val="374151"/>
          <w:sz w:val="21"/>
        </w:rPr>
        <w:t xml:space="preserve"> (per-query clicks/impressions/position — one aggregate row per query over the </w:t>
      </w:r>
      <w:r>
        <w:rPr>
          <w:rFonts w:ascii="Arial" w:hAnsi="Arial"/>
          <w:b/>
          <w:i w:val="0"/>
          <w:color w:val="111827"/>
          <w:sz w:val="21"/>
        </w:rPr>
        <w:t>last ~6 months, updated weekly</w:t>
      </w:r>
      <w:r>
        <w:rPr>
          <w:rFonts w:ascii="Arial" w:hAnsi="Arial"/>
          <w:b w:val="0"/>
          <w:i w:val="0"/>
          <w:color w:val="374151"/>
          <w:sz w:val="21"/>
        </w:rPr>
        <w:t xml:space="preserve">), </w:t>
      </w:r>
      <w:r>
        <w:rPr>
          <w:rFonts w:ascii="Consolas" w:hAnsi="Consolas" w:cs="Consolas"/>
          <w:color w:val="111827"/>
          <w:sz w:val="19"/>
        </w:rPr>
        <w:t>GetQueryPageStats</w:t>
      </w:r>
      <w:r>
        <w:rPr>
          <w:rFonts w:ascii="Arial" w:hAnsi="Arial"/>
          <w:b w:val="0"/>
          <w:i w:val="0"/>
          <w:color w:val="374151"/>
          <w:sz w:val="21"/>
        </w:rPr>
        <w:t xml:space="preserve">, </w:t>
      </w:r>
      <w:r>
        <w:rPr>
          <w:rFonts w:ascii="Consolas" w:hAnsi="Consolas" w:cs="Consolas"/>
          <w:color w:val="111827"/>
          <w:sz w:val="19"/>
        </w:rPr>
        <w:t>GetRankAndTrafficStats</w:t>
      </w:r>
      <w:r>
        <w:rPr>
          <w:rFonts w:ascii="Arial" w:hAnsi="Arial"/>
          <w:b w:val="0"/>
          <w:i w:val="0"/>
          <w:color w:val="374151"/>
          <w:sz w:val="21"/>
        </w:rPr>
        <w:t xml:space="preserve">, and </w:t>
      </w:r>
      <w:r>
        <w:rPr>
          <w:rFonts w:ascii="Consolas" w:hAnsi="Consolas" w:cs="Consolas"/>
          <w:color w:val="111827"/>
          <w:sz w:val="19"/>
        </w:rPr>
        <w:t>GetKeywordStats</w:t>
      </w:r>
      <w:r>
        <w:rPr>
          <w:rFonts w:ascii="Arial" w:hAnsi="Arial"/>
          <w:b w:val="0"/>
          <w:i w:val="0"/>
          <w:color w:val="374151"/>
          <w:sz w:val="21"/>
        </w:rPr>
        <w:t xml:space="preserve"> — historical weekly impressions for arbitrary keywords, effectively a free mini keyword-research API [77]. URL submission: </w:t>
      </w:r>
      <w:r>
        <w:rPr>
          <w:rFonts w:ascii="Consolas" w:hAnsi="Consolas" w:cs="Consolas"/>
          <w:color w:val="111827"/>
          <w:sz w:val="19"/>
        </w:rPr>
        <w:t>SubmitUrlBatch</w:t>
      </w:r>
      <w:r>
        <w:rPr>
          <w:rFonts w:ascii="Arial" w:hAnsi="Arial"/>
          <w:b w:val="0"/>
          <w:i w:val="0"/>
          <w:color w:val="374151"/>
          <w:sz w:val="21"/>
        </w:rPr>
        <w:t xml:space="preserve">, max </w:t>
      </w:r>
      <w:r>
        <w:rPr>
          <w:rFonts w:ascii="Arial" w:hAnsi="Arial"/>
          <w:b/>
          <w:i w:val="0"/>
          <w:color w:val="111827"/>
          <w:sz w:val="21"/>
        </w:rPr>
        <w:t>500 URLs/call</w:t>
      </w:r>
      <w:r>
        <w:rPr>
          <w:rFonts w:ascii="Arial" w:hAnsi="Arial"/>
          <w:b w:val="0"/>
          <w:i w:val="0"/>
          <w:color w:val="374151"/>
          <w:sz w:val="21"/>
        </w:rPr>
        <w:t xml:space="preserve">, site-dependent daily quota (commonly ~10k/day, discoverable via </w:t>
      </w:r>
      <w:r>
        <w:rPr>
          <w:rFonts w:ascii="Consolas" w:hAnsi="Consolas" w:cs="Consolas"/>
          <w:color w:val="111827"/>
          <w:sz w:val="19"/>
        </w:rPr>
        <w:t>GetUrlSubmissionQuota</w:t>
      </w:r>
      <w:r>
        <w:rPr>
          <w:rFonts w:ascii="Arial" w:hAnsi="Arial"/>
          <w:b w:val="0"/>
          <w:i w:val="0"/>
          <w:color w:val="374151"/>
          <w:sz w:val="21"/>
        </w:rPr>
        <w:t>) [76]. Weekly granularity and 6-month retention make Bing a secondary corroboration source, never a primary time series [77].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IndexNow.</w:t>
      </w:r>
      <w:r>
        <w:rPr>
          <w:rFonts w:ascii="Arial" w:hAnsi="Arial"/>
          <w:b w:val="0"/>
          <w:i w:val="0"/>
          <w:color w:val="374151"/>
          <w:sz w:val="21"/>
        </w:rPr>
        <w:t xml:space="preserve"> Open push protocol: host a key file at the site root, then </w:t>
      </w:r>
      <w:r>
        <w:rPr>
          <w:rFonts w:ascii="Consolas" w:hAnsi="Consolas" w:cs="Consolas"/>
          <w:color w:val="111827"/>
          <w:sz w:val="19"/>
        </w:rPr>
        <w:t>POST https://api.indexnow.org/indexnow</w:t>
      </w:r>
      <w:r>
        <w:rPr>
          <w:rFonts w:ascii="Arial" w:hAnsi="Arial"/>
          <w:b w:val="0"/>
          <w:i w:val="0"/>
          <w:color w:val="374151"/>
          <w:sz w:val="21"/>
        </w:rPr>
        <w:t xml:space="preserve"> with up to </w:t>
      </w:r>
      <w:r>
        <w:rPr>
          <w:rFonts w:ascii="Arial" w:hAnsi="Arial"/>
          <w:b/>
          <w:i w:val="0"/>
          <w:color w:val="111827"/>
          <w:sz w:val="21"/>
        </w:rPr>
        <w:t>10,000 URLs per call</w:t>
      </w:r>
      <w:r>
        <w:rPr>
          <w:rFonts w:ascii="Arial" w:hAnsi="Arial"/>
          <w:b w:val="0"/>
          <w:i w:val="0"/>
          <w:color w:val="374151"/>
          <w:sz w:val="21"/>
        </w:rPr>
        <w:t xml:space="preserve">; one submission fans out to Bing, Yandex, Naver, Seznam.cz, Yep, and Amazon [78] — a roster that changes, so it is re-verified against indexnow.org/faq at contract time. Free, no meaningful rate limits at normal usage; engines score submission quality, so the Platform pings only genuinely changed URLs. </w:t>
      </w:r>
      <w:r>
        <w:rPr>
          <w:rFonts w:ascii="Arial" w:hAnsi="Arial"/>
          <w:b/>
          <w:i w:val="0"/>
          <w:color w:val="111827"/>
          <w:sz w:val="21"/>
        </w:rPr>
        <w:t>Google does not support IndexNow</w:t>
      </w:r>
      <w:r>
        <w:rPr>
          <w:rFonts w:ascii="Arial" w:hAnsi="Arial"/>
          <w:b w:val="0"/>
          <w:i w:val="0"/>
          <w:color w:val="374151"/>
          <w:sz w:val="21"/>
        </w:rPr>
        <w:t xml:space="preserve"> (still true in 2026) [79] — for Google, the levers remain sitemaps (lastmod), organic recrawl, and URL Inspection (which reports but does not request indexing). Platform use: a fire-and-forget ping after every deployed change — zero cost, zero risk, immediate for the Bing family.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9.1  </w:t>
      </w:r>
      <w:r>
        <w:rPr>
          <w:rFonts w:ascii="Arial" w:hAnsi="Arial"/>
          <w:b/>
          <w:i w:val="0"/>
          <w:color w:val="1E3A8A"/>
          <w:sz w:val="24"/>
        </w:rPr>
        <w:t>Rejected: the Google Indexing API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The obvious question, dismissed explicitly so it does not have to be asked twice. Google </w:t>
      </w:r>
      <w:r>
        <w:rPr>
          <w:rFonts w:ascii="Arial" w:hAnsi="Arial"/>
          <w:b w:val="0"/>
          <w:i/>
          <w:color w:val="374151"/>
          <w:sz w:val="21"/>
        </w:rPr>
        <w:t>does</w:t>
      </w:r>
      <w:r>
        <w:rPr>
          <w:rFonts w:ascii="Arial" w:hAnsi="Arial"/>
          <w:b w:val="0"/>
          <w:i w:val="0"/>
          <w:color w:val="374151"/>
          <w:sz w:val="21"/>
        </w:rPr>
        <w:t xml:space="preserve"> publish an Indexing API that requests immediate (re)crawl of a URL — but it is </w:t>
      </w:r>
      <w:r>
        <w:rPr>
          <w:rFonts w:ascii="Arial" w:hAnsi="Arial"/>
          <w:b/>
          <w:i w:val="0"/>
          <w:color w:val="111827"/>
          <w:sz w:val="21"/>
        </w:rPr>
        <w:t>restricted to pages carrying `JobPosting` or `BroadcastEvent` structured data</w:t>
      </w:r>
      <w:r>
        <w:rPr>
          <w:rFonts w:ascii="Arial" w:hAnsi="Arial"/>
          <w:b w:val="0"/>
          <w:i w:val="0"/>
          <w:color w:val="374151"/>
          <w:sz w:val="21"/>
        </w:rPr>
        <w:t xml:space="preserve">, with a 200-publish/day default quota, and Google states plainly that other page types are out of scope [98]. Submitting general content pages through it is a policy violation, not a growth hack, and the API's own documentation says so. </w:t>
      </w:r>
      <w:r>
        <w:rPr>
          <w:rFonts w:ascii="Arial" w:hAnsi="Arial"/>
          <w:b/>
          <w:i w:val="0"/>
          <w:color w:val="111827"/>
          <w:sz w:val="21"/>
        </w:rPr>
        <w:t>Skipped entirely.</w:t>
      </w:r>
      <w:r>
        <w:rPr>
          <w:rFonts w:ascii="Arial" w:hAnsi="Arial"/>
          <w:b w:val="0"/>
          <w:i w:val="0"/>
          <w:color w:val="374151"/>
          <w:sz w:val="21"/>
        </w:rPr>
        <w:t xml:space="preserve"> The consequence is worth stating rather than hiding: for Google there is </w:t>
      </w:r>
      <w:r>
        <w:rPr>
          <w:rFonts w:ascii="Arial" w:hAnsi="Arial"/>
          <w:b w:val="0"/>
          <w:i/>
          <w:color w:val="374151"/>
          <w:sz w:val="21"/>
        </w:rPr>
        <w:t>no</w:t>
      </w:r>
      <w:r>
        <w:rPr>
          <w:rFonts w:ascii="Arial" w:hAnsi="Arial"/>
          <w:b w:val="0"/>
          <w:i w:val="0"/>
          <w:color w:val="374151"/>
          <w:sz w:val="21"/>
        </w:rPr>
        <w:t xml:space="preserve"> API that requests indexing of an ordinary page — sitemaps with accurate </w:t>
      </w:r>
      <w:r>
        <w:rPr>
          <w:rFonts w:ascii="Consolas" w:hAnsi="Consolas" w:cs="Consolas"/>
          <w:color w:val="111827"/>
          <w:sz w:val="19"/>
        </w:rPr>
        <w:t>lastmod</w:t>
      </w:r>
      <w:r>
        <w:rPr>
          <w:rFonts w:ascii="Arial" w:hAnsi="Arial"/>
          <w:b w:val="0"/>
          <w:i w:val="0"/>
          <w:color w:val="374151"/>
          <w:sz w:val="21"/>
        </w:rPr>
        <w:t xml:space="preserve"> (§2.3), organic recrawl, and internal-link freshness are the only levers, and this is exactly why the evaluation clock starts at verified recrawl rather than at deploy (§2.2, D-15).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9.2  </w:t>
      </w:r>
      <w:r>
        <w:rPr>
          <w:rFonts w:ascii="Arial" w:hAnsi="Arial"/>
          <w:b/>
          <w:i w:val="0"/>
          <w:color w:val="1E3A8A"/>
          <w:sz w:val="24"/>
        </w:rPr>
        <w:t>Optional post-MVP: the server-log connector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Named in D-23 as an optional connector and worth a line here because it solves a real quota problem. A </w:t>
      </w:r>
      <w:r>
        <w:rPr>
          <w:rFonts w:ascii="Arial" w:hAnsi="Arial"/>
          <w:b/>
          <w:i w:val="0"/>
          <w:color w:val="111827"/>
          <w:sz w:val="21"/>
        </w:rPr>
        <w:t>verified Googlebot GET of a changed URL is a direct, quota-free `recrawl_verified_at` trigger</w:t>
      </w:r>
      <w:r>
        <w:rPr>
          <w:rFonts w:ascii="Arial" w:hAnsi="Arial"/>
          <w:b w:val="0"/>
          <w:i w:val="0"/>
          <w:color w:val="374151"/>
          <w:sz w:val="21"/>
        </w:rPr>
        <w:t xml:space="preserve"> — faster and cheaper than spending the 2,000/day URL Inspection budget (§2.2) to ask the same question, and verified against Google's published crawler IP list rather than trusting the user-agent string [99]. Logs also complete the orphan-detection union (sitemap ∪ GSC ∪ analytics ∪ logs).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It is an </w:t>
      </w:r>
      <w:r>
        <w:rPr>
          <w:rFonts w:ascii="Arial" w:hAnsi="Arial"/>
          <w:b w:val="0"/>
          <w:i/>
          <w:color w:val="374151"/>
          <w:sz w:val="21"/>
        </w:rPr>
        <w:t>optional</w:t>
      </w:r>
      <w:r>
        <w:rPr>
          <w:rFonts w:ascii="Arial" w:hAnsi="Arial"/>
          <w:b w:val="0"/>
          <w:i w:val="0"/>
          <w:color w:val="374151"/>
          <w:sz w:val="21"/>
        </w:rPr>
        <w:t xml:space="preserve"> connector, never a dependency, because access is gated by the customer's hosting stack and the gates are steep: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Stack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Mechanism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Availability and cost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Vercel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Drains (runtime/build/static request logs → an HTTPS endpoint)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Pro or Enterprise plan, billed $0.50/GB of uncompressed JSON [100]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Cloudflare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Logpush (HTTP requests dataset)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Enterprise plan only [101] — excludes most SMB tenants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AWS CloudFront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Standard logs (v2: S3 / CloudWatch / Firehose)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 CloudFront charge, S3 storage only; delivery is explicitly best-effort — entries can be late or missing [102]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Nginx / Apache (self-hosted WP)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Access logs via agent or rsync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Free; per-customer setup variance is high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Budget note: a 1M-request/day site is roughly 1–3 GB/day of uncompressed JSON ≈ $15–45/month on Vercel Drains, which is why the drain endpoint filters to verified-bot and first-hit-per-URL events before storage — a &gt;95% volume reduction. Because CloudFront delivery is best-effort and plan gates exclude most SMB tenants, logs may inform orphan detection and accelerate recrawl verification but must </w:t>
      </w:r>
      <w:r>
        <w:rPr>
          <w:rFonts w:ascii="Arial" w:hAnsi="Arial"/>
          <w:b/>
          <w:i w:val="0"/>
          <w:color w:val="111827"/>
          <w:sz w:val="21"/>
        </w:rPr>
        <w:t>never</w:t>
      </w:r>
      <w:r>
        <w:rPr>
          <w:rFonts w:ascii="Arial" w:hAnsi="Arial"/>
          <w:b w:val="0"/>
          <w:i w:val="0"/>
          <w:color w:val="374151"/>
          <w:sz w:val="21"/>
        </w:rPr>
        <w:t xml:space="preserve"> be the sole evidence for deleting or redirecting a "dead" page. Everything degrades gracefully to URL Inspection if the connector is absent.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10   </w:t>
      </w:r>
      <w:r>
        <w:rPr>
          <w:rFonts w:ascii="Arial" w:hAnsi="Arial"/>
          <w:b/>
          <w:i w:val="0"/>
          <w:color w:val="1E3A8A"/>
          <w:sz w:val="28"/>
        </w:rPr>
        <w:t>AI providers — Anthropic, OpenAI, Google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The Optimize stage (FR-4.1–4.4). The architecture is provider-plural by design: one operation schema, thin provider adapters, Anthropic primary with OpenAI and Gemini as fallback and price levers. Three provider capabilities are load-bearing; all three vendors now ship all three.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10.1  </w:t>
      </w:r>
      <w:r>
        <w:rPr>
          <w:rFonts w:ascii="Arial" w:hAnsi="Arial"/>
          <w:b/>
          <w:i w:val="0"/>
          <w:color w:val="1E3A8A"/>
          <w:sz w:val="24"/>
        </w:rPr>
        <w:t>Structured output — the FR-4.4 enforcement mechanism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Provider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Mechanism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Guarantee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Anthropic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output_config: {format: {type: "json_schema"}} / messages.parse(); strict tool use (strict: true)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schema-valid output via constrained decoding; 24-hour schema cache (keep ONE stable op schema platform-wide); no minLength/maxLength or recursive schemas — length constraints validate client-side [81]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OpenAI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response_format: {type: "json_schema", strict: true}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invalid tokens masked at decode time; a non-conforming response cannot be produced [86]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Google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responseSchema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token-level constrained decoding; Google explicitly advises layering semantic validation downstream [88]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Schema enforcement solves </w:t>
      </w:r>
      <w:r>
        <w:rPr>
          <w:rFonts w:ascii="Arial" w:hAnsi="Arial"/>
          <w:b w:val="0"/>
          <w:i/>
          <w:color w:val="374151"/>
          <w:sz w:val="21"/>
        </w:rPr>
        <w:t>syntax</w:t>
      </w:r>
      <w:r>
        <w:rPr>
          <w:rFonts w:ascii="Arial" w:hAnsi="Arial"/>
          <w:b w:val="0"/>
          <w:i w:val="0"/>
          <w:color w:val="374151"/>
          <w:sz w:val="21"/>
        </w:rPr>
        <w:t>, not semantics: pixel width, keyword coverage, no-new-facts, and URL allowlists are code-level validators with one error-fed re-ask (95%+ of failures fix on the first retry) — the validator layer of Doc 03. Refusals (</w:t>
      </w:r>
      <w:r>
        <w:rPr>
          <w:rFonts w:ascii="Consolas" w:hAnsi="Consolas" w:cs="Consolas"/>
          <w:color w:val="111827"/>
          <w:sz w:val="19"/>
        </w:rPr>
        <w:t>stop_reason: "refusal"</w:t>
      </w:r>
      <w:r>
        <w:rPr>
          <w:rFonts w:ascii="Arial" w:hAnsi="Arial"/>
          <w:b w:val="0"/>
          <w:i w:val="0"/>
          <w:color w:val="374151"/>
          <w:sz w:val="21"/>
        </w:rPr>
        <w:t>) bypass the schema and are handled as first-class outcomes before parsing [81].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10.2  </w:t>
      </w:r>
      <w:r>
        <w:rPr>
          <w:rFonts w:ascii="Arial" w:hAnsi="Arial"/>
          <w:b/>
          <w:i w:val="0"/>
          <w:color w:val="1E3A8A"/>
          <w:sz w:val="24"/>
        </w:rPr>
        <w:t>Batch APIs and prompt caching — the cost architecture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Batch: a uniform 50% discount at all three vendors</w:t>
      </w:r>
      <w:r>
        <w:rPr>
          <w:rFonts w:ascii="Arial" w:hAnsi="Arial"/>
          <w:b w:val="0"/>
          <w:i w:val="0"/>
          <w:color w:val="374151"/>
          <w:sz w:val="21"/>
        </w:rPr>
        <w:t xml:space="preserve"> [82][85][87]. Anthropic's mechanics: up to 100,000 requests or 256 MB per batch; most batches complete within 1 hour, 24-hour maximum [82]. Because the loop is a nightly scheduled job, essentially all generation is batched; the orchestration layer tolerates up-to-24h batch latency, with live calls reserved for interactive UI paths.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Prompt caching: cached input reads at ~0.1× list price</w:t>
      </w:r>
      <w:r>
        <w:rPr>
          <w:rFonts w:ascii="Arial" w:hAnsi="Arial"/>
          <w:b w:val="0"/>
          <w:i w:val="0"/>
          <w:color w:val="374151"/>
          <w:sz w:val="21"/>
        </w:rPr>
        <w:t xml:space="preserve"> (Anthropic writes 1.25× for 5-min TTL; Gemini adds ~$1.00/1M-tokens/hour cache storage) [83][87]. The context pack is cache-ordered: byte-stable system contract + brand + site blocks first, volatile per-page blocks last. One trap engineered around: Anthropic's minimum cacheable prefix is 512 tokens on Opus 5 and 1024 on Sonnet 5 but </w:t>
      </w:r>
      <w:r>
        <w:rPr>
          <w:rFonts w:ascii="Arial" w:hAnsi="Arial"/>
          <w:b/>
          <w:i w:val="0"/>
          <w:color w:val="111827"/>
          <w:sz w:val="21"/>
        </w:rPr>
        <w:t>4096 on Haiku 4.5</w:t>
      </w:r>
      <w:r>
        <w:rPr>
          <w:rFonts w:ascii="Arial" w:hAnsi="Arial"/>
          <w:b w:val="0"/>
          <w:i w:val="0"/>
          <w:color w:val="374151"/>
          <w:sz w:val="21"/>
        </w:rPr>
        <w:t xml:space="preserve"> — a short site preamble silently fails to cache on exactly the high-volume tier, so the context pack is built as a </w:t>
      </w:r>
      <w:r>
        <w:rPr>
          <w:rFonts w:ascii="Arial" w:hAnsi="Arial"/>
          <w:b/>
          <w:i w:val="0"/>
          <w:color w:val="111827"/>
          <w:sz w:val="21"/>
        </w:rPr>
        <w:t>&gt;4K stable cached prefix (system contract + brand + site blocks) plus 2–4K volatile per-page blocks</w:t>
      </w:r>
      <w:r>
        <w:rPr>
          <w:rFonts w:ascii="Arial" w:hAnsi="Arial"/>
          <w:b w:val="0"/>
          <w:i w:val="0"/>
          <w:color w:val="374151"/>
          <w:sz w:val="21"/>
        </w:rPr>
        <w:t>, which keeps the Haiku minimum and the pack budget consistent and is the same call shape §10.3 prices [83].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Rate limits.</w:t>
      </w:r>
      <w:r>
        <w:rPr>
          <w:rFonts w:ascii="Arial" w:hAnsi="Arial"/>
          <w:b w:val="0"/>
          <w:i w:val="0"/>
          <w:color w:val="374151"/>
          <w:sz w:val="21"/>
        </w:rPr>
        <w:t xml:space="preserve"> All three vendors tier limits by cumulative spend, and the binding constraint for this Platform is the </w:t>
      </w:r>
      <w:r>
        <w:rPr>
          <w:rFonts w:ascii="Arial" w:hAnsi="Arial"/>
          <w:b w:val="0"/>
          <w:i/>
          <w:color w:val="374151"/>
          <w:sz w:val="21"/>
        </w:rPr>
        <w:t>batch</w:t>
      </w:r>
      <w:r>
        <w:rPr>
          <w:rFonts w:ascii="Arial" w:hAnsi="Arial"/>
          <w:b w:val="0"/>
          <w:i w:val="0"/>
          <w:color w:val="374151"/>
          <w:sz w:val="21"/>
        </w:rPr>
        <w:t xml:space="preserve"> ceiling rather than the interactive one — but the numbers differ sharply in how well they are published, and that difference is itself a planning input.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Anthropic (primary) — fully published</w:t>
      </w:r>
      <w:r>
        <w:rPr>
          <w:rFonts w:ascii="Arial" w:hAnsi="Arial"/>
          <w:b w:val="0"/>
          <w:i w:val="0"/>
          <w:color w:val="374151"/>
          <w:sz w:val="21"/>
        </w:rPr>
        <w:t xml:space="preserve"> [103]. Interactive limits are per model class, per organization tier: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RPM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Input tokens/min (ITPM)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Output tokens/min (OTPM)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Start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1,000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2,000,000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400,000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Build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5,000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5,000,000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1,000,000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Scale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10,000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10,000,000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2,000,000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/>
          <w:color w:val="374151"/>
          <w:sz w:val="21"/>
        </w:rPr>
        <w:t>(Figures for Claude Opus 5 / Sonnet 5 / Haiku 4.5, which share the same ceilings at each tier; Custom tier is negotiated. Start/Build/Scale carry monthly spend caps of $500 / $1,000 / $200,000.)</w:t>
      </w:r>
      <w:r>
        <w:rPr>
          <w:rFonts w:ascii="Arial" w:hAnsi="Arial"/>
          <w:b w:val="0"/>
          <w:i w:val="0"/>
          <w:color w:val="374151"/>
          <w:sz w:val="21"/>
        </w:rPr>
        <w:t xml:space="preserve"> One property matters more than the raw numbers for a cache-ordered design: </w:t>
      </w:r>
      <w:r>
        <w:rPr>
          <w:rFonts w:ascii="Arial" w:hAnsi="Arial"/>
          <w:b/>
          <w:i w:val="0"/>
          <w:color w:val="111827"/>
          <w:sz w:val="21"/>
        </w:rPr>
        <w:t>cached input tokens do not count toward ITPM</w:t>
      </w:r>
      <w:r>
        <w:rPr>
          <w:rFonts w:ascii="Arial" w:hAnsi="Arial"/>
          <w:b w:val="0"/>
          <w:i w:val="0"/>
          <w:color w:val="374151"/>
          <w:sz w:val="21"/>
        </w:rPr>
        <w:t xml:space="preserve"> on these models — only uncached input plus cache writes do — so the context-pack ordering in the previous bullet raises effective throughput as well as lowering cost.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Batch limits are shared across models and are the ones that actually bind here [103]: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Batch RPM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Max batch requests in the processing queue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Max requests per batch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Start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1,000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200,000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100,000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Build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2,000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300,000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100,000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Scale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4,000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500,000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100,000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Plus the per-batch payload cap of </w:t>
      </w:r>
      <w:r>
        <w:rPr>
          <w:rFonts w:ascii="Arial" w:hAnsi="Arial"/>
          <w:b/>
          <w:i w:val="0"/>
          <w:color w:val="111827"/>
          <w:sz w:val="21"/>
        </w:rPr>
        <w:t>256 MB</w:t>
      </w:r>
      <w:r>
        <w:rPr>
          <w:rFonts w:ascii="Arial" w:hAnsi="Arial"/>
          <w:b w:val="0"/>
          <w:i w:val="0"/>
          <w:color w:val="374151"/>
          <w:sz w:val="21"/>
        </w:rPr>
        <w:t xml:space="preserve"> and the ≤24 h turnaround already noted [82]. A 10,000-page nightly pass is 10,000 batch requests — 5% of the Start-tier queue — so batch capacity is not a scaling constraint until roughly 20 concurrent 10k-page tenants on the lowest tier.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OpenAI and Google — per-tier numbers are not published.</w:t>
      </w:r>
      <w:r>
        <w:rPr>
          <w:rFonts w:ascii="Arial" w:hAnsi="Arial"/>
          <w:b w:val="0"/>
          <w:i w:val="0"/>
          <w:color w:val="374151"/>
          <w:sz w:val="21"/>
        </w:rPr>
        <w:t xml:space="preserve"> This is a documentation gap at the vendor, stated rather than papered over: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OpenAI</w:t>
      </w:r>
      <w:r>
        <w:rPr>
          <w:rFonts w:ascii="Arial" w:hAnsi="Arial"/>
          <w:b w:val="0"/>
          <w:i w:val="0"/>
          <w:color w:val="374151"/>
          <w:sz w:val="21"/>
        </w:rPr>
        <w:t xml:space="preserve"> publishes the tier </w:t>
      </w:r>
      <w:r>
        <w:rPr>
          <w:rFonts w:ascii="Arial" w:hAnsi="Arial"/>
          <w:b w:val="0"/>
          <w:i/>
          <w:color w:val="374151"/>
          <w:sz w:val="21"/>
        </w:rPr>
        <w:t>qualification</w:t>
      </w:r>
      <w:r>
        <w:rPr>
          <w:rFonts w:ascii="Arial" w:hAnsi="Arial"/>
          <w:b w:val="0"/>
          <w:i w:val="0"/>
          <w:color w:val="374151"/>
          <w:sz w:val="21"/>
        </w:rPr>
        <w:t xml:space="preserve"> thresholds and monthly spend caps (Free through Tier 5, $100/month up to $200,000/month) but not the RPM/TPM values, directing callers to the limits page in their own account settings and the per-model summary [104]. For Batch, it documents only the </w:t>
      </w:r>
      <w:r>
        <w:rPr>
          <w:rFonts w:ascii="Arial" w:hAnsi="Arial"/>
          <w:b w:val="0"/>
          <w:i/>
          <w:color w:val="374151"/>
          <w:sz w:val="21"/>
        </w:rPr>
        <w:t>mechanism</w:t>
      </w:r>
      <w:r>
        <w:rPr>
          <w:rFonts w:ascii="Arial" w:hAnsi="Arial"/>
          <w:b w:val="0"/>
          <w:i w:val="0"/>
          <w:color w:val="374151"/>
          <w:sz w:val="21"/>
        </w:rPr>
        <w:t xml:space="preserve"> — queue limits are computed on the </w:t>
      </w:r>
      <w:r>
        <w:rPr>
          <w:rFonts w:ascii="Arial" w:hAnsi="Arial"/>
          <w:b/>
          <w:i w:val="0"/>
          <w:color w:val="111827"/>
          <w:sz w:val="21"/>
        </w:rPr>
        <w:t>total input tokens queued for a given model</w:t>
      </w:r>
      <w:r>
        <w:rPr>
          <w:rFonts w:ascii="Arial" w:hAnsi="Arial"/>
          <w:b w:val="0"/>
          <w:i w:val="0"/>
          <w:color w:val="374151"/>
          <w:sz w:val="21"/>
        </w:rPr>
        <w:t xml:space="preserve"> — with no published per-model figure.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1E3A8A"/>
          <w:sz w:val="21"/>
        </w:rPr>
        <w:t>Google (Gemini)</w:t>
      </w:r>
      <w:r>
        <w:rPr>
          <w:rFonts w:ascii="Arial" w:hAnsi="Arial"/>
          <w:b w:val="0"/>
          <w:i w:val="0"/>
          <w:color w:val="374151"/>
          <w:sz w:val="21"/>
        </w:rPr>
        <w:t xml:space="preserve"> likewise states that per-model RPM/TPM/RPD "can be viewed in Google AI Studio" rather than publishing them [105]. It </w:t>
      </w:r>
      <w:r>
        <w:rPr>
          <w:rFonts w:ascii="Arial" w:hAnsi="Arial"/>
          <w:b w:val="0"/>
          <w:i/>
          <w:color w:val="374151"/>
          <w:sz w:val="21"/>
        </w:rPr>
        <w:t>does</w:t>
      </w:r>
      <w:r>
        <w:rPr>
          <w:rFonts w:ascii="Arial" w:hAnsi="Arial"/>
          <w:b w:val="0"/>
          <w:i w:val="0"/>
          <w:color w:val="374151"/>
          <w:sz w:val="21"/>
        </w:rPr>
        <w:t xml:space="preserve"> publish the batch-side limits that matter for a nightly job: </w:t>
      </w:r>
      <w:r>
        <w:rPr>
          <w:rFonts w:ascii="Arial" w:hAnsi="Arial"/>
          <w:b/>
          <w:i w:val="0"/>
          <w:color w:val="111827"/>
          <w:sz w:val="21"/>
        </w:rPr>
        <w:t>100 concurrent batch requests</w:t>
      </w:r>
      <w:r>
        <w:rPr>
          <w:rFonts w:ascii="Arial" w:hAnsi="Arial"/>
          <w:b w:val="0"/>
          <w:i w:val="0"/>
          <w:color w:val="374151"/>
          <w:sz w:val="21"/>
        </w:rPr>
        <w:t xml:space="preserve">, a </w:t>
      </w:r>
      <w:r>
        <w:rPr>
          <w:rFonts w:ascii="Arial" w:hAnsi="Arial"/>
          <w:b/>
          <w:i w:val="0"/>
          <w:color w:val="111827"/>
          <w:sz w:val="21"/>
        </w:rPr>
        <w:t>2 GB</w:t>
      </w:r>
      <w:r>
        <w:rPr>
          <w:rFonts w:ascii="Arial" w:hAnsi="Arial"/>
          <w:b w:val="0"/>
          <w:i w:val="0"/>
          <w:color w:val="374151"/>
          <w:sz w:val="21"/>
        </w:rPr>
        <w:t xml:space="preserve"> maximum input file, </w:t>
      </w:r>
      <w:r>
        <w:rPr>
          <w:rFonts w:ascii="Arial" w:hAnsi="Arial"/>
          <w:b/>
          <w:i w:val="0"/>
          <w:color w:val="111827"/>
          <w:sz w:val="21"/>
        </w:rPr>
        <w:t>20 GB</w:t>
      </w:r>
      <w:r>
        <w:rPr>
          <w:rFonts w:ascii="Arial" w:hAnsi="Arial"/>
          <w:b w:val="0"/>
          <w:i w:val="0"/>
          <w:color w:val="374151"/>
          <w:sz w:val="21"/>
        </w:rPr>
        <w:t xml:space="preserve"> of file storage, with enqueued-tokens-per-model varying by tier. Two further published facts affect planning: spend-based rate limits apply on a rolling 10-minute window ($10 at Tier 1, $200 at Tiers 2–3), and Priority Inference defaults to </w:t>
      </w:r>
      <w:r>
        <w:rPr>
          <w:rFonts w:ascii="Arial" w:hAnsi="Arial"/>
          <w:b/>
          <w:i w:val="0"/>
          <w:color w:val="111827"/>
          <w:sz w:val="21"/>
        </w:rPr>
        <w:t>0.3× the standard rate limit</w:t>
      </w:r>
      <w:r>
        <w:rPr>
          <w:rFonts w:ascii="Arial" w:hAnsi="Arial"/>
          <w:b w:val="0"/>
          <w:i w:val="0"/>
          <w:color w:val="374151"/>
          <w:sz w:val="21"/>
        </w:rPr>
        <w:t xml:space="preserve"> for each model and tier.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Consequence for the design.</w:t>
      </w:r>
      <w:r>
        <w:rPr>
          <w:rFonts w:ascii="Arial" w:hAnsi="Arial"/>
          <w:b w:val="0"/>
          <w:i w:val="0"/>
          <w:color w:val="374151"/>
          <w:sz w:val="21"/>
        </w:rPr>
        <w:t xml:space="preserve"> Only Anthropic's ceilings can be capacity-planned from documentation; OpenAI's and Gemini's must be </w:t>
      </w:r>
      <w:r>
        <w:rPr>
          <w:rFonts w:ascii="Arial" w:hAnsi="Arial"/>
          <w:b/>
          <w:i w:val="0"/>
          <w:color w:val="111827"/>
          <w:sz w:val="21"/>
        </w:rPr>
        <w:t>read from the account console at onboarding and re-measured during the POC</w:t>
      </w:r>
      <w:r>
        <w:rPr>
          <w:rFonts w:ascii="Arial" w:hAnsi="Arial"/>
          <w:b w:val="0"/>
          <w:i w:val="0"/>
          <w:color w:val="374151"/>
          <w:sz w:val="21"/>
        </w:rPr>
        <w:t>, then recorded per environment. That asymmetry is one more reason Anthropic is primary and the other two are fallback/price levers rather than co-equal load-bearing paths — a fallback whose ceiling you cannot look up is fine; a primary whose ceiling you cannot look up is not. Per-tenant token metering with hard cutoffs (NFR-6) bounds runaway-loop spend on our side regardless of vendor.</w:t>
      </w:r>
    </w:p>
    <w:p>
      <w:pPr>
        <w:spacing w:before="280" w:after="80"/>
      </w:pPr>
      <w:r>
        <w:rPr>
          <w:rFonts w:ascii="Arial" w:hAnsi="Arial"/>
          <w:b/>
          <w:i w:val="0"/>
          <w:color w:val="DC2626"/>
          <w:sz w:val="24"/>
        </w:rPr>
        <w:t xml:space="preserve">10.3  </w:t>
      </w:r>
      <w:r>
        <w:rPr>
          <w:rFonts w:ascii="Arial" w:hAnsi="Arial"/>
          <w:b/>
          <w:i w:val="0"/>
          <w:color w:val="1E3A8A"/>
          <w:sz w:val="24"/>
        </w:rPr>
        <w:t>Model lineup and pricing (list, per 1M tokens, verified Aug 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Anthropic [80][84]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OpenAI [85]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Google [87]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Frontier / judge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Claude Opus 5 — $5 / $25 (1M ctx)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gpt-5.6-sol — $5 / $30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Gemini 3.1 Pro (preview) — $2 / $12 (≤200K ctx)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Workhorse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Claude Sonnet 5 — $3 / $15 (intro $2 / $10 through 2026-08-31; 1M ctx)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gpt-5.6-terra — $2 / $12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Gemini 3.6 Flash — $1.50 / $7.50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Bulk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Claude Haiku 4.5 — $1 / $5 (200K ctx)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gpt-5-mini — $0.25 / $2 · gpt-5-nano — $0.05 / $0.40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Gemini 3.5 Flash-Lite — $0.30 / $2.50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Batch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−50%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−50%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−50%</w:t>
            </w:r>
          </w:p>
        </w:tc>
      </w:tr>
      <w:tr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Cached input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~0.1×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~0.1×</w:t>
            </w:r>
          </w:p>
        </w:tc>
        <w:tc>
          <w:tcPr>
            <w:tcW w:type="dxa" w:w="244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~0.1× (+cache storage/hr)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Embeddings are cost-invisible: </w:t>
      </w:r>
      <w:r>
        <w:rPr>
          <w:rFonts w:ascii="Consolas" w:hAnsi="Consolas" w:cs="Consolas"/>
          <w:color w:val="111827"/>
          <w:sz w:val="19"/>
        </w:rPr>
        <w:t>text-embedding-3-small</w:t>
      </w:r>
      <w:r>
        <w:rPr>
          <w:rFonts w:ascii="Arial" w:hAnsi="Arial"/>
          <w:b w:val="0"/>
          <w:i w:val="0"/>
          <w:color w:val="374151"/>
          <w:sz w:val="21"/>
        </w:rPr>
        <w:t xml:space="preserve"> at $0.02/1M tokens ($0.01 batched)° [89]; Voyage </w:t>
      </w:r>
      <w:r>
        <w:rPr>
          <w:rFonts w:ascii="Consolas" w:hAnsi="Consolas" w:cs="Consolas"/>
          <w:color w:val="111827"/>
          <w:sz w:val="19"/>
        </w:rPr>
        <w:t>voyage-4-lite</w:t>
      </w:r>
      <w:r>
        <w:rPr>
          <w:rFonts w:ascii="Arial" w:hAnsi="Arial"/>
          <w:b w:val="0"/>
          <w:i w:val="0"/>
          <w:color w:val="374151"/>
          <w:sz w:val="21"/>
        </w:rPr>
        <w:t xml:space="preserve"> at $0.02/1M with 200M free tokens [90]. A 100k-page site embeds for ~$4. (The OpenAI embedding figure is from a third-party pricing tracker rather than OpenAI's own rate card; at ~$4 per 100k pages, no plausible revision changes a decision.) Model churn is a real operational line: Gemini 2.5 Flash-Lite ($0.10/$0.40), used in the competitor lane's per-page pass, is reported to retire </w:t>
      </w:r>
      <w:r>
        <w:rPr>
          <w:rFonts w:ascii="Arial" w:hAnsi="Arial"/>
          <w:b/>
          <w:i w:val="0"/>
          <w:color w:val="111827"/>
          <w:sz w:val="21"/>
        </w:rPr>
        <w:t>October 16, 2026°</w:t>
      </w:r>
      <w:r>
        <w:rPr>
          <w:rFonts w:ascii="Arial" w:hAnsi="Arial"/>
          <w:b w:val="0"/>
          <w:i w:val="0"/>
          <w:color w:val="374151"/>
          <w:sz w:val="21"/>
        </w:rPr>
        <w:t xml:space="preserve"> with a pricier successor [91] — a secondary source, and the </w:t>
      </w:r>
      <w:r>
        <w:rPr>
          <w:rFonts w:ascii="Arial" w:hAnsi="Arial"/>
          <w:b w:val="0"/>
          <w:i/>
          <w:color w:val="374151"/>
          <w:sz w:val="21"/>
        </w:rPr>
        <w:t>only</w:t>
      </w:r>
      <w:r>
        <w:rPr>
          <w:rFonts w:ascii="Arial" w:hAnsi="Arial"/>
          <w:b w:val="0"/>
          <w:i w:val="0"/>
          <w:color w:val="374151"/>
          <w:sz w:val="21"/>
        </w:rPr>
        <w:t xml:space="preserve"> dated commitment in this document taken from one, so the retirement date is re-checked against Google's own deprecation notices before it is relied on. Model IDs are pinned per analysis run and reviewed quarterly regardless, alongside the Sonnet 5 intro-pricing expiry (2026-08-31; all budgets in this package use standard $3/$15).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How the Platform uses them (the tiering that sets the cost envelope).</w:t>
      </w:r>
      <w:r>
        <w:rPr>
          <w:rFonts w:ascii="Arial" w:hAnsi="Arial"/>
          <w:b w:val="0"/>
          <w:i w:val="0"/>
          <w:color w:val="374151"/>
          <w:sz w:val="21"/>
        </w:rPr>
        <w:t xml:space="preserve"> Tier 0 is deterministic code — most technical SEO fixes never touch a model. Haiku-class handles bulk fields (alt text, meta descriptions), Sonnet-class handles judgment work (titles, headings, FAQs, link anchors), Opus-class is reserved for cross-model judging and escalations. Worked anchor: a full 10,000-page metadata pass at 3K input / 500 output tokens per page — the 2–4K volatile per-page blocks plus the ~0.1× effective read of the &gt;4K cached prefix (§10.2) — costs </w:t>
      </w:r>
      <w:r>
        <w:rPr>
          <w:rFonts w:ascii="Arial" w:hAnsi="Arial"/>
          <w:b/>
          <w:i w:val="0"/>
          <w:color w:val="111827"/>
          <w:sz w:val="21"/>
        </w:rPr>
        <w:t>$27.50 on Haiku batch or $82.50 on Sonnet batch</w:t>
      </w:r>
      <w:r>
        <w:rPr>
          <w:rFonts w:ascii="Arial" w:hAnsi="Arial"/>
          <w:b w:val="0"/>
          <w:i w:val="0"/>
          <w:color w:val="374151"/>
          <w:sz w:val="21"/>
        </w:rPr>
        <w:t xml:space="preserve">, plus ~$5.60 of selective Opus judging — </w:t>
      </w:r>
      <w:r>
        <w:rPr>
          <w:rFonts w:ascii="Arial" w:hAnsi="Arial"/>
          <w:b/>
          <w:i w:val="0"/>
          <w:color w:val="111827"/>
          <w:sz w:val="21"/>
        </w:rPr>
        <w:t>$33.10–$88.10 all-in</w:t>
      </w:r>
      <w:r>
        <w:rPr>
          <w:rFonts w:ascii="Arial" w:hAnsi="Arial"/>
          <w:b w:val="0"/>
          <w:i w:val="0"/>
          <w:color w:val="374151"/>
          <w:sz w:val="21"/>
        </w:rPr>
        <w:t xml:space="preserve">, which is the figure quoted in the executive summary. </w:t>
      </w:r>
      <w:r>
        <w:rPr>
          <w:rFonts w:ascii="Arial" w:hAnsi="Arial"/>
          <w:b w:val="0"/>
          <w:i/>
          <w:color w:val="374151"/>
          <w:sz w:val="21"/>
        </w:rPr>
        <w:t>Register note:</w:t>
      </w:r>
      <w:r>
        <w:rPr>
          <w:rFonts w:ascii="Arial" w:hAnsi="Arial"/>
          <w:b w:val="0"/>
          <w:i w:val="0"/>
          <w:color w:val="374151"/>
          <w:sz w:val="21"/>
        </w:rPr>
        <w:t xml:space="preserve"> DECISIONS D-10 records this pass as "≈$30–85", which is the generation-only range before judging is added; the two are reconciled here rather than silently deviated from — use $33–$88 when judging is included, $27.50–$82.50 when it is not, and never $30–85 for the all-in number. A deeper full-page analysis pass — a separate workload at 5K input / 0.8K output per page — runs </w:t>
      </w:r>
      <w:r>
        <w:rPr>
          <w:rFonts w:ascii="Arial" w:hAnsi="Arial"/>
          <w:b/>
          <w:i w:val="0"/>
          <w:color w:val="111827"/>
          <w:sz w:val="21"/>
        </w:rPr>
        <w:t>$4.50 (Haiku) to $13.50 (Sonnet) per 1,000 pages analyzed</w:t>
      </w:r>
      <w:r>
        <w:rPr>
          <w:rFonts w:ascii="Arial" w:hAnsi="Arial"/>
          <w:b w:val="0"/>
          <w:i w:val="0"/>
          <w:color w:val="374151"/>
          <w:sz w:val="21"/>
        </w:rPr>
        <w:t xml:space="preserve"> on the same batch pricing. Incremental nightly cycles touch only the 1–5% of pages that changed. Security posture (Doc 06): models reading crawled or competitor content get no tools and no credentials, and emit only closed-vocabulary schema output — an injected page can at worst produce a bad field value that must still survive deterministic validation.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11   </w:t>
      </w:r>
      <w:r>
        <w:rPr>
          <w:rFonts w:ascii="Arial" w:hAnsi="Arial"/>
          <w:b/>
          <w:i w:val="0"/>
          <w:color w:val="1E3A8A"/>
          <w:sz w:val="28"/>
        </w:rPr>
        <w:t>Consolidated reference table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Criticality legend: </w:t>
      </w:r>
      <w:r>
        <w:rPr>
          <w:rFonts w:ascii="Arial" w:hAnsi="Arial"/>
          <w:b/>
          <w:i w:val="0"/>
          <w:color w:val="111827"/>
          <w:sz w:val="21"/>
        </w:rPr>
        <w:t>Hard</w:t>
      </w:r>
      <w:r>
        <w:rPr>
          <w:rFonts w:ascii="Arial" w:hAnsi="Arial"/>
          <w:b w:val="0"/>
          <w:i w:val="0"/>
          <w:color w:val="374151"/>
          <w:sz w:val="21"/>
        </w:rPr>
        <w:t xml:space="preserve"> = a loop stage stops platform-wide without it · </w:t>
      </w:r>
      <w:r>
        <w:rPr>
          <w:rFonts w:ascii="Arial" w:hAnsi="Arial"/>
          <w:b/>
          <w:i w:val="0"/>
          <w:color w:val="111827"/>
          <w:sz w:val="21"/>
        </w:rPr>
        <w:t>Hard (per-site)</w:t>
      </w:r>
      <w:r>
        <w:rPr>
          <w:rFonts w:ascii="Arial" w:hAnsi="Arial"/>
          <w:b w:val="0"/>
          <w:i w:val="0"/>
          <w:color w:val="374151"/>
          <w:sz w:val="21"/>
        </w:rPr>
        <w:t xml:space="preserve"> = a loop stage stops for the sites that depend on it · </w:t>
      </w:r>
      <w:r>
        <w:rPr>
          <w:rFonts w:ascii="Arial" w:hAnsi="Arial"/>
          <w:b/>
          <w:i w:val="0"/>
          <w:color w:val="111827"/>
          <w:sz w:val="21"/>
        </w:rPr>
        <w:t>Channel</w:t>
      </w:r>
      <w:r>
        <w:rPr>
          <w:rFonts w:ascii="Arial" w:hAnsi="Arial"/>
          <w:b w:val="0"/>
          <w:i w:val="0"/>
          <w:color w:val="374151"/>
          <w:sz w:val="21"/>
        </w:rPr>
        <w:t xml:space="preserve"> = one site-platform channel stops · </w:t>
      </w:r>
      <w:r>
        <w:rPr>
          <w:rFonts w:ascii="Arial" w:hAnsi="Arial"/>
          <w:b/>
          <w:i w:val="0"/>
          <w:color w:val="111827"/>
          <w:sz w:val="21"/>
        </w:rPr>
        <w:t>Degradable</w:t>
      </w:r>
      <w:r>
        <w:rPr>
          <w:rFonts w:ascii="Arial" w:hAnsi="Arial"/>
          <w:b w:val="0"/>
          <w:i w:val="0"/>
          <w:color w:val="374151"/>
          <w:sz w:val="21"/>
        </w:rPr>
        <w:t xml:space="preserve"> = quality degrades, loop continues · </w:t>
      </w:r>
      <w:r>
        <w:rPr>
          <w:rFonts w:ascii="Arial" w:hAnsi="Arial"/>
          <w:b/>
          <w:i w:val="0"/>
          <w:color w:val="111827"/>
          <w:sz w:val="21"/>
        </w:rPr>
        <w:t>Optional</w:t>
      </w:r>
      <w:r>
        <w:rPr>
          <w:rFonts w:ascii="Arial" w:hAnsi="Arial"/>
          <w:b w:val="0"/>
          <w:i w:val="0"/>
          <w:color w:val="374151"/>
          <w:sz w:val="21"/>
        </w:rPr>
        <w:t xml:space="preserve"> = additive signal only. "°" marks a figure from a secondary source (see the Sources list).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API</w:t>
            </w:r>
          </w:p>
        </w:tc>
        <w:tc>
          <w:tcPr>
            <w:tcW w:type="dxa" w:w="195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195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quota / limit</w:t>
            </w:r>
          </w:p>
        </w:tc>
        <w:tc>
          <w:tcPr>
            <w:tcW w:type="dxa" w:w="195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Cost</w:t>
            </w:r>
          </w:p>
        </w:tc>
        <w:tc>
          <w:tcPr>
            <w:tcW w:type="dxa" w:w="1958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Criticality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GSC Search Analytics [1][2]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OAuth webmasters.readonly (sensitive scope) or SA invite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1,200 QPM/site; ~50k° rows/day/search type; 16-mo° retention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Hard — Identify, Monitor, Measure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GSC URL Inspection [1][7]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same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2,000/day/property; 600 QPM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Degradable — sampled verification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GSC Sitemaps [9]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OAuth webmasters (read-write)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20 QPS / 200 QPM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Degradable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GSC BigQuery export [10][11]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customer GCP grant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 row cap; UI-only enable; no backfill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customer-paid BQ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Optional (enterprise)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GA4 Data + Admin API [18][23]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OAuth analytics.readonly or SA Viewer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200k tokens/property/day; 10 concurrent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Optional — veto-only signal (post-MVP)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GitHub (App) [28][29][30]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GitHub App, 1-h installation tokens, per-run single-repo down-scope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12,500 req/h/installation; 80 content-writes/min, 500/h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Hard (code channel)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WordPress REST [37][38]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Application Password on a dedicated Editor-role user (not scope-limited — the user *is* the scope)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none core; ~5–10 rps practical (host WAFs); /batch/v1 ≤25 sub-requests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Channel (WP)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Shopify Admin GraphQL [45][51]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custom-app token per store, or public OAuth app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1,000-pt bucket @ 50 pts/s; mutation ≈10 pts (~5 mutations/s)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Channel (Shopify, post-MVP)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Vercel [54][55][56][92]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Bearer access token — Project-scoped required (Full Account / Team / Project available); mandatory expiry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100–24,000 deploys/day by plan; 100/450/1,800 per hour; 45-min build cap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build CPU $0.0035/min (Pro)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Hard (per-site) — Validate/Rollback on Vercel-hosted sites; the label scopes a *transient* loss of a rollback lane the site normally has (deploys freeze, §12), not hosts that never had one (git-revert-only, Doc 03 §5.3)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Netlify [58]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PAT (account-wide — cannot be scoped to one site; mandatory expiry) or OAuth app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500 req/min; 3 deploys/min; 100 API deploys/day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plan-based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Hard (per-site) — same, Netlify-hosted sites, with the same transient-vs-structural scoping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Edge worker / custom sites [93][94][95]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Cloudflare API token scoped to Workers-edit + the zone; plus proxied DNS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 tier 100k req/day + 10 ms CPU; paid: uncapped requests, 30 s CPU, 128 MB, 10k subrequests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customer's Cloudflare account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Channel (custom sites, post-MVP) — and the Platform is in the serving path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DataForSEO [60][61][97]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PAYG account credentials (HTTP Basic)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2,000 API calls/min; ≤100 tasks per POST; per-endpoint ceiling in X-RateLimit-Limit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$0.60/1k SERPs; $0.06/1k keyword volumes; credits never expire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Degradable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Serper [65][66]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API key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 published rate limit — measure at POC; prepaid credits, 6-mo expiry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$0.50–1.00/1k (a $0.30/1k° floor is reported at the largest packs)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Degradable (failover vendor)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Bing Webmaster [75][76]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API key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500 URLs/SubmitUrlBatch; weekly data, 6-mo window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Optional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IndexNow [78]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site key file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10,000 URLs/call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Free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Optional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Server-log connector [99][100][101][102]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per-host: Vercel Drains (Pro+), Cloudflare Logpush (Enterprise), CloudFront→S3, or agent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plan-gated per host; CloudFront delivery best-effort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Vercel $0.50/GB; others ~storage only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Optional (post-MVP) — quota-free recrawl signal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Anthropic [80][82][103]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API key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batch queue 200k–500k requests by tier; ≤100k requests / 256 MB per batch; ≤24 h; interactive 1,000–10,000 RPM, 2M–10M ITPM, 400k–2M OTPM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Haiku $1/$5 · Sonnet $3/$15 · Opus $5/$25 /MTok; batch −50%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Hard — Optimize (mitigated by fallback)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OpenAI [85][104]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API key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per-tier RPM/TPM not published (account console only); batch queue sized on total input tokens queued per model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see §10.3; batch −50%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Degradable (fallback provider)</w:t>
            </w:r>
          </w:p>
        </w:tc>
      </w:tr>
      <w:tr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Gemini [87][105]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API key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per-model RPM/TPM/RPD not published (AI Studio only); batch: 100 concurrent, 2 GB input file, 20 GB storage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see §10.3; batch −50%</w:t>
            </w:r>
          </w:p>
        </w:tc>
        <w:tc>
          <w:tcPr>
            <w:tcW w:type="dxa" w:w="1958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Degradable (fallback provider)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Embeddings — OpenAI / Voyage [89][90]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API key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 published per-tier limit; batch path available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text-embedding-3-small $0.02/1M° ($0.01 batched) · voyage-4-lite $0.02/1M, 200M free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Degradable — D-03 runtime dependency (~$4 per 100k pages)</w:t>
            </w:r>
          </w:p>
        </w:tc>
      </w:tr>
    </w:tbl>
    <w:p>
      <w:pPr>
        <w:spacing w:after="40"/>
      </w:pP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12   </w:t>
      </w:r>
      <w:r>
        <w:rPr>
          <w:rFonts w:ascii="Arial" w:hAnsi="Arial"/>
          <w:b/>
          <w:i w:val="0"/>
          <w:color w:val="1E3A8A"/>
          <w:sz w:val="28"/>
        </w:rPr>
        <w:t>Single points of failure — which outage stops which loop stage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</w:tblBorders>
      </w:tblPr>
      <w:tblGrid>
        <w:gridCol w:w="9792"/>
      </w:tblGrid>
      <w:tr>
        <w:tc>
          <w:tcPr>
            <w:tcW w:type="dxa" w:w="9792"/>
            <w:shd w:val="clear" w:color="auto" w:fill="F3F4F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Loop stage        Primary external dependency          Behavior on outage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Discover        ─ (own crawler; no external API)       unaffected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Analyze         ─ own rulebook; AI batch (bulk)        Tier-0 rules unaffected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Identify        ─ GSC Search Analytics ─┐              runs on warehoused data;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Decide          ─ internal matrix       │              new-day scoring pauses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Optimize        ─ AI providers ─────────┼─ fallback: Anthropic → OpenAI/Gemini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Validate        ─ Vercel/Netlify previews + GitHub     git channel blocks;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                  Checks                               CMS LOW-risk unaffected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Deploy          ─ GitHub PR | WP REST | Shopify API    per-channel pause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                  | edge worker (custom sites)         (edge: note below)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Monitor         ─ GSC fresh/hourly + URL Inspection    guardrails degrade to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                  (+ GA4 veto, + server logs opt.)     crawl/HTTP signals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Measure         ─ GSC warehouse (+ GA4 final data)     verdicts FREEZE, never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                                                       guess on missing days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 xml:space="preserve"> Re-optimize     ─ (internal, feeds Identify)           follows Identify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GSC is the one irreplaceable dependency.</w:t>
      </w:r>
      <w:r>
        <w:rPr>
          <w:rFonts w:ascii="Arial" w:hAnsi="Arial"/>
          <w:b w:val="0"/>
          <w:i w:val="0"/>
          <w:color w:val="374151"/>
          <w:sz w:val="21"/>
        </w:rPr>
        <w:t xml:space="preserve"> No substitute exists for first-party impression/position data. The design absorbs outages two ways: the permanent warehouse keeps Identify/Decide running on history, and the pipeline's data-gap detection </w:t>
      </w:r>
      <w:r>
        <w:rPr>
          <w:rFonts w:ascii="Arial" w:hAnsi="Arial"/>
          <w:b/>
          <w:i w:val="0"/>
          <w:color w:val="111827"/>
          <w:sz w:val="21"/>
        </w:rPr>
        <w:t>freezes KEEP/ROLLBACK verdicts rather than evaluating against missing days</w:t>
      </w:r>
      <w:r>
        <w:rPr>
          <w:rFonts w:ascii="Arial" w:hAnsi="Arial"/>
          <w:b w:val="0"/>
          <w:i w:val="0"/>
          <w:color w:val="374151"/>
          <w:sz w:val="21"/>
        </w:rPr>
        <w:t xml:space="preserve"> — the June 2025 multi-day GSC data stall is the design precedent; without gap detection it would have mass-triggered false decay alerts and rollbacks. Degradation is therefore "no new verdicts," never "wrong verdicts."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GitHub down</w:t>
      </w:r>
      <w:r>
        <w:rPr>
          <w:rFonts w:ascii="Arial" w:hAnsi="Arial"/>
          <w:b w:val="0"/>
          <w:i w:val="0"/>
          <w:color w:val="374151"/>
          <w:sz w:val="21"/>
        </w:rPr>
        <w:t xml:space="preserve"> stops Deploy, Validate, and revert-PR rollback on the code channel. The emergency path survives: Vercel Instant Rollback / Netlify restore act at the hosting layer, independent of GitHub [56][58]. CMS channels are unaffected.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AI provider down</w:t>
      </w:r>
      <w:r>
        <w:rPr>
          <w:rFonts w:ascii="Arial" w:hAnsi="Arial"/>
          <w:b w:val="0"/>
          <w:i w:val="0"/>
          <w:color w:val="374151"/>
          <w:sz w:val="21"/>
        </w:rPr>
        <w:t xml:space="preserve"> stops Optimize for generated content; the multi-provider adapter fails over (one op schema, three backends), and Tier-0 deterministic fixes — the bulk of technical SEO — continue unaffected.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Vercel/Netlify down</w:t>
      </w:r>
      <w:r>
        <w:rPr>
          <w:rFonts w:ascii="Arial" w:hAnsi="Arial"/>
          <w:b w:val="0"/>
          <w:i w:val="0"/>
          <w:color w:val="374151"/>
          <w:sz w:val="21"/>
        </w:rPr>
        <w:t xml:space="preserve"> blocks preview-based validation, which blocks MEDIUM-risk deploys on the git channel by policy (nothing ships unvalidated, NFR-1). A deliberate second policy follows from rollback dependence: </w:t>
      </w:r>
      <w:r>
        <w:rPr>
          <w:rFonts w:ascii="Arial" w:hAnsi="Arial"/>
          <w:b/>
          <w:i w:val="0"/>
          <w:color w:val="111827"/>
          <w:sz w:val="21"/>
        </w:rPr>
        <w:t>when a site's instant-rollback path is transiently unavailable, the Platform freezes new deploys to that site</w:t>
      </w:r>
      <w:r>
        <w:rPr>
          <w:rFonts w:ascii="Arial" w:hAnsi="Arial"/>
          <w:b w:val="0"/>
          <w:i w:val="0"/>
          <w:color w:val="374151"/>
          <w:sz w:val="21"/>
        </w:rPr>
        <w:t xml:space="preserve"> until it is healthy — deploying without a working emergency rollback the site normally has would violate the safety contract. Note this is a </w:t>
      </w:r>
      <w:r>
        <w:rPr>
          <w:rFonts w:ascii="Arial" w:hAnsi="Arial"/>
          <w:b w:val="0"/>
          <w:i/>
          <w:color w:val="374151"/>
          <w:sz w:val="21"/>
        </w:rPr>
        <w:t>stopped stage for that site</w:t>
      </w:r>
      <w:r>
        <w:rPr>
          <w:rFonts w:ascii="Arial" w:hAnsi="Arial"/>
          <w:b w:val="0"/>
          <w:i w:val="0"/>
          <w:color w:val="374151"/>
          <w:sz w:val="21"/>
        </w:rPr>
        <w:t xml:space="preserve">, not graceful degradation, which is why §11 classifies the deploy hosts as </w:t>
      </w:r>
      <w:r>
        <w:rPr>
          <w:rFonts w:ascii="Arial" w:hAnsi="Arial"/>
          <w:b/>
          <w:i w:val="0"/>
          <w:color w:val="111827"/>
          <w:sz w:val="21"/>
        </w:rPr>
        <w:t>Hard (per-site)</w:t>
      </w:r>
      <w:r>
        <w:rPr>
          <w:rFonts w:ascii="Arial" w:hAnsi="Arial"/>
          <w:b w:val="0"/>
          <w:i w:val="0"/>
          <w:color w:val="374151"/>
          <w:sz w:val="21"/>
        </w:rPr>
        <w:t xml:space="preserve"> and the executive summary lists them as per-site hard dependencies rather than folding them into "everything else degrades."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The freeze rule covers case (a) only, and the distinction is load-bearing.</w:t>
      </w:r>
      <w:r>
        <w:rPr>
          <w:rFonts w:ascii="Arial" w:hAnsi="Arial"/>
          <w:b w:val="0"/>
          <w:i w:val="0"/>
          <w:color w:val="374151"/>
          <w:sz w:val="21"/>
        </w:rPr>
        <w:t xml:space="preserve"> (a) A host rollback API the project normally has goes down ⇒ freeze new deploys to that site until it is healthy. (b) A host that </w:t>
      </w:r>
      <w:r>
        <w:rPr>
          <w:rFonts w:ascii="Arial" w:hAnsi="Arial"/>
          <w:b w:val="0"/>
          <w:i/>
          <w:color w:val="374151"/>
          <w:sz w:val="21"/>
        </w:rPr>
        <w:t>structurally never had</w:t>
      </w:r>
      <w:r>
        <w:rPr>
          <w:rFonts w:ascii="Arial" w:hAnsi="Arial"/>
          <w:b w:val="0"/>
          <w:i w:val="0"/>
          <w:color w:val="374151"/>
          <w:sz w:val="21"/>
        </w:rPr>
        <w:t xml:space="preserve"> an instant lane — a git-deployed customer on Amplify, Cloudflare Pages, Render, Fly, or self-hosted Docker — is onboarded </w:t>
      </w:r>
      <w:r>
        <w:rPr>
          <w:rFonts w:ascii="Arial" w:hAnsi="Arial"/>
          <w:b/>
          <w:i w:val="0"/>
          <w:color w:val="111827"/>
          <w:sz w:val="21"/>
        </w:rPr>
        <w:t>git-revert-only</w:t>
      </w:r>
      <w:r>
        <w:rPr>
          <w:rFonts w:ascii="Arial" w:hAnsi="Arial"/>
          <w:b w:val="0"/>
          <w:i w:val="0"/>
          <w:color w:val="374151"/>
          <w:sz w:val="21"/>
        </w:rPr>
        <w:t xml:space="preserve"> and keeps deploying, carrying a tightened risk policy instead: HIGH-visibility change types stay a tier higher and batches stay smaller (Doc 03 §5.3). Reading the freeze rule onto case (b) would freeze every non-Vercel/Netlify git customer permanently, which is not the policy.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Edge channel down — the one asymmetric case.</w:t>
      </w:r>
      <w:r>
        <w:rPr>
          <w:rFonts w:ascii="Arial" w:hAnsi="Arial"/>
          <w:b w:val="0"/>
          <w:i w:val="0"/>
          <w:color w:val="374151"/>
          <w:sz w:val="21"/>
        </w:rPr>
        <w:t xml:space="preserve"> For custom sites the Platform sits in the serving path, so the failure mode is not a paused pipeline but a customer-facing outage. Three mitigations are load-bearing rather than nice-to-have: transparent-proxy failover (on worker error, pass origin HTML through unmodified, losing the optimizations but not the site) [95]; a disable-rule path that takes effect in seconds and needs no rebuild; and a documented SLA, because this is the only channel where the Platform's availability becomes the customer's availability. A Platform outage that would merely pause a WordPress or Shopify tenant degrades a custom-site tenant's live pages — the reason §7.3 ships after the API adapters, not alongside them.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DataForSEO/Serper down</w:t>
      </w:r>
      <w:r>
        <w:rPr>
          <w:rFonts w:ascii="Arial" w:hAnsi="Arial"/>
          <w:b w:val="0"/>
          <w:i w:val="0"/>
          <w:color w:val="374151"/>
          <w:sz w:val="21"/>
        </w:rPr>
        <w:t xml:space="preserve"> degrades opportunity scoring to prior-based expected-CTR curves without SERP-feature multipliers and pauses competitor analysis; the GSC-first design means the core loop does not notice. This degradation is also the planned response if the SERP-provider legal situation (§8.4) makes vendors abruptly expensive or unavailable.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GA4 down or absent</w:t>
      </w:r>
      <w:r>
        <w:rPr>
          <w:rFonts w:ascii="Arial" w:hAnsi="Arial"/>
          <w:b w:val="0"/>
          <w:i w:val="0"/>
          <w:color w:val="374151"/>
          <w:sz w:val="21"/>
        </w:rPr>
        <w:t xml:space="preserve"> is a designed non-event: the conversion signal is veto-only, and its absence never blocks a verdict.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Three non-outage failure modes belong in the same register: </w:t>
      </w:r>
      <w:r>
        <w:rPr>
          <w:rFonts w:ascii="Arial" w:hAnsi="Arial"/>
          <w:b/>
          <w:i w:val="0"/>
          <w:color w:val="111827"/>
          <w:sz w:val="21"/>
        </w:rPr>
        <w:t>Google OAuth verification</w:t>
      </w:r>
      <w:r>
        <w:rPr>
          <w:rFonts w:ascii="Arial" w:hAnsi="Arial"/>
          <w:b w:val="0"/>
          <w:i w:val="0"/>
          <w:color w:val="374151"/>
          <w:sz w:val="21"/>
        </w:rPr>
        <w:t xml:space="preserve"> is a schedule SPOF (100-user cap until verified; weeks of lead time — started at kickoff) [15]; the </w:t>
      </w:r>
      <w:r>
        <w:rPr>
          <w:rFonts w:ascii="Arial" w:hAnsi="Arial"/>
          <w:b/>
          <w:i w:val="0"/>
          <w:color w:val="111827"/>
          <w:sz w:val="21"/>
        </w:rPr>
        <w:t>GitHub App private key</w:t>
      </w:r>
      <w:r>
        <w:rPr>
          <w:rFonts w:ascii="Arial" w:hAnsi="Arial"/>
          <w:b w:val="0"/>
          <w:i w:val="0"/>
          <w:color w:val="374151"/>
          <w:sz w:val="21"/>
        </w:rPr>
        <w:t xml:space="preserve"> is the security SPOF (it mints tokens for every customer installation; isolated in a dedicated token-mint service with KMS custody — Doc 06); and the </w:t>
      </w:r>
      <w:r>
        <w:rPr>
          <w:rFonts w:ascii="Arial" w:hAnsi="Arial"/>
          <w:b/>
          <w:i w:val="0"/>
          <w:color w:val="111827"/>
          <w:sz w:val="21"/>
        </w:rPr>
        <w:t>manual-action gap</w:t>
      </w:r>
      <w:r>
        <w:rPr>
          <w:rFonts w:ascii="Arial" w:hAnsi="Arial"/>
          <w:b w:val="0"/>
          <w:i w:val="0"/>
          <w:color w:val="374151"/>
          <w:sz w:val="21"/>
        </w:rPr>
        <w:t xml:space="preserve"> is an open operational dependency — GSC exposes no manual-actions API, so the strongest stop-everything signal arrives by UI or email only. The Platform's mechanism is a tenant-added Platform-owned address as a GSC property user, so Google's notification email is parsed into a site-wide freeze signal, with a weekly operator check of the Manual Actions UI as the backstop; both paths sit outside the Platform's control, which is why this is carried as a dependency rather than a mitigation (Doc 06 TEC-10).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13   </w:t>
      </w:r>
      <w:r>
        <w:rPr>
          <w:rFonts w:ascii="Arial" w:hAnsi="Arial"/>
          <w:b/>
          <w:i w:val="0"/>
          <w:color w:val="1E3A8A"/>
          <w:sz w:val="28"/>
        </w:rPr>
        <w:t>Sources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1. </w:t>
      </w:r>
      <w:hyperlink r:id="rId9">
        <w:r>
          <w:rPr>
            <w:rFonts w:ascii="Arial" w:hAnsi="Arial"/>
            <w:color w:val="1D4ED8"/>
            <w:u w:val="single"/>
            <w:sz w:val="21"/>
          </w:rPr>
          <w:t xml:space="preserve">https://developers.google.com/webmaster-tools/limits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GSC API quotas: Search Analytics 1,200 QPM/site; URL Inspection 2,000/day/property + 600 QPM; other methods 20 QPS/200 QPM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2. </w:t>
      </w:r>
      <w:hyperlink r:id="rId10">
        <w:r>
          <w:rPr>
            <w:rFonts w:ascii="Arial" w:hAnsi="Arial"/>
            <w:color w:val="1D4ED8"/>
            <w:u w:val="single"/>
            <w:sz w:val="21"/>
          </w:rPr>
          <w:t xml:space="preserve">https://developers.google.com/webmaster-tools/v1/searchanalytics/query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dimensions, filters, rowLimit 25k, dataState values, "top rows not all rows"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3. </w:t>
      </w:r>
      <w:hyperlink r:id="rId11">
        <w:r>
          <w:rPr>
            <w:rFonts w:ascii="Arial" w:hAnsi="Arial"/>
            <w:color w:val="1D4ED8"/>
            <w:u w:val="single"/>
            <w:sz w:val="21"/>
          </w:rPr>
          <w:t xml:space="preserve">https://www.analyticsedge.com/blog/download-over-25000-rows-from-google-search-console-api/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pagination beyond 25k, ~50k rows/day ceiling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4. </w:t>
      </w:r>
      <w:hyperlink r:id="rId12">
        <w:r>
          <w:rPr>
            <w:rFonts w:ascii="Arial" w:hAnsi="Arial"/>
            <w:color w:val="1D4ED8"/>
            <w:u w:val="single"/>
            <w:sz w:val="21"/>
          </w:rPr>
          <w:t xml:space="preserve">https://developers.google.com/search/blog/2025/04/san-hourly-data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hourly data in the Search Analytics API (Apr 2025), ~10-day window, few-hours delay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5. </w:t>
      </w:r>
      <w:hyperlink r:id="rId13">
        <w:r>
          <w:rPr>
            <w:rFonts w:ascii="Arial" w:hAnsi="Arial"/>
            <w:color w:val="1D4ED8"/>
            <w:u w:val="single"/>
            <w:sz w:val="21"/>
          </w:rPr>
          <w:t xml:space="preserve">https://www.seo-stack.io/blog/why-does-google-search-console-have-a-16-month-data-limit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16-month rolling retention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6. </w:t>
      </w:r>
      <w:hyperlink r:id="rId14">
        <w:r>
          <w:rPr>
            <w:rFonts w:ascii="Arial" w:hAnsi="Arial"/>
            <w:color w:val="1D4ED8"/>
            <w:u w:val="single"/>
            <w:sz w:val="21"/>
          </w:rPr>
          <w:t xml:space="preserve">https://ahrefs.com/blog/gsc-anonymized-queries/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46.77% of clicks anonymized (146k+ sites, Apr 2025)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7. </w:t>
      </w:r>
      <w:hyperlink r:id="rId15">
        <w:r>
          <w:rPr>
            <w:rFonts w:ascii="Arial" w:hAnsi="Arial"/>
            <w:color w:val="1D4ED8"/>
            <w:u w:val="single"/>
            <w:sz w:val="21"/>
          </w:rPr>
          <w:t xml:space="preserve">https://developers.google.com/webmaster-tools/v1/urlInspection.index/UrlInspectionResult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URL Inspection response schema incl. richResultsResult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8. </w:t>
      </w:r>
      <w:hyperlink r:id="rId16">
        <w:r>
          <w:rPr>
            <w:rFonts w:ascii="Arial" w:hAnsi="Arial"/>
            <w:color w:val="1D4ED8"/>
            <w:u w:val="single"/>
            <w:sz w:val="21"/>
          </w:rPr>
          <w:t xml:space="preserve">https://support.google.com/webmasters/thread/286763491/increasing-the-2000-url-inspection-limit-per-website-for-the-google-search-console-api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multi-property quota workaround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9. </w:t>
      </w:r>
      <w:hyperlink r:id="rId17">
        <w:r>
          <w:rPr>
            <w:rFonts w:ascii="Arial" w:hAnsi="Arial"/>
            <w:color w:val="1D4ED8"/>
            <w:u w:val="single"/>
            <w:sz w:val="21"/>
          </w:rPr>
          <w:t xml:space="preserve">https://developers.google.com/webmaster-tools/v1/sitemaps/submit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sitemaps submit/delete/get/list; webmasters scope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10. </w:t>
      </w:r>
      <w:hyperlink r:id="rId18">
        <w:r>
          <w:rPr>
            <w:rFonts w:ascii="Arial" w:hAnsi="Arial"/>
            <w:color w:val="1D4ED8"/>
            <w:u w:val="single"/>
            <w:sz w:val="21"/>
          </w:rPr>
          <w:t xml:space="preserve">https://support.google.com/webmasters/answer/12918484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bulk data export scope; anonymized queries as aggregate rows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11. </w:t>
      </w:r>
      <w:hyperlink r:id="rId19">
        <w:r>
          <w:rPr>
            <w:rFonts w:ascii="Arial" w:hAnsi="Arial"/>
            <w:color w:val="1D4ED8"/>
            <w:u w:val="single"/>
            <w:sz w:val="21"/>
          </w:rPr>
          <w:t xml:space="preserve">https://support.google.com/webmasters/answer/12917675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bulk export setup: Owner permission, customer GCP project + billing, UI-only, no backfill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12. </w:t>
      </w:r>
      <w:hyperlink r:id="rId20">
        <w:r>
          <w:rPr>
            <w:rFonts w:ascii="Arial" w:hAnsi="Arial"/>
            <w:color w:val="1D4ED8"/>
            <w:u w:val="single"/>
            <w:sz w:val="21"/>
          </w:rPr>
          <w:t xml:space="preserve">https://developers.google.com/search/blog/2023/02/bulk-data-export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export tables, no daily row limit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13. </w:t>
      </w:r>
      <w:hyperlink r:id="rId21">
        <w:r>
          <w:rPr>
            <w:rFonts w:ascii="Arial" w:hAnsi="Arial"/>
            <w:color w:val="1D4ED8"/>
            <w:u w:val="single"/>
            <w:sz w:val="21"/>
          </w:rPr>
          <w:t xml:space="preserve">https://developers.google.com/identity/protocols/oauth2/production-readiness/sensitive-scope-verification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sensitive-scope verification requirements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14. </w:t>
      </w:r>
      <w:hyperlink r:id="rId22">
        <w:r>
          <w:rPr>
            <w:rFonts w:ascii="Arial" w:hAnsi="Arial"/>
            <w:color w:val="1D4ED8"/>
            <w:u w:val="single"/>
            <w:sz w:val="21"/>
          </w:rPr>
          <w:t xml:space="preserve">https://developers.google.com/identity/protocols/oauth2/production-readiness/restricted-scope-verification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restricted scopes = CASA; GSC not on the restricted list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15. </w:t>
      </w:r>
      <w:hyperlink r:id="rId23">
        <w:r>
          <w:rPr>
            <w:rFonts w:ascii="Arial" w:hAnsi="Arial"/>
            <w:color w:val="1D4ED8"/>
            <w:u w:val="single"/>
            <w:sz w:val="21"/>
          </w:rPr>
          <w:t xml:space="preserve">https://support.google.com/cloud/answer/13463073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OAuth verification help; 100-user unverified cap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16. </w:t>
      </w:r>
      <w:hyperlink r:id="rId24">
        <w:r>
          <w:rPr>
            <w:rFonts w:ascii="Arial" w:hAnsi="Arial"/>
            <w:color w:val="1D4ED8"/>
            <w:u w:val="single"/>
            <w:sz w:val="21"/>
          </w:rPr>
          <w:t xml:space="preserve">https://deepstrike.io/blog/google-casa-security-assessment-2025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CASA Tier 2 cost range ($540 DAST → $5k+ pentest, annual)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17. </w:t>
      </w:r>
      <w:hyperlink r:id="rId25">
        <w:r>
          <w:rPr>
            <w:rFonts w:ascii="Arial" w:hAnsi="Arial"/>
            <w:color w:val="1D4ED8"/>
            <w:u w:val="single"/>
            <w:sz w:val="21"/>
          </w:rPr>
          <w:t xml:space="preserve">https://support.google.com/webmasters/answer/7687615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GSC users/permissions model (Owner/Full/Restricted); service-account invitation path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18. </w:t>
      </w:r>
      <w:hyperlink r:id="rId26">
        <w:r>
          <w:rPr>
            <w:rFonts w:ascii="Arial" w:hAnsi="Arial"/>
            <w:color w:val="1D4ED8"/>
            <w:u w:val="single"/>
            <w:sz w:val="21"/>
          </w:rPr>
          <w:t xml:space="preserve">https://developers.google.com/analytics/devguides/reporting/data/v1/quotas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GA4 Data API token quotas (200k/day, 40k/h, 14k/h/project, 10 concurrent; ≤10 tokens typical)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19. </w:t>
      </w:r>
      <w:hyperlink r:id="rId27">
        <w:r>
          <w:rPr>
            <w:rFonts w:ascii="Arial" w:hAnsi="Arial"/>
            <w:color w:val="1D4ED8"/>
            <w:u w:val="single"/>
            <w:sz w:val="21"/>
          </w:rPr>
          <w:t xml:space="preserve">https://support.google.com/analytics/answer/11198161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GA4 freshness: intraday 2–6 h, daily ~12 h, key-event attribution restated up to 12 days, no SLA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20. </w:t>
      </w:r>
      <w:hyperlink r:id="rId28">
        <w:r>
          <w:rPr>
            <w:rFonts w:ascii="Arial" w:hAnsi="Arial"/>
            <w:color w:val="1D4ED8"/>
            <w:u w:val="single"/>
            <w:sz w:val="21"/>
          </w:rPr>
          <w:t xml:space="preserve">https://developers.google.com/analytics/devguides/reporting/data/v1/rest/v1beta/properties/runReport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runReport: scopes, 250,000-row max, pagination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21. </w:t>
      </w:r>
      <w:hyperlink r:id="rId29">
        <w:r>
          <w:rPr>
            <w:rFonts w:ascii="Arial" w:hAnsi="Arial"/>
            <w:color w:val="1D4ED8"/>
            <w:u w:val="single"/>
            <w:sz w:val="21"/>
          </w:rPr>
          <w:t xml:space="preserve">https://support.google.com/analytics/answer/13331684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the (other) row: cardinality limits apply to Data API responses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22. </w:t>
      </w:r>
      <w:hyperlink r:id="rId30">
        <w:r>
          <w:rPr>
            <w:rFonts w:ascii="Arial" w:hAnsi="Arial"/>
            <w:color w:val="1D4ED8"/>
            <w:u w:val="single"/>
            <w:sz w:val="21"/>
          </w:rPr>
          <w:t xml:space="preserve">https://support.google.com/analytics/answer/11161109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consent-mode behavioral modeling; modeled data excluded from BigQuery export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23. </w:t>
      </w:r>
      <w:hyperlink r:id="rId31">
        <w:r>
          <w:rPr>
            <w:rFonts w:ascii="Arial" w:hAnsi="Arial"/>
            <w:color w:val="1D4ED8"/>
            <w:u w:val="single"/>
            <w:sz w:val="21"/>
          </w:rPr>
          <w:t xml:space="preserve">https://developers.google.com/analytics/devguides/config/admin/v1/rest/v1beta/accountSummaries/list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Admin API property enumeration, pageSize max 200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24. </w:t>
      </w:r>
      <w:hyperlink r:id="rId32">
        <w:r>
          <w:rPr>
            <w:rFonts w:ascii="Arial" w:hAnsi="Arial"/>
            <w:color w:val="1D4ED8"/>
            <w:u w:val="single"/>
            <w:sz w:val="21"/>
          </w:rPr>
          <w:t xml:space="preserve">https://support.google.com/analytics/answer/9305587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GA4 access roles (Viewer suffices); No Cost / No Revenue data restrictions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25. </w:t>
      </w:r>
      <w:hyperlink r:id="rId33">
        <w:r>
          <w:rPr>
            <w:rFonts w:ascii="Arial" w:hAnsi="Arial"/>
            <w:color w:val="1D4ED8"/>
            <w:u w:val="single"/>
            <w:sz w:val="21"/>
          </w:rPr>
          <w:t xml:space="preserve">https://support.google.com/analytics/answer/9823238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GA4 BigQuery export: 1M events/day standard cap, setup requirements, no backfill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26. </w:t>
      </w:r>
      <w:hyperlink r:id="rId34">
        <w:r>
          <w:rPr>
            <w:rFonts w:ascii="Arial" w:hAnsi="Arial"/>
            <w:color w:val="1D4ED8"/>
            <w:u w:val="single"/>
            <w:sz w:val="21"/>
          </w:rPr>
          <w:t xml:space="preserve">https://developers.google.com/analytics/devguides/reporting/data/v1/changelog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API still v1beta (2026), active development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27. </w:t>
      </w:r>
      <w:hyperlink r:id="rId35">
        <w:r>
          <w:rPr>
            <w:rFonts w:ascii="Arial" w:hAnsi="Arial"/>
            <w:color w:val="1D4ED8"/>
            <w:u w:val="single"/>
            <w:sz w:val="21"/>
          </w:rPr>
          <w:t xml:space="preserve">https://docs.github.com/en/apps/creating-github-apps/about-creating-github-apps/deciding-when-to-build-a-github-app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GitHub App vs alternatives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28. </w:t>
      </w:r>
      <w:hyperlink r:id="rId36">
        <w:r>
          <w:rPr>
            <w:rFonts w:ascii="Arial" w:hAnsi="Arial"/>
            <w:color w:val="1D4ED8"/>
            <w:u w:val="single"/>
            <w:sz w:val="21"/>
          </w:rPr>
          <w:t xml:space="preserve">https://docs.github.com/en/rest/apps/apps#create-an-installation-access-token-for-an-app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installation tokens: 1-hour expiry, per-token repo (≤500) + permission down-scoping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29. </w:t>
      </w:r>
      <w:hyperlink r:id="rId37">
        <w:r>
          <w:rPr>
            <w:rFonts w:ascii="Arial" w:hAnsi="Arial"/>
            <w:color w:val="1D4ED8"/>
            <w:u w:val="single"/>
            <w:sz w:val="21"/>
          </w:rPr>
          <w:t xml:space="preserve">https://docs.github.com/en/apps/creating-github-apps/registering-a-github-app/rate-limits-for-github-apps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5,000/h base per installation, scaling to 12,500/h cap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30. </w:t>
      </w:r>
      <w:hyperlink r:id="rId38">
        <w:r>
          <w:rPr>
            <w:rFonts w:ascii="Arial" w:hAnsi="Arial"/>
            <w:color w:val="1D4ED8"/>
            <w:u w:val="single"/>
            <w:sz w:val="21"/>
          </w:rPr>
          <w:t xml:space="preserve">https://docs.github.com/en/rest/using-the-rest-api/rate-limits-for-the-rest-api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secondary limits: 80 content-generating requests/min, 500/h; 15,000/h Enterprise Cloud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31. </w:t>
      </w:r>
      <w:hyperlink r:id="rId39">
        <w:r>
          <w:rPr>
            <w:rFonts w:ascii="Arial" w:hAnsi="Arial"/>
            <w:color w:val="1D4ED8"/>
            <w:u w:val="single"/>
            <w:sz w:val="21"/>
          </w:rPr>
          <w:t xml:space="preserve">https://docs.github.com/public/fpt/schema.docs.graphql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current public GraphQL schema: createCommitOnBranch, revertPullRequest, enablePullRequestAutoMerge, expectedHeadOid (verified directly)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32. </w:t>
      </w:r>
      <w:hyperlink r:id="rId40">
        <w:r>
          <w:rPr>
            <w:rFonts w:ascii="Arial" w:hAnsi="Arial"/>
            <w:color w:val="1D4ED8"/>
            <w:u w:val="single"/>
            <w:sz w:val="21"/>
          </w:rPr>
          <w:t xml:space="preserve">https://github.blog/changelog/2021-09-13-a-simpler-api-for-authoring-commits/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createCommitOnBranch auto-signed Verified commits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33. </w:t>
      </w:r>
      <w:hyperlink r:id="rId41">
        <w:r>
          <w:rPr>
            <w:rFonts w:ascii="Arial" w:hAnsi="Arial"/>
            <w:color w:val="1D4ED8"/>
            <w:u w:val="single"/>
            <w:sz w:val="21"/>
          </w:rPr>
          <w:t xml:space="preserve">https://github.com/orgs/community/discussions/190610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March 25, 2026 auto-merge behavior change (422 unless requirements already met)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34. </w:t>
      </w:r>
      <w:hyperlink r:id="rId42">
        <w:r>
          <w:rPr>
            <w:rFonts w:ascii="Arial" w:hAnsi="Arial"/>
            <w:color w:val="1D4ED8"/>
            <w:u w:val="single"/>
            <w:sz w:val="21"/>
          </w:rPr>
          <w:t xml:space="preserve">https://docs.github.com/en/repositories/configuring-branches-and-merges-in-your-repository/configuring-pull-request-merges/managing-a-merge-queue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merge queue, merge_group triggers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35. </w:t>
      </w:r>
      <w:hyperlink r:id="rId43">
        <w:r>
          <w:rPr>
            <w:rFonts w:ascii="Arial" w:hAnsi="Arial"/>
            <w:color w:val="1D4ED8"/>
            <w:u w:val="single"/>
            <w:sz w:val="21"/>
          </w:rPr>
          <w:t xml:space="preserve">https://docs.github.com/en/authentication/keeping-your-account-and-data-secure/managing-your-personal-access-tokens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fine-grained PAT limits; no Checks API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36. </w:t>
      </w:r>
      <w:hyperlink r:id="rId44">
        <w:r>
          <w:rPr>
            <w:rFonts w:ascii="Arial" w:hAnsi="Arial"/>
            <w:color w:val="1D4ED8"/>
            <w:u w:val="single"/>
            <w:sz w:val="21"/>
          </w:rPr>
          <w:t xml:space="preserve">https://docs.github.com/en/repositories/configuring-branches-and-merges-in-your-repository/managing-protected-branches/about-protected-branches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protected branches, required status checks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37. </w:t>
      </w:r>
      <w:hyperlink r:id="rId45">
        <w:r>
          <w:rPr>
            <w:rFonts w:ascii="Arial" w:hAnsi="Arial"/>
            <w:color w:val="1D4ED8"/>
            <w:u w:val="single"/>
            <w:sz w:val="21"/>
          </w:rPr>
          <w:t xml:space="preserve">https://developer.wordpress.org/rest-api/using-the-rest-api/authentication/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WP REST authentication (Application Passwords, HTTPS required)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38. </w:t>
      </w:r>
      <w:hyperlink r:id="rId46">
        <w:r>
          <w:rPr>
            <w:rFonts w:ascii="Arial" w:hAnsi="Arial"/>
            <w:color w:val="1D4ED8"/>
            <w:u w:val="single"/>
            <w:sz w:val="21"/>
          </w:rPr>
          <w:t xml:space="preserve">https://make.wordpress.org/core/2020/11/05/application-passwords-integration-guide/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Application Passwords: core since 5.6, 24-char, revocable, not scope-limited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39. </w:t>
      </w:r>
      <w:hyperlink r:id="rId47">
        <w:r>
          <w:rPr>
            <w:rFonts w:ascii="Arial" w:hAnsi="Arial"/>
            <w:color w:val="1D4ED8"/>
            <w:u w:val="single"/>
            <w:sz w:val="21"/>
          </w:rPr>
          <w:t xml:space="preserve">https://developer.wordpress.org/rest-api/reference/media/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media endpoint: alt_text writable; no file-replace route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40. </w:t>
      </w:r>
      <w:hyperlink r:id="rId48">
        <w:r>
          <w:rPr>
            <w:rFonts w:ascii="Arial" w:hAnsi="Arial"/>
            <w:color w:val="1D4ED8"/>
            <w:u w:val="single"/>
            <w:sz w:val="21"/>
          </w:rPr>
          <w:t xml:space="preserve">https://developer.yoast.com/customization/apis/rest-api/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Yoast REST API "currently read-only, doesn't support POST or PUT"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41. </w:t>
      </w:r>
      <w:hyperlink r:id="rId49">
        <w:r>
          <w:rPr>
            <w:rFonts w:ascii="Arial" w:hAnsi="Arial"/>
            <w:color w:val="1D4ED8"/>
            <w:u w:val="single"/>
            <w:sz w:val="21"/>
          </w:rPr>
          <w:t xml:space="preserve">https://kahunam.com/articles/wordpress/how-to-update-yoast-seo-titles-and-meta-descriptions-via-the-wordpress-rest-api/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register_post_meta + show_in_rest write recipe for Yoast fields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42. </w:t>
      </w:r>
      <w:hyperlink r:id="rId50">
        <w:r>
          <w:rPr>
            <w:rFonts w:ascii="Arial" w:hAnsi="Arial"/>
            <w:color w:val="1D4ED8"/>
            <w:u w:val="single"/>
            <w:sz w:val="21"/>
          </w:rPr>
          <w:t xml:space="preserve">https://github.com/Devora-AS/rank-math-api-manager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Rank Math meta registration for REST (title/description/canonical/focus keyword)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43. </w:t>
      </w:r>
      <w:hyperlink r:id="rId51">
        <w:r>
          <w:rPr>
            <w:rFonts w:ascii="Arial" w:hAnsi="Arial"/>
            <w:color w:val="1D4ED8"/>
            <w:u w:val="single"/>
            <w:sz w:val="21"/>
          </w:rPr>
          <w:t xml:space="preserve">https://developer.wordpress.org/rest-api/reference/post-revisions/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revisions: list/get/delete only, no restore endpoint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44. </w:t>
      </w:r>
      <w:hyperlink r:id="rId52">
        <w:r>
          <w:rPr>
            <w:rFonts w:ascii="Arial" w:hAnsi="Arial"/>
            <w:color w:val="1D4ED8"/>
            <w:u w:val="single"/>
            <w:sz w:val="21"/>
          </w:rPr>
          <w:t xml:space="preserve">https://make.wordpress.org/core/2023/10/24/framework-for-storing-revisions-of-post-meta-in-6-4/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post-meta revisioning is opt-in per registered key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45. </w:t>
      </w:r>
      <w:hyperlink r:id="rId53">
        <w:r>
          <w:rPr>
            <w:rFonts w:ascii="Arial" w:hAnsi="Arial"/>
            <w:color w:val="1D4ED8"/>
            <w:u w:val="single"/>
            <w:sz w:val="21"/>
          </w:rPr>
          <w:t xml:space="preserve">https://shopify.dev/docs/api/admin-graphql/latest/mutations/productUpdate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productUpdate seo{title,description}; write_products; API 2026-07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46. </w:t>
      </w:r>
      <w:hyperlink r:id="rId54">
        <w:r>
          <w:rPr>
            <w:rFonts w:ascii="Arial" w:hAnsi="Arial"/>
            <w:color w:val="1D4ED8"/>
            <w:u w:val="single"/>
            <w:sz w:val="21"/>
          </w:rPr>
          <w:t xml:space="preserve">https://shopify.dev/docs/apps/build/marketing-analytics/optimize-storefront-seo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global.title_tag / global.description_tag metafields; seo.hidden noindex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47. </w:t>
      </w:r>
      <w:hyperlink r:id="rId55">
        <w:r>
          <w:rPr>
            <w:rFonts w:ascii="Arial" w:hAnsi="Arial"/>
            <w:color w:val="1D4ED8"/>
            <w:u w:val="single"/>
            <w:sz w:val="21"/>
          </w:rPr>
          <w:t xml:space="preserve">https://community.shopify.com/c/shopify-apis-and-sdks/bug-report-productupdate-meta-property/td-p/2011037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partial seo input nulls the omitted field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48. </w:t>
      </w:r>
      <w:hyperlink r:id="rId56">
        <w:r>
          <w:rPr>
            <w:rFonts w:ascii="Arial" w:hAnsi="Arial"/>
            <w:color w:val="1D4ED8"/>
            <w:u w:val="single"/>
            <w:sz w:val="21"/>
          </w:rPr>
          <w:t xml:space="preserve">https://shopify.dev/docs/api/admin-graphql/latest/mutations/urlRedirectCreate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urlRedirectCreate; write_online_store_navigation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49. </w:t>
      </w:r>
      <w:hyperlink r:id="rId57">
        <w:r>
          <w:rPr>
            <w:rFonts w:ascii="Arial" w:hAnsi="Arial"/>
            <w:color w:val="1D4ED8"/>
            <w:u w:val="single"/>
            <w:sz w:val="21"/>
          </w:rPr>
          <w:t xml:space="preserve">https://shopify.dev/docs/apps/build/online-store/asset-legacy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Asset API restricted since 2023-04; protected-scope exemption; SEO a named qualifying category; 2026 audits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50. </w:t>
      </w:r>
      <w:hyperlink r:id="rId58">
        <w:r>
          <w:rPr>
            <w:rFonts w:ascii="Arial" w:hAnsi="Arial"/>
            <w:color w:val="1D4ED8"/>
            <w:u w:val="single"/>
            <w:sz w:val="21"/>
          </w:rPr>
          <w:t xml:space="preserve">https://shopify.dev/docs/api/admin-graphql/latest/mutations/themeFilesUpsert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themeFilesUpsert ≤50 files/request; write_themes + exemption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51. </w:t>
      </w:r>
      <w:hyperlink r:id="rId59">
        <w:r>
          <w:rPr>
            <w:rFonts w:ascii="Arial" w:hAnsi="Arial"/>
            <w:color w:val="1D4ED8"/>
            <w:u w:val="single"/>
            <w:sz w:val="21"/>
          </w:rPr>
          <w:t xml:space="preserve">https://shopify.dev/docs/api/usage/limits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cost-based rate limits: 1,000-point bucket at 50 pts/s (Plus 2,000/100)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52. </w:t>
      </w:r>
      <w:hyperlink r:id="rId60">
        <w:r>
          <w:rPr>
            <w:rFonts w:ascii="Arial" w:hAnsi="Arial"/>
            <w:color w:val="1D4ED8"/>
            <w:u w:val="single"/>
            <w:sz w:val="21"/>
          </w:rPr>
          <w:t xml:space="preserve">https://shopify.dev/docs/api/admin-graphql/latest/mutations/fileUpdate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fileUpdate originalSource: replace file content at the same URL; async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53. </w:t>
      </w:r>
      <w:hyperlink r:id="rId61">
        <w:r>
          <w:rPr>
            <w:rFonts w:ascii="Arial" w:hAnsi="Arial"/>
            <w:color w:val="1D4ED8"/>
            <w:u w:val="single"/>
            <w:sz w:val="21"/>
          </w:rPr>
          <w:t xml:space="preserve">https://shopify.dev/docs/api/admin-graphql/latest/objects/CustomerJourneySummary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per-order attribution; read_orders = protected customer data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54. </w:t>
      </w:r>
      <w:hyperlink r:id="rId62">
        <w:r>
          <w:rPr>
            <w:rFonts w:ascii="Arial" w:hAnsi="Arial"/>
            <w:color w:val="1D4ED8"/>
            <w:u w:val="single"/>
            <w:sz w:val="21"/>
          </w:rPr>
          <w:t xml:space="preserve">https://vercel.com/docs/rest-api/deployments/create-a-new-deployment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POST /v13/deployments with gitSource; deployment states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55. </w:t>
      </w:r>
      <w:hyperlink r:id="rId63">
        <w:r>
          <w:rPr>
            <w:rFonts w:ascii="Arial" w:hAnsi="Arial"/>
            <w:color w:val="1D4ED8"/>
            <w:u w:val="single"/>
            <w:sz w:val="21"/>
          </w:rPr>
          <w:t xml:space="preserve">https://vercel.com/docs/limits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deployments/day by plan (100/6,000/24,000), 45-min build cap, build CPU pricing, protection bypass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56. </w:t>
      </w:r>
      <w:hyperlink r:id="rId64">
        <w:r>
          <w:rPr>
            <w:rFonts w:ascii="Arial" w:hAnsi="Arial"/>
            <w:color w:val="1D4ED8"/>
            <w:u w:val="single"/>
            <w:sz w:val="21"/>
          </w:rPr>
          <w:t xml:space="preserve">https://vercel.com/docs/instant-rollback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Instant Rollback semantics: seconds, env/cron caveats, disabled auto-promotion after rollback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57. </w:t>
      </w:r>
      <w:hyperlink r:id="rId65">
        <w:r>
          <w:rPr>
            <w:rFonts w:ascii="Arial" w:hAnsi="Arial"/>
            <w:color w:val="1D4ED8"/>
            <w:u w:val="single"/>
            <w:sz w:val="21"/>
          </w:rPr>
          <w:t xml:space="preserve">https://dev.to/philw_/using-vercels-instant-rollback-feature-in-your-own-ci-cd-pipeline-57oi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rollback API endpoint (semi-documented)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58. </w:t>
      </w:r>
      <w:hyperlink r:id="rId66">
        <w:r>
          <w:rPr>
            <w:rFonts w:ascii="Arial" w:hAnsi="Arial"/>
            <w:color w:val="1D4ED8"/>
            <w:u w:val="single"/>
            <w:sz w:val="21"/>
          </w:rPr>
          <w:t xml:space="preserve">https://docs.netlify.com/api/get-started/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Netlify API: file-digest/ZIP deploys, draft deploys, restore endpoint; 500 req/min, 3 deploys/min, 100 API deploys/day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59. </w:t>
      </w:r>
      <w:hyperlink r:id="rId67">
        <w:r>
          <w:rPr>
            <w:rFonts w:ascii="Arial" w:hAnsi="Arial"/>
            <w:color w:val="1D4ED8"/>
            <w:u w:val="single"/>
            <w:sz w:val="21"/>
          </w:rPr>
          <w:t xml:space="preserve">https://docs.netlify.com/deploy/deploy-types/deploy-previews/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Deploy Previews per PR; deploy permalinks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60. </w:t>
      </w:r>
      <w:hyperlink r:id="rId68">
        <w:r>
          <w:rPr>
            <w:rFonts w:ascii="Arial" w:hAnsi="Arial"/>
            <w:color w:val="1D4ED8"/>
            <w:u w:val="single"/>
            <w:sz w:val="21"/>
          </w:rPr>
          <w:t xml:space="preserve">https://dataforseo.com/apis/serp-api/pricing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SERP $0.60/$1.20/$2.00 per 1k; SERP = 10 results; $50 minimum deposit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61. </w:t>
      </w:r>
      <w:hyperlink r:id="rId69">
        <w:r>
          <w:rPr>
            <w:rFonts w:ascii="Arial" w:hAnsi="Arial"/>
            <w:color w:val="1D4ED8"/>
            <w:u w:val="single"/>
            <w:sz w:val="21"/>
          </w:rPr>
          <w:t xml:space="preserve">https://docs.dataforseo.com/v3/keywords_data-google_ads-search_volume-live/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search volume: 1,000 keywords/request, $0.09 live / $0.06 standard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62. </w:t>
      </w:r>
      <w:hyperlink r:id="rId70">
        <w:r>
          <w:rPr>
            <w:rFonts w:ascii="Arial" w:hAnsi="Arial"/>
            <w:color w:val="1D4ED8"/>
            <w:u w:val="single"/>
            <w:sz w:val="21"/>
          </w:rPr>
          <w:t xml:space="preserve">https://dataforseo.com/help-center/cost-of-onpage-api-parameters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OnPage per-page costs ($0.000125 base / $0.00125 JS / $0.00425 browser)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63. </w:t>
      </w:r>
      <w:hyperlink r:id="rId71">
        <w:r>
          <w:rPr>
            <w:rFonts w:ascii="Arial" w:hAnsi="Arial"/>
            <w:color w:val="1D4ED8"/>
            <w:u w:val="single"/>
            <w:sz w:val="21"/>
          </w:rPr>
          <w:t xml:space="preserve">https://docs.dataforseo.com/v3/dataforseo_labs-google-search_intent-live/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Labs search_intent: 1,000 keywords/call, intent + probability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64. </w:t>
      </w:r>
      <w:hyperlink r:id="rId72">
        <w:r>
          <w:rPr>
            <w:rFonts w:ascii="Arial" w:hAnsi="Arial"/>
            <w:color w:val="1D4ED8"/>
            <w:u w:val="single"/>
            <w:sz w:val="21"/>
          </w:rPr>
          <w:t xml:space="preserve">https://dataforseo.com/update/click-depth-for-paa-in-serp-api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PAA click depth 1–4, $0.00015/click, auto-refund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65. </w:t>
      </w:r>
      <w:hyperlink r:id="rId73">
        <w:r>
          <w:rPr>
            <w:rFonts w:ascii="Arial" w:hAnsi="Arial"/>
            <w:color w:val="1D4ED8"/>
            <w:u w:val="single"/>
            <w:sz w:val="21"/>
          </w:rPr>
          <w:t xml:space="preserve">https://serper.dev/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Serper: 2,500 free credits, endpoint list incl. autocomplete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66. </w:t>
      </w:r>
      <w:hyperlink r:id="rId74">
        <w:r>
          <w:rPr>
            <w:rFonts w:ascii="Arial" w:hAnsi="Arial"/>
            <w:color w:val="1D4ED8"/>
            <w:u w:val="single"/>
            <w:sz w:val="21"/>
          </w:rPr>
          <w:t xml:space="preserve">https://apiserpent.com/blog/serp-api-pricing-comparison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2026 cross-provider SERP pricing (Serper packs; SerpApi tiers)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67. </w:t>
      </w:r>
      <w:hyperlink r:id="rId75">
        <w:r>
          <w:rPr>
            <w:rFonts w:ascii="Arial" w:hAnsi="Arial"/>
            <w:color w:val="1D4ED8"/>
            <w:u w:val="single"/>
            <w:sz w:val="21"/>
          </w:rPr>
          <w:t xml:space="preserve">https://almcorp.com/blog/google-sues-serpapi-lawsuit-analysis/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Google v. SerpApi (filed Dec 19, 2025; DMCA §1201; SearchGuard context)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68. </w:t>
      </w:r>
      <w:hyperlink r:id="rId76">
        <w:r>
          <w:rPr>
            <w:rFonts w:ascii="Arial" w:hAnsi="Arial"/>
            <w:color w:val="1D4ED8"/>
            <w:u w:val="single"/>
            <w:sz w:val="21"/>
          </w:rPr>
          <w:t xml:space="preserve">https://scrapebadger.com/blog/google-sued-a-scraper-under-copyright-law-and-lost-heres-what-the-serpapi-ruling-actually-says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2026 dismissal of Google's copyright claims; non-copyright theories open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69. </w:t>
      </w:r>
      <w:hyperlink r:id="rId77">
        <w:r>
          <w:rPr>
            <w:rFonts w:ascii="Arial" w:hAnsi="Arial"/>
            <w:color w:val="1D4ED8"/>
            <w:u w:val="single"/>
            <w:sz w:val="21"/>
          </w:rPr>
          <w:t xml:space="preserve">https://searchengineland.com/reddit-sues-perplexity-serpapi-scraping-google-463681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and https://cryptobriefing.com/reddit-serpapi-lawsuit-survives-dismissal/ — Reddit v. SerpApi/Oxylabs (Oct 2025); motion to dismiss largely denied Jul 31, 2026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70. </w:t>
      </w:r>
      <w:hyperlink r:id="rId78">
        <w:r>
          <w:rPr>
            <w:rFonts w:ascii="Arial" w:hAnsi="Arial"/>
            <w:color w:val="1D4ED8"/>
            <w:u w:val="single"/>
            <w:sz w:val="21"/>
          </w:rPr>
          <w:t xml:space="preserve">https://learn.microsoft.com/en-us/lifecycle/announcements/bing-search-api-retirement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Bing Search APIs retired Aug 11, 2025 (Azure-locked replacement)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71. </w:t>
      </w:r>
      <w:hyperlink r:id="rId79">
        <w:r>
          <w:rPr>
            <w:rFonts w:ascii="Arial" w:hAnsi="Arial"/>
            <w:color w:val="1D4ED8"/>
            <w:u w:val="single"/>
            <w:sz w:val="21"/>
          </w:rPr>
          <w:t xml:space="preserve">https://thatmarketingbuddy.com/blog/semrush-api-pricing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Semrush $549/mo plan floor + units; 1-month data-caching limit without written consent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72. </w:t>
      </w:r>
      <w:hyperlink r:id="rId80">
        <w:r>
          <w:rPr>
            <w:rFonts w:ascii="Arial" w:hAnsi="Arial"/>
            <w:color w:val="1D4ED8"/>
            <w:u w:val="single"/>
            <w:sz w:val="21"/>
          </w:rPr>
          <w:t xml:space="preserve">https://docs.ahrefs.com/api/docs/limits-consumption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Ahrefs API v3 unit budgets, min 50 units/request, per-row/field costs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73. </w:t>
      </w:r>
      <w:hyperlink r:id="rId81">
        <w:r>
          <w:rPr>
            <w:rFonts w:ascii="Arial" w:hAnsi="Arial"/>
            <w:color w:val="1D4ED8"/>
            <w:u w:val="single"/>
            <w:sz w:val="21"/>
          </w:rPr>
          <w:t xml:space="preserve">https://developers.google.com/google-ads/api/docs/api-policy/access-levels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Google Ads API access tiers and permissible use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74. </w:t>
      </w:r>
      <w:hyperlink r:id="rId82">
        <w:r>
          <w:rPr>
            <w:rFonts w:ascii="Arial" w:hAnsi="Arial"/>
            <w:color w:val="1D4ED8"/>
            <w:u w:val="single"/>
            <w:sz w:val="21"/>
          </w:rPr>
          <w:t xml:space="preserve">https://ppc.land/google-faces-developer-token-application-backlog-as-new-api-tier-debuts/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Explorer tier blocks KeywordPlan services; Basic-access application required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75. </w:t>
      </w:r>
      <w:hyperlink r:id="rId83">
        <w:r>
          <w:rPr>
            <w:rFonts w:ascii="Arial" w:hAnsi="Arial"/>
            <w:color w:val="1D4ED8"/>
            <w:u w:val="single"/>
            <w:sz w:val="21"/>
          </w:rPr>
          <w:t xml:space="preserve">https://learn.microsoft.com/en-us/bingwebmaster/getting-access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Bing Webmaster API access; API-key auth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76. </w:t>
      </w:r>
      <w:hyperlink r:id="rId84">
        <w:r>
          <w:rPr>
            <w:rFonts w:ascii="Arial" w:hAnsi="Arial"/>
            <w:color w:val="1D4ED8"/>
            <w:u w:val="single"/>
            <w:sz w:val="21"/>
          </w:rPr>
          <w:t xml:space="preserve">https://blogs.bing.com/webmaster/june-2019/bingbot-Series-Introducing-Batch-mode-for-Adaptive-URL-submission-API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SubmitUrlBatch: 500 URLs/call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77. </w:t>
      </w:r>
      <w:hyperlink r:id="rId85">
        <w:r>
          <w:rPr>
            <w:rFonts w:ascii="Arial" w:hAnsi="Arial"/>
            <w:color w:val="1D4ED8"/>
            <w:u w:val="single"/>
            <w:sz w:val="21"/>
          </w:rPr>
          <w:t xml:space="preserve">https://merj.com/blog/capturing-data-from-bing-webmaster-tools-api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Bing data: ~6-month retention, weekly updates, throttling behavior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78. </w:t>
      </w:r>
      <w:hyperlink r:id="rId86">
        <w:r>
          <w:rPr>
            <w:rFonts w:ascii="Arial" w:hAnsi="Arial"/>
            <w:color w:val="1D4ED8"/>
            <w:u w:val="single"/>
            <w:sz w:val="21"/>
          </w:rPr>
          <w:t xml:space="preserve">https://www.indexnow.org/faq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IndexNow protocol: key file, 10,000 URLs/call, participating engines, free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79. </w:t>
      </w:r>
      <w:hyperlink r:id="rId87">
        <w:r>
          <w:rPr>
            <w:rFonts w:ascii="Arial" w:hAnsi="Arial"/>
            <w:color w:val="1D4ED8"/>
            <w:u w:val="single"/>
            <w:sz w:val="21"/>
          </w:rPr>
          <w:t xml:space="preserve">https://www.indexernow.com/google-indexnow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Google non-adoption of IndexNow (2026 status)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80. </w:t>
      </w:r>
      <w:hyperlink r:id="rId88">
        <w:r>
          <w:rPr>
            <w:rFonts w:ascii="Arial" w:hAnsi="Arial"/>
            <w:color w:val="1D4ED8"/>
            <w:u w:val="single"/>
            <w:sz w:val="21"/>
          </w:rPr>
          <w:t xml:space="preserve">https://platform.claude.com/docs/en/about-claude/models/overview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Anthropic model lineup (Opus 5 / Sonnet 5 / Haiku 4.5), context windows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81. </w:t>
      </w:r>
      <w:hyperlink r:id="rId89">
        <w:r>
          <w:rPr>
            <w:rFonts w:ascii="Arial" w:hAnsi="Arial"/>
            <w:color w:val="1D4ED8"/>
            <w:u w:val="single"/>
            <w:sz w:val="21"/>
          </w:rPr>
          <w:t xml:space="preserve">https://platform.claude.com/docs/en/build-with-claude/structured-outputs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output_config.format, messages.parse(), strict tool use, schema limits, 24-h schema cache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82. </w:t>
      </w:r>
      <w:hyperlink r:id="rId90">
        <w:r>
          <w:rPr>
            <w:rFonts w:ascii="Arial" w:hAnsi="Arial"/>
            <w:color w:val="1D4ED8"/>
            <w:u w:val="single"/>
            <w:sz w:val="21"/>
          </w:rPr>
          <w:t xml:space="preserve">https://platform.claude.com/docs/en/build-with-claude/batch-processing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Batch API: 50% discount, 100k requests / 256 MB, most &lt;1 h, 24-h max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83. </w:t>
      </w:r>
      <w:hyperlink r:id="rId91">
        <w:r>
          <w:rPr>
            <w:rFonts w:ascii="Arial" w:hAnsi="Arial"/>
            <w:color w:val="1D4ED8"/>
            <w:u w:val="single"/>
            <w:sz w:val="21"/>
          </w:rPr>
          <w:t xml:space="preserve">https://platform.claude.com/docs/en/build-with-claude/prompt-caching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caching: 0.1× reads, 1.25×/2× writes, per-model minimum prefixes (512/1024/4096)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84. </w:t>
      </w:r>
      <w:hyperlink r:id="rId92">
        <w:r>
          <w:rPr>
            <w:rFonts w:ascii="Arial" w:hAnsi="Arial"/>
            <w:color w:val="1D4ED8"/>
            <w:u w:val="single"/>
            <w:sz w:val="21"/>
          </w:rPr>
          <w:t xml:space="preserve">https://platform.claude.com/docs/en/about-claude/pricing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Anthropic pricing incl. batch and cache multipliers; Sonnet 5 intro pricing through 2026-08-31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85. </w:t>
      </w:r>
      <w:hyperlink r:id="rId93">
        <w:r>
          <w:rPr>
            <w:rFonts w:ascii="Arial" w:hAnsi="Arial"/>
            <w:color w:val="1D4ED8"/>
            <w:u w:val="single"/>
            <w:sz w:val="21"/>
          </w:rPr>
          <w:t xml:space="preserve">https://developers.openai.com/api/docs/pricing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OpenAI pricing (gpt-5.6 family, gpt-5-mini/nano; batch 50%; cached input 0.1×)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86. </w:t>
      </w:r>
      <w:hyperlink r:id="rId94">
        <w:r>
          <w:rPr>
            <w:rFonts w:ascii="Arial" w:hAnsi="Arial"/>
            <w:color w:val="1D4ED8"/>
            <w:u w:val="single"/>
            <w:sz w:val="21"/>
          </w:rPr>
          <w:t xml:space="preserve">https://openai.com/index/introducing-structured-outputs-in-the-api/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OpenAI structured outputs (json_schema strict, token masking)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87. </w:t>
      </w:r>
      <w:hyperlink r:id="rId95">
        <w:r>
          <w:rPr>
            <w:rFonts w:ascii="Arial" w:hAnsi="Arial"/>
            <w:color w:val="1D4ED8"/>
            <w:u w:val="single"/>
            <w:sz w:val="21"/>
          </w:rPr>
          <w:t xml:space="preserve">https://ai.google.dev/gemini-api/docs/pricing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Gemini pricing (3.1 Pro preview, 3.6 Flash, 3.5 Flash-Lite; batch; context caching)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88. </w:t>
      </w:r>
      <w:hyperlink r:id="rId96">
        <w:r>
          <w:rPr>
            <w:rFonts w:ascii="Arial" w:hAnsi="Arial"/>
            <w:color w:val="1D4ED8"/>
            <w:u w:val="single"/>
            <w:sz w:val="21"/>
          </w:rPr>
          <w:t xml:space="preserve">https://ai.google.dev/gemini-api/docs/interactions/structured-output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Gemini responseSchema constrained decoding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89. </w:t>
      </w:r>
      <w:hyperlink r:id="rId97">
        <w:r>
          <w:rPr>
            <w:rFonts w:ascii="Arial" w:hAnsi="Arial"/>
            <w:color w:val="1D4ED8"/>
            <w:u w:val="single"/>
            <w:sz w:val="21"/>
          </w:rPr>
          <w:t xml:space="preserve">https://tokenmix.ai/blog/openai-embedding-pricing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text-embedding-3-small $0.02/M ($0.01 batch)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90. </w:t>
      </w:r>
      <w:hyperlink r:id="rId98">
        <w:r>
          <w:rPr>
            <w:rFonts w:ascii="Arial" w:hAnsi="Arial"/>
            <w:color w:val="1D4ED8"/>
            <w:u w:val="single"/>
            <w:sz w:val="21"/>
          </w:rPr>
          <w:t xml:space="preserve">https://docs.voyageai.com/docs/pricing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Voyage embeddings: voyage-4-lite $0.02/M, 200M free tokens, batch discount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91. </w:t>
      </w:r>
      <w:hyperlink r:id="rId99">
        <w:r>
          <w:rPr>
            <w:rFonts w:ascii="Arial" w:hAnsi="Arial"/>
            <w:color w:val="1D4ED8"/>
            <w:u w:val="single"/>
            <w:sz w:val="21"/>
          </w:rPr>
          <w:t xml:space="preserve">https://devtk.ai/en/models/gemini-2-5-flash-lite/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Gemini 2.5 Flash-Lite $0.10/$0.40; retirement Oct 16, 2026; successor pricing [secondary °]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92. </w:t>
      </w:r>
      <w:hyperlink r:id="rId100">
        <w:r>
          <w:rPr>
            <w:rFonts w:ascii="Arial" w:hAnsi="Arial"/>
            <w:color w:val="1D4ED8"/>
            <w:u w:val="single"/>
            <w:sz w:val="21"/>
          </w:rPr>
          <w:t xml:space="preserve">https://vercel.com/docs/accounts/access-tokens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Vercel access-token scoping: Full Account / Team / Project levels, mandatory expiry, vcp_ prefix, project-scoped tokens cannot mint further tokens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93. </w:t>
      </w:r>
      <w:hyperlink r:id="rId101">
        <w:r>
          <w:rPr>
            <w:rFonts w:ascii="Arial" w:hAnsi="Arial"/>
            <w:color w:val="1D4ED8"/>
            <w:u w:val="single"/>
            <w:sz w:val="21"/>
          </w:rPr>
          <w:t xml:space="preserve">https://developers.cloudflare.com/workers/runtime-apis/html-rewriter/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HTMLRewriter: streaming HTML parser, CSS-selector handlers, setInnerContent/setAttribute/append/remove, async handlers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94. </w:t>
      </w:r>
      <w:hyperlink r:id="rId102">
        <w:r>
          <w:rPr>
            <w:rFonts w:ascii="Arial" w:hAnsi="Arial"/>
            <w:color w:val="1D4ED8"/>
            <w:u w:val="single"/>
            <w:sz w:val="21"/>
          </w:rPr>
          <w:t xml:space="preserve">https://developers.cloudflare.com/workers/platform/limits/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Workers limits: free 100k requests/day + 10 ms CPU; paid uncapped requests, 30 s CPU (configurable to 5 min), 128 MB, 10k subrequests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95. </w:t>
      </w:r>
      <w:hyperlink r:id="rId103">
        <w:r>
          <w:rPr>
            <w:rFonts w:ascii="Arial" w:hAnsi="Arial"/>
            <w:color w:val="1D4ED8"/>
            <w:u w:val="single"/>
            <w:sz w:val="21"/>
          </w:rPr>
          <w:t xml:space="preserve">https://www.searchpilot.com/engineers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SearchPilot proxy/edge SEO-testing architecture; transparent-proxy failover on application error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96. </w:t>
      </w:r>
      <w:hyperlink r:id="rId104">
        <w:r>
          <w:rPr>
            <w:rFonts w:ascii="Arial" w:hAnsi="Arial"/>
            <w:color w:val="1D4ED8"/>
            <w:u w:val="single"/>
            <w:sz w:val="21"/>
          </w:rPr>
          <w:t xml:space="preserve">https://developers.google.com/search/docs/crawling-indexing/javascript/javascript-seo-basics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Google JS SEO: JS-set title/description supported at render time; warning against JS-set canonicals differing from the raw HTML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97. </w:t>
      </w:r>
      <w:hyperlink r:id="rId105">
        <w:r>
          <w:rPr>
            <w:rFonts w:ascii="Arial" w:hAnsi="Arial"/>
            <w:color w:val="1D4ED8"/>
            <w:u w:val="single"/>
            <w:sz w:val="21"/>
          </w:rPr>
          <w:t xml:space="preserve">https://docs.dataforseo.com/v3/serp/google/organic/task_post/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DataForSEO: 2,000 API calls/minute; maximum 100 tasks per POST (tasks beyond return error 40006)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98. </w:t>
      </w:r>
      <w:hyperlink r:id="rId106">
        <w:r>
          <w:rPr>
            <w:rFonts w:ascii="Arial" w:hAnsi="Arial"/>
            <w:color w:val="1D4ED8"/>
            <w:u w:val="single"/>
            <w:sz w:val="21"/>
          </w:rPr>
          <w:t xml:space="preserve">https://developers.google.com/search/apis/indexing-api/v3/quota-pricing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Google Indexing API: JobPosting/BroadcastEvent pages only; 200 publish/day default quota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99. </w:t>
      </w:r>
      <w:hyperlink r:id="rId107">
        <w:r>
          <w:rPr>
            <w:rFonts w:ascii="Arial" w:hAnsi="Arial"/>
            <w:color w:val="1D4ED8"/>
            <w:u w:val="single"/>
            <w:sz w:val="21"/>
          </w:rPr>
          <w:t xml:space="preserve">https://developers.google.com/search/docs/crawling-indexing/verifying-googlebot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Googlebot verification: published crawler IP list + reverse DNS; automated IP match recommended at scale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100. </w:t>
      </w:r>
      <w:hyperlink r:id="rId108">
        <w:r>
          <w:rPr>
            <w:rFonts w:ascii="Arial" w:hAnsi="Arial"/>
            <w:color w:val="1D4ED8"/>
            <w:u w:val="single"/>
            <w:sz w:val="21"/>
          </w:rPr>
          <w:t xml:space="preserve">https://vercel.com/docs/drains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Vercel Drains: Pro/Enterprise plans, $0.50/GB uncompressed JSON, request-log schema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101. </w:t>
      </w:r>
      <w:hyperlink r:id="rId109">
        <w:r>
          <w:rPr>
            <w:rFonts w:ascii="Arial" w:hAnsi="Arial"/>
            <w:color w:val="1D4ED8"/>
            <w:u w:val="single"/>
            <w:sz w:val="21"/>
          </w:rPr>
          <w:t xml:space="preserve">https://developers.cloudflare.com/logs/about/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Cloudflare Logpush: Enterprise-plan only (HTTP requests dataset)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102. </w:t>
      </w:r>
      <w:hyperlink r:id="rId110">
        <w:r>
          <w:rPr>
            <w:rFonts w:ascii="Arial" w:hAnsi="Arial"/>
            <w:color w:val="1D4ED8"/>
            <w:u w:val="single"/>
            <w:sz w:val="21"/>
          </w:rPr>
          <w:t xml:space="preserve">https://docs.aws.amazon.com/AmazonCloudFront/latest/DeveloperGuide/AccessLogs.html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CloudFront standard logs: S3/CloudWatch/Firehose destinations, best-effort delivery, no CloudFront charge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103. </w:t>
      </w:r>
      <w:hyperlink r:id="rId111">
        <w:r>
          <w:rPr>
            <w:rFonts w:ascii="Arial" w:hAnsi="Arial"/>
            <w:color w:val="1D4ED8"/>
            <w:u w:val="single"/>
            <w:sz w:val="21"/>
          </w:rPr>
          <w:t xml:space="preserve">https://platform.claude.com/docs/en/api/rate-limits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Anthropic rate limits by tier: RPM/ITPM/OTPM per model class; Message Batches RPM, processing-queue and per-batch request caps; cached input excluded from ITPM; Start/Build/Scale monthly spend caps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104. </w:t>
      </w:r>
      <w:hyperlink r:id="rId112">
        <w:r>
          <w:rPr>
            <w:rFonts w:ascii="Arial" w:hAnsi="Arial"/>
            <w:color w:val="1D4ED8"/>
            <w:u w:val="single"/>
            <w:sz w:val="21"/>
          </w:rPr>
          <w:t xml:space="preserve">https://developers.openai.com/api/docs/guides/rate-limits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OpenAI: tier qualification and monthly spend caps published; per-tier RPM/TPM values not published (account settings only); Batch queue limits computed on total input tokens queued per model</w:t>
      </w:r>
    </w:p>
    <w:p>
      <w:pPr>
        <w:spacing w:after="20"/>
      </w:pPr>
      <w:r>
        <w:rPr>
          <w:rFonts w:ascii="Arial" w:hAnsi="Arial"/>
          <w:b/>
          <w:i w:val="0"/>
          <w:color w:val="6B7280"/>
          <w:sz w:val="17"/>
        </w:rPr>
        <w:t xml:space="preserve">105. </w:t>
      </w:r>
      <w:hyperlink r:id="rId113">
        <w:r>
          <w:rPr>
            <w:rFonts w:ascii="Arial" w:hAnsi="Arial"/>
            <w:color w:val="1D4ED8"/>
            <w:u w:val="single"/>
            <w:sz w:val="21"/>
          </w:rPr>
          <w:t xml:space="preserve">https://ai.google.dev/gemini-api/docs/rate-limits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— Gemini: per-model RPM/TPM/RPD not published (viewable in AI Studio); Batch = 100 concurrent requests, 2 GB input file, 20 GB storage; spend-based limits on a rolling 10-minute window; Priority Inference at 0.3× standard limits</w:t>
      </w:r>
    </w:p>
    <w:p>
      <w:pPr>
        <w:spacing w:after="120"/>
      </w:pPr>
      <w:r>
        <w:rPr>
          <w:rFonts w:ascii="Arial" w:hAnsi="Arial"/>
          <w:b w:val="0"/>
          <w:i/>
          <w:color w:val="374151"/>
          <w:sz w:val="21"/>
        </w:rPr>
        <w:t xml:space="preserve">Sources marked </w:t>
      </w:r>
      <w:r>
        <w:rPr>
          <w:rFonts w:ascii="Arial" w:hAnsi="Arial"/>
          <w:b w:val="0"/>
          <w:i/>
          <w:color w:val="374151"/>
          <w:sz w:val="21"/>
        </w:rPr>
        <w:t>[secondary °]</w:t>
      </w:r>
      <w:r>
        <w:rPr>
          <w:rFonts w:ascii="Arial" w:hAnsi="Arial"/>
          <w:b w:val="0"/>
          <w:i/>
          <w:color w:val="374151"/>
          <w:sz w:val="21"/>
        </w:rPr>
        <w:t xml:space="preserve"> are community measurements, third-party pricing trackers, forum threads, or semi-documented endpoints rather than primary vendor documentation. Every load-bearing figure taken from them is marked ° at first use in the body.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google.com/webmaster-tools/limits" TargetMode="External"/><Relationship Id="rId10" Type="http://schemas.openxmlformats.org/officeDocument/2006/relationships/hyperlink" Target="https://developers.google.com/webmaster-tools/v1/searchanalytics/query" TargetMode="External"/><Relationship Id="rId11" Type="http://schemas.openxmlformats.org/officeDocument/2006/relationships/hyperlink" Target="https://www.analyticsedge.com/blog/download-over-25000-rows-from-google-search-console-api/" TargetMode="External"/><Relationship Id="rId12" Type="http://schemas.openxmlformats.org/officeDocument/2006/relationships/hyperlink" Target="https://developers.google.com/search/blog/2025/04/san-hourly-data" TargetMode="External"/><Relationship Id="rId13" Type="http://schemas.openxmlformats.org/officeDocument/2006/relationships/hyperlink" Target="https://www.seo-stack.io/blog/why-does-google-search-console-have-a-16-month-data-limit" TargetMode="External"/><Relationship Id="rId14" Type="http://schemas.openxmlformats.org/officeDocument/2006/relationships/hyperlink" Target="https://ahrefs.com/blog/gsc-anonymized-queries/" TargetMode="External"/><Relationship Id="rId15" Type="http://schemas.openxmlformats.org/officeDocument/2006/relationships/hyperlink" Target="https://developers.google.com/webmaster-tools/v1/urlInspection.index/UrlInspectionResult" TargetMode="External"/><Relationship Id="rId16" Type="http://schemas.openxmlformats.org/officeDocument/2006/relationships/hyperlink" Target="https://support.google.com/webmasters/thread/286763491/increasing-the-2000-url-inspection-limit-per-website-for-the-google-search-console-api" TargetMode="External"/><Relationship Id="rId17" Type="http://schemas.openxmlformats.org/officeDocument/2006/relationships/hyperlink" Target="https://developers.google.com/webmaster-tools/v1/sitemaps/submit" TargetMode="External"/><Relationship Id="rId18" Type="http://schemas.openxmlformats.org/officeDocument/2006/relationships/hyperlink" Target="https://support.google.com/webmasters/answer/12918484" TargetMode="External"/><Relationship Id="rId19" Type="http://schemas.openxmlformats.org/officeDocument/2006/relationships/hyperlink" Target="https://support.google.com/webmasters/answer/12917675" TargetMode="External"/><Relationship Id="rId20" Type="http://schemas.openxmlformats.org/officeDocument/2006/relationships/hyperlink" Target="https://developers.google.com/search/blog/2023/02/bulk-data-export" TargetMode="External"/><Relationship Id="rId21" Type="http://schemas.openxmlformats.org/officeDocument/2006/relationships/hyperlink" Target="https://developers.google.com/identity/protocols/oauth2/production-readiness/sensitive-scope-verification" TargetMode="External"/><Relationship Id="rId22" Type="http://schemas.openxmlformats.org/officeDocument/2006/relationships/hyperlink" Target="https://developers.google.com/identity/protocols/oauth2/production-readiness/restricted-scope-verification" TargetMode="External"/><Relationship Id="rId23" Type="http://schemas.openxmlformats.org/officeDocument/2006/relationships/hyperlink" Target="https://support.google.com/cloud/answer/13463073" TargetMode="External"/><Relationship Id="rId24" Type="http://schemas.openxmlformats.org/officeDocument/2006/relationships/hyperlink" Target="https://deepstrike.io/blog/google-casa-security-assessment-2025" TargetMode="External"/><Relationship Id="rId25" Type="http://schemas.openxmlformats.org/officeDocument/2006/relationships/hyperlink" Target="https://support.google.com/webmasters/answer/7687615" TargetMode="External"/><Relationship Id="rId26" Type="http://schemas.openxmlformats.org/officeDocument/2006/relationships/hyperlink" Target="https://developers.google.com/analytics/devguides/reporting/data/v1/quotas" TargetMode="External"/><Relationship Id="rId27" Type="http://schemas.openxmlformats.org/officeDocument/2006/relationships/hyperlink" Target="https://support.google.com/analytics/answer/11198161" TargetMode="External"/><Relationship Id="rId28" Type="http://schemas.openxmlformats.org/officeDocument/2006/relationships/hyperlink" Target="https://developers.google.com/analytics/devguides/reporting/data/v1/rest/v1beta/properties/runReport" TargetMode="External"/><Relationship Id="rId29" Type="http://schemas.openxmlformats.org/officeDocument/2006/relationships/hyperlink" Target="https://support.google.com/analytics/answer/13331684" TargetMode="External"/><Relationship Id="rId30" Type="http://schemas.openxmlformats.org/officeDocument/2006/relationships/hyperlink" Target="https://support.google.com/analytics/answer/11161109" TargetMode="External"/><Relationship Id="rId31" Type="http://schemas.openxmlformats.org/officeDocument/2006/relationships/hyperlink" Target="https://developers.google.com/analytics/devguides/config/admin/v1/rest/v1beta/accountSummaries/list" TargetMode="External"/><Relationship Id="rId32" Type="http://schemas.openxmlformats.org/officeDocument/2006/relationships/hyperlink" Target="https://support.google.com/analytics/answer/9305587" TargetMode="External"/><Relationship Id="rId33" Type="http://schemas.openxmlformats.org/officeDocument/2006/relationships/hyperlink" Target="https://support.google.com/analytics/answer/9823238" TargetMode="External"/><Relationship Id="rId34" Type="http://schemas.openxmlformats.org/officeDocument/2006/relationships/hyperlink" Target="https://developers.google.com/analytics/devguides/reporting/data/v1/changelog" TargetMode="External"/><Relationship Id="rId35" Type="http://schemas.openxmlformats.org/officeDocument/2006/relationships/hyperlink" Target="https://docs.github.com/en/apps/creating-github-apps/about-creating-github-apps/deciding-when-to-build-a-github-app" TargetMode="External"/><Relationship Id="rId36" Type="http://schemas.openxmlformats.org/officeDocument/2006/relationships/hyperlink" Target="https://docs.github.com/en/rest/apps/apps#create-an-installation-access-token-for-an-app" TargetMode="External"/><Relationship Id="rId37" Type="http://schemas.openxmlformats.org/officeDocument/2006/relationships/hyperlink" Target="https://docs.github.com/en/apps/creating-github-apps/registering-a-github-app/rate-limits-for-github-apps" TargetMode="External"/><Relationship Id="rId38" Type="http://schemas.openxmlformats.org/officeDocument/2006/relationships/hyperlink" Target="https://docs.github.com/en/rest/using-the-rest-api/rate-limits-for-the-rest-api" TargetMode="External"/><Relationship Id="rId39" Type="http://schemas.openxmlformats.org/officeDocument/2006/relationships/hyperlink" Target="https://docs.github.com/public/fpt/schema.docs.graphql" TargetMode="External"/><Relationship Id="rId40" Type="http://schemas.openxmlformats.org/officeDocument/2006/relationships/hyperlink" Target="https://github.blog/changelog/2021-09-13-a-simpler-api-for-authoring-commits/" TargetMode="External"/><Relationship Id="rId41" Type="http://schemas.openxmlformats.org/officeDocument/2006/relationships/hyperlink" Target="https://github.com/orgs/community/discussions/190610" TargetMode="External"/><Relationship Id="rId42" Type="http://schemas.openxmlformats.org/officeDocument/2006/relationships/hyperlink" Target="https://docs.github.com/en/repositories/configuring-branches-and-merges-in-your-repository/configuring-pull-request-merges/managing-a-merge-queue" TargetMode="External"/><Relationship Id="rId43" Type="http://schemas.openxmlformats.org/officeDocument/2006/relationships/hyperlink" Target="https://docs.github.com/en/authentication/keeping-your-account-and-data-secure/managing-your-personal-access-tokens" TargetMode="External"/><Relationship Id="rId44" Type="http://schemas.openxmlformats.org/officeDocument/2006/relationships/hyperlink" Target="https://docs.github.com/en/repositories/configuring-branches-and-merges-in-your-repository/managing-protected-branches/about-protected-branches" TargetMode="External"/><Relationship Id="rId45" Type="http://schemas.openxmlformats.org/officeDocument/2006/relationships/hyperlink" Target="https://developer.wordpress.org/rest-api/using-the-rest-api/authentication/" TargetMode="External"/><Relationship Id="rId46" Type="http://schemas.openxmlformats.org/officeDocument/2006/relationships/hyperlink" Target="https://make.wordpress.org/core/2020/11/05/application-passwords-integration-guide/" TargetMode="External"/><Relationship Id="rId47" Type="http://schemas.openxmlformats.org/officeDocument/2006/relationships/hyperlink" Target="https://developer.wordpress.org/rest-api/reference/media/" TargetMode="External"/><Relationship Id="rId48" Type="http://schemas.openxmlformats.org/officeDocument/2006/relationships/hyperlink" Target="https://developer.yoast.com/customization/apis/rest-api/" TargetMode="External"/><Relationship Id="rId49" Type="http://schemas.openxmlformats.org/officeDocument/2006/relationships/hyperlink" Target="https://kahunam.com/articles/wordpress/how-to-update-yoast-seo-titles-and-meta-descriptions-via-the-wordpress-rest-api/" TargetMode="External"/><Relationship Id="rId50" Type="http://schemas.openxmlformats.org/officeDocument/2006/relationships/hyperlink" Target="https://github.com/Devora-AS/rank-math-api-manager" TargetMode="External"/><Relationship Id="rId51" Type="http://schemas.openxmlformats.org/officeDocument/2006/relationships/hyperlink" Target="https://developer.wordpress.org/rest-api/reference/post-revisions/" TargetMode="External"/><Relationship Id="rId52" Type="http://schemas.openxmlformats.org/officeDocument/2006/relationships/hyperlink" Target="https://make.wordpress.org/core/2023/10/24/framework-for-storing-revisions-of-post-meta-in-6-4/" TargetMode="External"/><Relationship Id="rId53" Type="http://schemas.openxmlformats.org/officeDocument/2006/relationships/hyperlink" Target="https://shopify.dev/docs/api/admin-graphql/latest/mutations/productUpdate" TargetMode="External"/><Relationship Id="rId54" Type="http://schemas.openxmlformats.org/officeDocument/2006/relationships/hyperlink" Target="https://shopify.dev/docs/apps/build/marketing-analytics/optimize-storefront-seo" TargetMode="External"/><Relationship Id="rId55" Type="http://schemas.openxmlformats.org/officeDocument/2006/relationships/hyperlink" Target="https://community.shopify.com/c/shopify-apis-and-sdks/bug-report-productupdate-meta-property/td-p/2011037" TargetMode="External"/><Relationship Id="rId56" Type="http://schemas.openxmlformats.org/officeDocument/2006/relationships/hyperlink" Target="https://shopify.dev/docs/api/admin-graphql/latest/mutations/urlRedirectCreate" TargetMode="External"/><Relationship Id="rId57" Type="http://schemas.openxmlformats.org/officeDocument/2006/relationships/hyperlink" Target="https://shopify.dev/docs/apps/build/online-store/asset-legacy" TargetMode="External"/><Relationship Id="rId58" Type="http://schemas.openxmlformats.org/officeDocument/2006/relationships/hyperlink" Target="https://shopify.dev/docs/api/admin-graphql/latest/mutations/themeFilesUpsert" TargetMode="External"/><Relationship Id="rId59" Type="http://schemas.openxmlformats.org/officeDocument/2006/relationships/hyperlink" Target="https://shopify.dev/docs/api/usage/limits" TargetMode="External"/><Relationship Id="rId60" Type="http://schemas.openxmlformats.org/officeDocument/2006/relationships/hyperlink" Target="https://shopify.dev/docs/api/admin-graphql/latest/mutations/fileUpdate" TargetMode="External"/><Relationship Id="rId61" Type="http://schemas.openxmlformats.org/officeDocument/2006/relationships/hyperlink" Target="https://shopify.dev/docs/api/admin-graphql/latest/objects/CustomerJourneySummary" TargetMode="External"/><Relationship Id="rId62" Type="http://schemas.openxmlformats.org/officeDocument/2006/relationships/hyperlink" Target="https://vercel.com/docs/rest-api/deployments/create-a-new-deployment" TargetMode="External"/><Relationship Id="rId63" Type="http://schemas.openxmlformats.org/officeDocument/2006/relationships/hyperlink" Target="https://vercel.com/docs/limits" TargetMode="External"/><Relationship Id="rId64" Type="http://schemas.openxmlformats.org/officeDocument/2006/relationships/hyperlink" Target="https://vercel.com/docs/instant-rollback" TargetMode="External"/><Relationship Id="rId65" Type="http://schemas.openxmlformats.org/officeDocument/2006/relationships/hyperlink" Target="https://dev.to/philw_/using-vercels-instant-rollback-feature-in-your-own-ci-cd-pipeline-57oi" TargetMode="External"/><Relationship Id="rId66" Type="http://schemas.openxmlformats.org/officeDocument/2006/relationships/hyperlink" Target="https://docs.netlify.com/api/get-started/" TargetMode="External"/><Relationship Id="rId67" Type="http://schemas.openxmlformats.org/officeDocument/2006/relationships/hyperlink" Target="https://docs.netlify.com/deploy/deploy-types/deploy-previews/" TargetMode="External"/><Relationship Id="rId68" Type="http://schemas.openxmlformats.org/officeDocument/2006/relationships/hyperlink" Target="https://dataforseo.com/apis/serp-api/pricing" TargetMode="External"/><Relationship Id="rId69" Type="http://schemas.openxmlformats.org/officeDocument/2006/relationships/hyperlink" Target="https://docs.dataforseo.com/v3/keywords_data-google_ads-search_volume-live/" TargetMode="External"/><Relationship Id="rId70" Type="http://schemas.openxmlformats.org/officeDocument/2006/relationships/hyperlink" Target="https://dataforseo.com/help-center/cost-of-onpage-api-parameters" TargetMode="External"/><Relationship Id="rId71" Type="http://schemas.openxmlformats.org/officeDocument/2006/relationships/hyperlink" Target="https://docs.dataforseo.com/v3/dataforseo_labs-google-search_intent-live/" TargetMode="External"/><Relationship Id="rId72" Type="http://schemas.openxmlformats.org/officeDocument/2006/relationships/hyperlink" Target="https://dataforseo.com/update/click-depth-for-paa-in-serp-api" TargetMode="External"/><Relationship Id="rId73" Type="http://schemas.openxmlformats.org/officeDocument/2006/relationships/hyperlink" Target="https://serper.dev/" TargetMode="External"/><Relationship Id="rId74" Type="http://schemas.openxmlformats.org/officeDocument/2006/relationships/hyperlink" Target="https://apiserpent.com/blog/serp-api-pricing-comparison" TargetMode="External"/><Relationship Id="rId75" Type="http://schemas.openxmlformats.org/officeDocument/2006/relationships/hyperlink" Target="https://almcorp.com/blog/google-sues-serpapi-lawsuit-analysis/" TargetMode="External"/><Relationship Id="rId76" Type="http://schemas.openxmlformats.org/officeDocument/2006/relationships/hyperlink" Target="https://scrapebadger.com/blog/google-sued-a-scraper-under-copyright-law-and-lost-heres-what-the-serpapi-ruling-actually-says" TargetMode="External"/><Relationship Id="rId77" Type="http://schemas.openxmlformats.org/officeDocument/2006/relationships/hyperlink" Target="https://searchengineland.com/reddit-sues-perplexity-serpapi-scraping-google-463681" TargetMode="External"/><Relationship Id="rId78" Type="http://schemas.openxmlformats.org/officeDocument/2006/relationships/hyperlink" Target="https://learn.microsoft.com/en-us/lifecycle/announcements/bing-search-api-retirement" TargetMode="External"/><Relationship Id="rId79" Type="http://schemas.openxmlformats.org/officeDocument/2006/relationships/hyperlink" Target="https://thatmarketingbuddy.com/blog/semrush-api-pricing" TargetMode="External"/><Relationship Id="rId80" Type="http://schemas.openxmlformats.org/officeDocument/2006/relationships/hyperlink" Target="https://docs.ahrefs.com/api/docs/limits-consumption" TargetMode="External"/><Relationship Id="rId81" Type="http://schemas.openxmlformats.org/officeDocument/2006/relationships/hyperlink" Target="https://developers.google.com/google-ads/api/docs/api-policy/access-levels" TargetMode="External"/><Relationship Id="rId82" Type="http://schemas.openxmlformats.org/officeDocument/2006/relationships/hyperlink" Target="https://ppc.land/google-faces-developer-token-application-backlog-as-new-api-tier-debuts/" TargetMode="External"/><Relationship Id="rId83" Type="http://schemas.openxmlformats.org/officeDocument/2006/relationships/hyperlink" Target="https://learn.microsoft.com/en-us/bingwebmaster/getting-access" TargetMode="External"/><Relationship Id="rId84" Type="http://schemas.openxmlformats.org/officeDocument/2006/relationships/hyperlink" Target="https://blogs.bing.com/webmaster/june-2019/bingbot-Series-Introducing-Batch-mode-for-Adaptive-URL-submission-API" TargetMode="External"/><Relationship Id="rId85" Type="http://schemas.openxmlformats.org/officeDocument/2006/relationships/hyperlink" Target="https://merj.com/blog/capturing-data-from-bing-webmaster-tools-api" TargetMode="External"/><Relationship Id="rId86" Type="http://schemas.openxmlformats.org/officeDocument/2006/relationships/hyperlink" Target="https://www.indexnow.org/faq" TargetMode="External"/><Relationship Id="rId87" Type="http://schemas.openxmlformats.org/officeDocument/2006/relationships/hyperlink" Target="https://www.indexernow.com/google-indexnow" TargetMode="External"/><Relationship Id="rId88" Type="http://schemas.openxmlformats.org/officeDocument/2006/relationships/hyperlink" Target="https://platform.claude.com/docs/en/about-claude/models/overview" TargetMode="External"/><Relationship Id="rId89" Type="http://schemas.openxmlformats.org/officeDocument/2006/relationships/hyperlink" Target="https://platform.claude.com/docs/en/build-with-claude/structured-outputs" TargetMode="External"/><Relationship Id="rId90" Type="http://schemas.openxmlformats.org/officeDocument/2006/relationships/hyperlink" Target="https://platform.claude.com/docs/en/build-with-claude/batch-processing" TargetMode="External"/><Relationship Id="rId91" Type="http://schemas.openxmlformats.org/officeDocument/2006/relationships/hyperlink" Target="https://platform.claude.com/docs/en/build-with-claude/prompt-caching" TargetMode="External"/><Relationship Id="rId92" Type="http://schemas.openxmlformats.org/officeDocument/2006/relationships/hyperlink" Target="https://platform.claude.com/docs/en/about-claude/pricing" TargetMode="External"/><Relationship Id="rId93" Type="http://schemas.openxmlformats.org/officeDocument/2006/relationships/hyperlink" Target="https://developers.openai.com/api/docs/pricing" TargetMode="External"/><Relationship Id="rId94" Type="http://schemas.openxmlformats.org/officeDocument/2006/relationships/hyperlink" Target="https://openai.com/index/introducing-structured-outputs-in-the-api/" TargetMode="External"/><Relationship Id="rId95" Type="http://schemas.openxmlformats.org/officeDocument/2006/relationships/hyperlink" Target="https://ai.google.dev/gemini-api/docs/pricing" TargetMode="External"/><Relationship Id="rId96" Type="http://schemas.openxmlformats.org/officeDocument/2006/relationships/hyperlink" Target="https://ai.google.dev/gemini-api/docs/interactions/structured-output" TargetMode="External"/><Relationship Id="rId97" Type="http://schemas.openxmlformats.org/officeDocument/2006/relationships/hyperlink" Target="https://tokenmix.ai/blog/openai-embedding-pricing" TargetMode="External"/><Relationship Id="rId98" Type="http://schemas.openxmlformats.org/officeDocument/2006/relationships/hyperlink" Target="https://docs.voyageai.com/docs/pricing" TargetMode="External"/><Relationship Id="rId99" Type="http://schemas.openxmlformats.org/officeDocument/2006/relationships/hyperlink" Target="https://devtk.ai/en/models/gemini-2-5-flash-lite/" TargetMode="External"/><Relationship Id="rId100" Type="http://schemas.openxmlformats.org/officeDocument/2006/relationships/hyperlink" Target="https://vercel.com/docs/accounts/access-tokens" TargetMode="External"/><Relationship Id="rId101" Type="http://schemas.openxmlformats.org/officeDocument/2006/relationships/hyperlink" Target="https://developers.cloudflare.com/workers/runtime-apis/html-rewriter/" TargetMode="External"/><Relationship Id="rId102" Type="http://schemas.openxmlformats.org/officeDocument/2006/relationships/hyperlink" Target="https://developers.cloudflare.com/workers/platform/limits/" TargetMode="External"/><Relationship Id="rId103" Type="http://schemas.openxmlformats.org/officeDocument/2006/relationships/hyperlink" Target="https://www.searchpilot.com/engineers" TargetMode="External"/><Relationship Id="rId104" Type="http://schemas.openxmlformats.org/officeDocument/2006/relationships/hyperlink" Target="https://developers.google.com/search/docs/crawling-indexing/javascript/javascript-seo-basics" TargetMode="External"/><Relationship Id="rId105" Type="http://schemas.openxmlformats.org/officeDocument/2006/relationships/hyperlink" Target="https://docs.dataforseo.com/v3/serp/google/organic/task_post/" TargetMode="External"/><Relationship Id="rId106" Type="http://schemas.openxmlformats.org/officeDocument/2006/relationships/hyperlink" Target="https://developers.google.com/search/apis/indexing-api/v3/quota-pricing" TargetMode="External"/><Relationship Id="rId107" Type="http://schemas.openxmlformats.org/officeDocument/2006/relationships/hyperlink" Target="https://developers.google.com/search/docs/crawling-indexing/verifying-googlebot" TargetMode="External"/><Relationship Id="rId108" Type="http://schemas.openxmlformats.org/officeDocument/2006/relationships/hyperlink" Target="https://vercel.com/docs/drains" TargetMode="External"/><Relationship Id="rId109" Type="http://schemas.openxmlformats.org/officeDocument/2006/relationships/hyperlink" Target="https://developers.cloudflare.com/logs/about/" TargetMode="External"/><Relationship Id="rId110" Type="http://schemas.openxmlformats.org/officeDocument/2006/relationships/hyperlink" Target="https://docs.aws.amazon.com/AmazonCloudFront/latest/DeveloperGuide/AccessLogs.html" TargetMode="External"/><Relationship Id="rId111" Type="http://schemas.openxmlformats.org/officeDocument/2006/relationships/hyperlink" Target="https://platform.claude.com/docs/en/api/rate-limits" TargetMode="External"/><Relationship Id="rId112" Type="http://schemas.openxmlformats.org/officeDocument/2006/relationships/hyperlink" Target="https://developers.openai.com/api/docs/guides/rate-limits" TargetMode="External"/><Relationship Id="rId113" Type="http://schemas.openxmlformats.org/officeDocument/2006/relationships/hyperlink" Target="https://ai.google.dev/gemini-api/docs/rate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