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E3A8A"/>
          <w:sz w:val="50"/>
        </w:rPr>
        <w:t>Requirements Analysis — Autonomous SEO Optimization &amp; Automation Platform</w:t>
      </w:r>
    </w:p>
    <w:p>
      <w:pPr>
        <w:spacing w:after="200"/>
        <w:pBdr>
          <w:bottom w:val="single" w:sz="14" w:space="6" w:color="1E3A8A"/>
        </w:pBdr>
      </w:pP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Document 01 of 07</w:t>
      </w:r>
      <w:r>
        <w:rPr>
          <w:rFonts w:ascii="Arial" w:hAnsi="Arial"/>
          <w:b w:val="0"/>
          <w:i w:val="0"/>
          <w:color w:val="374151"/>
          <w:sz w:val="21"/>
        </w:rPr>
        <w:t xml:space="preserve"> · Prepared from the client problem statement ("Autonomous SEO Optimization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Platform", 23 pp.) · Status: Draft for review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   </w:t>
      </w:r>
      <w:r>
        <w:rPr>
          <w:rFonts w:ascii="Arial" w:hAnsi="Arial"/>
          <w:b/>
          <w:i w:val="0"/>
          <w:color w:val="1E3A8A"/>
          <w:sz w:val="28"/>
        </w:rPr>
        <w:t>Purpose of this document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This document decomposes the client's problem statement into an explicit, numbered set of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requirements, constraints, and open questions. Every subsequent deliverable (feasibility,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architecture, technology comparison, API research, risk assessment, MVP plan) traces back to the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requirement IDs defined here, so the client can verify nothing in the problem statement was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dropped or reinterpreted silently.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2   </w:t>
      </w:r>
      <w:r>
        <w:rPr>
          <w:rFonts w:ascii="Arial" w:hAnsi="Arial"/>
          <w:b/>
          <w:i w:val="0"/>
          <w:color w:val="1E3A8A"/>
          <w:sz w:val="28"/>
        </w:rPr>
        <w:t>What the client is actually asking for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Three readings of the problem statement matter, and they change what "done" means: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product is autonomy, not analysis.</w:t>
      </w:r>
      <w:r>
        <w:rPr>
          <w:rFonts w:ascii="Arial" w:hAnsi="Arial"/>
          <w:b w:val="0"/>
          <w:i w:val="0"/>
          <w:color w:val="374151"/>
          <w:sz w:val="21"/>
        </w:rPr>
        <w:t xml:space="preserve"> The statement says explicitly: *"The developer's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responsibility is not to simply build an SEO audit tool"* and the final objective is an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*"Autonomous SEO Optimization Engine, not merely an SEO reporting/dashboard application."*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Detection and reporting are table stakes; the differentiating requirement is the system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closing the loop itself</w:t>
      </w:r>
      <w:r>
        <w:rPr>
          <w:rFonts w:ascii="Arial" w:hAnsi="Arial"/>
          <w:b w:val="0"/>
          <w:i w:val="0"/>
          <w:color w:val="374151"/>
          <w:sz w:val="21"/>
        </w:rPr>
        <w:t xml:space="preserve"> — generating changes, validating them, applying the safe ones,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measuring outcomes, and rolling back harm.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This phase is research and planning, not implementation.</w:t>
      </w:r>
      <w:r>
        <w:rPr>
          <w:rFonts w:ascii="Arial" w:hAnsi="Arial"/>
          <w:b w:val="0"/>
          <w:i w:val="0"/>
          <w:color w:val="374151"/>
          <w:sz w:val="21"/>
        </w:rPr>
        <w:t xml:space="preserve"> Section 25 opens with: *"The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developer/team should NOT immediately start coding."* The graded output of this phase is a set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of documents that answer feasibility and architecture with evidence, plus a validation plan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(POCs) for the risky parts.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central question is a boundary question.</w:t>
      </w:r>
      <w:r>
        <w:rPr>
          <w:rFonts w:ascii="Arial" w:hAnsi="Arial"/>
          <w:b w:val="0"/>
          <w:i w:val="0"/>
          <w:color w:val="374151"/>
          <w:sz w:val="21"/>
        </w:rPr>
        <w:t xml:space="preserve"> Section 26: *"What is the maximum level of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SEO work that can realistically be automated without human intervention, and what technical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architecture is required to achieve it safely?"* The client explicitly warns against assuming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everything can be automated. A credible answer must place every SEO activity into one of four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buckets — 100% automatable / mostly automatable / requires approval / should remain manual —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with reasons</w:t>
      </w:r>
      <w:r>
        <w:rPr>
          <w:rFonts w:ascii="Arial" w:hAnsi="Arial"/>
          <w:b w:val="0"/>
          <w:i w:val="0"/>
          <w:color w:val="374151"/>
          <w:sz w:val="21"/>
        </w:rPr>
        <w:t>. Overclaiming automation is a failure mode the client is testing for.</w:t>
      </w: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The operating loop the system must run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</w:tblBorders>
      </w:tblPr>
      <w:tblGrid>
        <w:gridCol w:w="9792"/>
      </w:tblGrid>
      <w:tr>
        <w:tc>
          <w:tcPr>
            <w:tcW w:type="dxa" w:w="9792"/>
            <w:shd w:val="clear" w:color="auto" w:fill="F3F4F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111827"/>
                <w:sz w:val="16"/>
              </w:rPr>
              <w:t>Discover → Analyze → Identify → Decide → Optimize → Validate → Deploy → Monitor → Measure → Re-optimize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This loop is restated three times in the statement (§1, §18, §23), each time with the same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safety shape: a confidence check before generation, validation before deployment, monitoring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after deployment, and rollback as a first-class outcome — meaning the loop is a **requirement on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system behavior**, not an illustration.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3   </w:t>
      </w:r>
      <w:r>
        <w:rPr>
          <w:rFonts w:ascii="Arial" w:hAnsi="Arial"/>
          <w:b/>
          <w:i w:val="0"/>
          <w:color w:val="1E3A8A"/>
          <w:sz w:val="28"/>
        </w:rPr>
        <w:t>Functional requirements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IDs are grouped by capability area. "Source" cites the problem-statement section.</w:t>
      </w: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 — Website discovery &amp; crawling (source §4)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Crawl a complete website from a starting point, discovering URLs via links, sitemap.xml, and robots.txt.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For every page, capture: URL, HTTP status, redirect target(s), canonical URL, title, meta description, H1/H2/H3, images and alt text, internal links, external links, structured data, noindex/nofollow directives, page content, word count, page depth, and page-load information.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Detect duplicate content across pages.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FR-1.4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Prevent duplicate crawling of the same logical URL (normalization of parameters, case, trailing slashes).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FR-1.5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Support very large websites (100,000+ pages) without unbounded memory/cost.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FR-1.6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Run crawls as queued, schedulable jobs; support distributed execution.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FR-1.7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Persist crawl results durably for downstream analysis and historical comparison.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FR-2 — Website understanding (source §5)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FR-2.1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Model the site as a connected structure — pages, categories, products, blog, topics, keywords, internal links, inter-page relationships — not as independent pages.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FR-2.2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Answer: which pages are important; which target similar keywords; which compete with each other (cannibalization); which are orphaned; which receive the most traffic; which have weak internal linking; which should receive more internal links.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FR-2.3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Justify the storage/technology choice (document DB, search engine, graph DB, vector DB, or combination).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FR-3 — Technical SEO detection (source §6)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Indexing: detect noindex pages, robots.txt blocking, canonical problems, sitemap problems (missing pages, dead URLs), duplicate URLs, HTTP/HTTPS inconsistencies, WWW/non-WWW inconsistencies.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HTTP: detect 404, 410, 301, 302, redirect chains, redirect loops, 5xx.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On-page: detect missing/duplicate/over-long/too-short titles; missing/duplicate meta descriptions; missing/multiple H1; heading-hierarchy violations.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FR-3.4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Links: detect broken links, broken internal links, orphan pages, excessive link counts, weakly linked pages.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FR-3.5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Images: detect missing alt, oversized files, unsupported formats, missing dimensions, performance problems.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FR-3.6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Structured data: detect missing schema, invalid schema, incorrect schema type, missing important properties.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FR-3.7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Classify every detectable issue by whether it can safely be fixed automatically.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FR-4 — AI optimization engine (source §7)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FR-4.1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Generate: SEO titles, meta descriptions, H1, H2 structure, image alt text, content improvements, content-gap fills, FAQs where genuinely useful, internal-link suggestions, structured data.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FR-4.2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AI must not blindly rewrite content — edits are bounded, targeted, and justified.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FR-4.3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AI input is a structured context pack: current page, target keyword, search intent, current ranking, GSC data, competitor information, existing headings, existing content, missing topics, existing internal links, business context.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FR-4.4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AI output is a structured action (machine-parseable), e.g. {action, oldValue, newValue, reason, confidence, risk} — with a researched mechanism for enforcing reliable structured output.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FR-5 — Keyword intelligence (source §8)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FR-5.1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Automatically discover and prioritize keywords from: GSC, Bing Webmaster Tools, keyword APIs, SERP APIs, search suggestions, competitor analysis, and existing site content.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FR-5.2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Compute an SEO opportunity score via a defined, defensible algorithm (the statement's worked example: position 8.7 + 32,000 impressions + 2.1% CTR ⇒ HIGH opportunity).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FR-6 — Google Search Console integration (source §9)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FR-6.1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Collect per-property: queries, pages, clicks, impressions, CTR, average position, country, device, date.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FR-6.2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Detect opportunity patterns automatically (high impressions + position 5–20 + low CTR).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FR-6.3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Detect content decay automatically (e.g. position 4→13 with traffic 10,000→4,500) and trigger a content investigation.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FR-7 — Competitor analysis (source §10)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FR-7.1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For important keywords, automatically compare the customer page against ranking competitors on: title, H1, H2, content, topics, entities, questions, internal links, structured data, content depth.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FR-7.2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Surface "what competitors cover that our page does not," then judge whether each gap is a genuine content opportunity (not blind copying).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FR-8 — Internal linking automation (source §11)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FR-8.1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Detect internal-link opportunities: source page mentions a concept; target page is the site's authority on it.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FR-8.2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Propose a contextual anchor for each opportunity, with anchor-text variation.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FR-8.3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Respect: semantic similarity, keyword/entity matching, page importance, link equity, existing links, maximum links per page.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FR-8.4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Define when a link is auto-inserted vs only recommended.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FR-9 — Automated website modification (source §12) — flagged by the client as one of the most important parts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FR-9.1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Next.js/React sites: modify via the code path — GitHub, branches, pull requests, code patches, API-based deployment.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FR-9.2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WordPress sites: modify via the WordPress REST API and/or established SEO plugin APIs.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FR-9.3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Shopify sites: modify via Shopify APIs (product/page metadata), within documented theme limitations.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FR-9.4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Custom websites: a researched recommendation on direct code integration vs API integration vs another mechanism.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FR-10 — GitHub automation (source §13)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FR-10.1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Full pipeline: connect repo → create branch → analyze code → generate modification → apply patch → run tests → run build → run SEO validation → create PR → deploy.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FR-10.2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Answer, with evidence: how changes are generated; how AI is prevented from breaking existing functionality; how generated changes are tested; how SEO changes are validated; how rollback works.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FR-11 — Confidence-based automation (source §14)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FR-11.1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 detailed scoring mechanism (explicitly demanded) mapping every proposed change to a risk tier.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FR-11.2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Tier semantics fixed by the client: LOW → may auto-apply (missing alt, missing meta description, duplicate metadata, broken internal link, invalid JSON-LD). MEDIUM → automated PR/deployment with a gate (title, H1, content updates, internal links, schema changes). HIGH → never auto-deploy (robots.txt, large-scale canonicals, mass redirects, URL restructuring, page deletion).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FR-12 — Validation engine (source §15)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FR-12.1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Every automated change passes, pre-deployment: SEO validation → HTML validation → schema validation → application tests → build → performance test.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FR-12.2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Each validation stage is itself automated (researched per stage).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FR-13 — Change tracking (source §16)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FR-13.1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Every change stored with complete history: change ID, page, change type, before, after, reason, confidence, risk, applied date, result.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FR-13.2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ledger is complete — no unrecorded mutations of a customer site, ever.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FR-14 — Automatic rollback (source §17)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FR-14.1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Detect negative impact via: ranking decline, CTR decline, organic-traffic decline, conversion decline, indexing problems, technical errors.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FR-14.2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Decide KEEP vs ROLLBACK from predefined rules.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FR-14.3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Define the evaluation wait window per change type — the client explicitly notes SEO effects are delayed, and expects the developer to define how long to wait.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FR-15 — Autonomous scheduling (source §18)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FR-15.1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whole loop runs unattended on a schedule (daily in the statement's example).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FR-15.2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execution backbone (scheduled workers / agent framework / workflow engine / queue / LLM orchestration / custom state machine) is chosen by researched comparison, optimizing for reliability.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1E3A8A"/>
          <w:sz w:val="23"/>
        </w:rPr>
        <w:t>FR-16 — Platform surface (source §19)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FR-16.1</w:t>
            </w:r>
          </w:p>
        </w:tc>
        <w:tc>
          <w:tcPr>
            <w:tcW w:type="dxa" w:w="4896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architecture covers: frontend, API, authentication, project management, crawler, queue, SEO analyzer, AI engine, decision engine, optimization engine, validation engine, deployment engine, monitoring.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FR-16.2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The proposal names concrete choices for: database, cache, queue, object storage, search engine, AI providers, external APIs, scheduler, logging, monitoring.</w:t>
            </w:r>
          </w:p>
        </w:tc>
      </w:tr>
    </w:tbl>
    <w:p>
      <w:pPr>
        <w:spacing w:after="40"/>
      </w:pP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4   </w:t>
      </w:r>
      <w:r>
        <w:rPr>
          <w:rFonts w:ascii="Arial" w:hAnsi="Arial"/>
          <w:b/>
          <w:i w:val="0"/>
          <w:color w:val="1E3A8A"/>
          <w:sz w:val="28"/>
        </w:rPr>
        <w:t>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NFR-1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Safe: the system must never blindly modify production; every automation follows Detect → Analyze → Decide → Confidence Check → Generate → Validate → Apply → Monitor → Rollback-if-required.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§3, §23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NFR-2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Scalable: 100 → 10,000 → 100,000+ page sites, with cost estimated per tier.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§3, §21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NFR-3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Explainable: every action carries a reason, confidence, and risk; complete change history.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§3, §7, §16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NFR-4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Autonomous: capable of applying (safe) changes without a human in the loop.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§1, §3, §26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NFR-5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Secure: encrypted secrets and tokens; least-privilege scopes; OAuth; audit logs; access isolation; multi-tenant security. The system may hold write access to customer production repositories — security posture must match that responsibility.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§22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NFR-6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Cost-bounded: AI and crawling costs estimated and actively reduced by design.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§21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NFR-7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Justified: no technology selected without comparing 2–3 alternatives with reasons.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§20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NFR-8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Policy-compliant: design must consider Google/search-engine policy risk (e.g. scaled content abuse).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§25.6</w:t>
            </w:r>
          </w:p>
        </w:tc>
      </w:tr>
    </w:tbl>
    <w:p>
      <w:pPr>
        <w:spacing w:after="40"/>
      </w:pP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5   </w:t>
      </w:r>
      <w:r>
        <w:rPr>
          <w:rFonts w:ascii="Arial" w:hAnsi="Arial"/>
          <w:b/>
          <w:i w:val="0"/>
          <w:color w:val="1E3A8A"/>
          <w:sz w:val="28"/>
        </w:rPr>
        <w:t>Hard constraints and mandates (verbatim commitments)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Not an audit tool.</w:t>
      </w:r>
      <w:r>
        <w:rPr>
          <w:rFonts w:ascii="Arial" w:hAnsi="Arial"/>
          <w:b w:val="0"/>
          <w:i w:val="0"/>
          <w:color w:val="374151"/>
          <w:sz w:val="21"/>
        </w:rPr>
        <w:t xml:space="preserve"> Reporting-only is explicitly out of scope as an end state (§1, final objective).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Research before code.</w:t>
      </w:r>
      <w:r>
        <w:rPr>
          <w:rFonts w:ascii="Arial" w:hAnsi="Arial"/>
          <w:b w:val="0"/>
          <w:i w:val="0"/>
          <w:color w:val="374151"/>
          <w:sz w:val="21"/>
        </w:rPr>
        <w:t xml:space="preserve"> This phase produces documents and a POC plan, not the product (§25).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AI must not blindly rewrite content</w:t>
      </w:r>
      <w:r>
        <w:rPr>
          <w:rFonts w:ascii="Arial" w:hAnsi="Arial"/>
          <w:b w:val="0"/>
          <w:i w:val="0"/>
          <w:color w:val="374151"/>
          <w:sz w:val="21"/>
        </w:rPr>
        <w:t xml:space="preserve"> (§7).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system must never blindly modify production</w:t>
      </w:r>
      <w:r>
        <w:rPr>
          <w:rFonts w:ascii="Arial" w:hAnsi="Arial"/>
          <w:b w:val="0"/>
          <w:i w:val="0"/>
          <w:color w:val="374151"/>
          <w:sz w:val="21"/>
        </w:rPr>
        <w:t xml:space="preserve"> (§23).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Risk-tier semantics are fixed by the client</w:t>
      </w:r>
      <w:r>
        <w:rPr>
          <w:rFonts w:ascii="Arial" w:hAnsi="Arial"/>
          <w:b w:val="0"/>
          <w:i w:val="0"/>
          <w:color w:val="374151"/>
          <w:sz w:val="21"/>
        </w:rPr>
        <w:t xml:space="preserve"> — LOW auto-apply / MEDIUM gated PR / HIGH never-auto lists are given, not negotiable defaults (§14).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The four-bucket automation matrix with reasons is mandatory</w:t>
      </w:r>
      <w:r>
        <w:rPr>
          <w:rFonts w:ascii="Arial" w:hAnsi="Arial"/>
          <w:b w:val="0"/>
          <w:i w:val="0"/>
          <w:color w:val="374151"/>
          <w:sz w:val="21"/>
        </w:rPr>
        <w:t xml:space="preserve"> (§26).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Every recommendation must be justified</w:t>
      </w:r>
      <w:r>
        <w:rPr>
          <w:rFonts w:ascii="Arial" w:hAnsi="Arial"/>
          <w:b w:val="0"/>
          <w:i w:val="0"/>
          <w:color w:val="374151"/>
          <w:sz w:val="21"/>
        </w:rPr>
        <w:t xml:space="preserve"> with compared alternatives (§20).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Change history must be complete</w:t>
      </w:r>
      <w:r>
        <w:rPr>
          <w:rFonts w:ascii="Arial" w:hAnsi="Arial"/>
          <w:b w:val="0"/>
          <w:i w:val="0"/>
          <w:color w:val="374151"/>
          <w:sz w:val="21"/>
        </w:rPr>
        <w:t xml:space="preserve"> (§16).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Rollback wait-windows must be explicitly defined</w:t>
      </w:r>
      <w:r>
        <w:rPr>
          <w:rFonts w:ascii="Arial" w:hAnsi="Arial"/>
          <w:b w:val="0"/>
          <w:i w:val="0"/>
          <w:color w:val="374151"/>
          <w:sz w:val="21"/>
        </w:rPr>
        <w:t xml:space="preserve"> (§17).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6   </w:t>
      </w:r>
      <w:r>
        <w:rPr>
          <w:rFonts w:ascii="Arial" w:hAnsi="Arial"/>
          <w:b/>
          <w:i w:val="0"/>
          <w:color w:val="1E3A8A"/>
          <w:sz w:val="28"/>
        </w:rPr>
        <w:t>MVP scope boundary (source §24)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In scope (MVP):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Site platforms: </w:t>
      </w:r>
      <w:r>
        <w:rPr>
          <w:rFonts w:ascii="Arial" w:hAnsi="Arial"/>
          <w:b/>
          <w:i w:val="0"/>
          <w:color w:val="111827"/>
          <w:sz w:val="21"/>
        </w:rPr>
        <w:t>Next.js, React, WordPress</w:t>
      </w:r>
      <w:r>
        <w:rPr>
          <w:rFonts w:ascii="Arial" w:hAnsi="Arial"/>
          <w:b w:val="0"/>
          <w:i w:val="0"/>
          <w:color w:val="374151"/>
          <w:sz w:val="21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SEO surface: technical SEO, titles, meta descriptions, headings, image alt, internal links, schema, sitemap, canonical, broken links.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 xml:space="preserve">Data: </w:t>
      </w:r>
      <w:r>
        <w:rPr>
          <w:rFonts w:ascii="Arial" w:hAnsi="Arial"/>
          <w:b/>
          <w:i w:val="0"/>
          <w:color w:val="111827"/>
          <w:sz w:val="21"/>
        </w:rPr>
        <w:t>Google Search Console</w:t>
      </w:r>
      <w:r>
        <w:rPr>
          <w:rFonts w:ascii="Arial" w:hAnsi="Arial"/>
          <w:b w:val="0"/>
          <w:i w:val="0"/>
          <w:color w:val="374151"/>
          <w:sz w:val="21"/>
        </w:rPr>
        <w:t xml:space="preserve"> (sole external data source for MVP).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Automation: GitHub, automated PR, validation, deployment, rollback.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AI: SEO analysis, content-gap analysis, metadata optimization, internal-link optimization.</w:t>
      </w:r>
    </w:p>
    <w:p>
      <w:pPr>
        <w:spacing w:after="120"/>
      </w:pPr>
      <w:r>
        <w:rPr>
          <w:rFonts w:ascii="Arial" w:hAnsi="Arial"/>
          <w:b/>
          <w:i w:val="0"/>
          <w:color w:val="1E3A8A"/>
          <w:sz w:val="21"/>
        </w:rPr>
        <w:t>Explicitly deferred beyond MVP (mentioned in the statement but outside §24):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Shopify and fully custom platforms (research still required — FR-9.3/9.4).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Bing Webmaster Tools, third-party keyword/SERP APIs as data sources.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Conversion-based rollback signals (requires analytics integration).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74151"/>
          <w:sz w:val="21"/>
        </w:rPr>
        <w:t>Content-writing at scale (MVP touches metadata, headings, links, schema — not long-form generation).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7   </w:t>
      </w:r>
      <w:r>
        <w:rPr>
          <w:rFonts w:ascii="Arial" w:hAnsi="Arial"/>
          <w:b/>
          <w:i w:val="0"/>
          <w:color w:val="1E3A8A"/>
          <w:sz w:val="28"/>
        </w:rPr>
        <w:t>Success criteria (source: Success Criteria section)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project is successful when this flow is demonstrable end-to-end on a connected site: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connect → crawl → understand → find problems → find opportunities → AI determines improvements →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generate changes → validate → </w:t>
      </w:r>
      <w:r>
        <w:rPr>
          <w:rFonts w:ascii="Arial" w:hAnsi="Arial"/>
          <w:b/>
          <w:i w:val="0"/>
          <w:color w:val="111827"/>
          <w:sz w:val="21"/>
        </w:rPr>
        <w:t>automatically apply safe changes</w:t>
      </w:r>
      <w:r>
        <w:rPr>
          <w:rFonts w:ascii="Arial" w:hAnsi="Arial"/>
          <w:b w:val="0"/>
          <w:i w:val="0"/>
          <w:color w:val="374151"/>
          <w:sz w:val="21"/>
        </w:rPr>
        <w:t xml:space="preserve"> → monitor search data →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measure results → keep winners → </w:t>
      </w:r>
      <w:r>
        <w:rPr>
          <w:rFonts w:ascii="Arial" w:hAnsi="Arial"/>
          <w:b/>
          <w:i w:val="0"/>
          <w:color w:val="111827"/>
          <w:sz w:val="21"/>
        </w:rPr>
        <w:t>roll back harmful changes</w:t>
      </w:r>
      <w:r>
        <w:rPr>
          <w:rFonts w:ascii="Arial" w:hAnsi="Arial"/>
          <w:b w:val="0"/>
          <w:i w:val="0"/>
          <w:color w:val="374151"/>
          <w:sz w:val="21"/>
        </w:rPr>
        <w:t xml:space="preserve"> → find the next opportunity.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Acceptance emphasis: the two bolded steps are what distinguish this system from an audit tool,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and are therefore the highest-value proof points in any demo or POC.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8   </w:t>
      </w:r>
      <w:r>
        <w:rPr>
          <w:rFonts w:ascii="Arial" w:hAnsi="Arial"/>
          <w:b/>
          <w:i w:val="0"/>
          <w:color w:val="1E3A8A"/>
          <w:sz w:val="28"/>
        </w:rPr>
        <w:t>Deliverables contract for this phase (source §25)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3264"/>
            <w:shd w:val="clear" w:color="auto" w:fill="1E3A8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Feasibility document — "can this be automated to the desired level?"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02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2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Architecture document — complete system architecture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03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3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Technology comparison — alternatives + justified selections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04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4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API research — GSC, GitHub, WordPress, Shopify, SERP/keyword, AI providers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05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5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Proof-of-concept plan for the 8 named POCs (crawl; analyze; generate optimization; modify Next.js repo; build+validate; GitHub PR; read GSC; measure impact)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07 §POC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6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Risk document — technical, SEO, AI, security, API limits, cost, scalability, search-engine policy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06</w:t>
            </w:r>
          </w:p>
        </w:tc>
      </w:tr>
      <w:tr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19"/>
              </w:rPr>
              <w:t>7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MVP development plan — Epic → Module → Task → Acceptance Criteria</w:t>
            </w:r>
          </w:p>
        </w:tc>
        <w:tc>
          <w:tcPr>
            <w:tcW w:type="dxa" w:w="3264"/>
            <w:shd w:val="clear" w:color="auto" w:fill="F3F6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Doc 07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 xml:space="preserve">*Note: per the current engagement scope, POCs are </w:t>
      </w:r>
      <w:r>
        <w:rPr>
          <w:rFonts w:ascii="Arial" w:hAnsi="Arial"/>
          <w:b/>
          <w:i w:val="0"/>
          <w:color w:val="111827"/>
          <w:sz w:val="21"/>
        </w:rPr>
        <w:t>planned and specified</w:t>
      </w:r>
      <w:r>
        <w:rPr>
          <w:rFonts w:ascii="Arial" w:hAnsi="Arial"/>
          <w:b w:val="0"/>
          <w:i w:val="0"/>
          <w:color w:val="374151"/>
          <w:sz w:val="21"/>
        </w:rPr>
        <w:t xml:space="preserve"> in Doc 07 (with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exit criteria and risk coverage per POC) rather than executed in this phase.*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9   </w:t>
      </w:r>
      <w:r>
        <w:rPr>
          <w:rFonts w:ascii="Arial" w:hAnsi="Arial"/>
          <w:b/>
          <w:i w:val="0"/>
          <w:color w:val="1E3A8A"/>
          <w:sz w:val="28"/>
        </w:rPr>
        <w:t>Key tensions the plan must resolve (analysis)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These are the places where requirements pull against each other; the feasibility and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architecture documents must take an explicit position on each: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Autonomy vs safety.</w:t>
      </w:r>
      <w:r>
        <w:rPr>
          <w:rFonts w:ascii="Arial" w:hAnsi="Arial"/>
          <w:b w:val="0"/>
          <w:i w:val="0"/>
          <w:color w:val="374151"/>
          <w:sz w:val="21"/>
        </w:rPr>
        <w:t xml:space="preserve"> Full autonomy (§1) collides with "never blindly modify production"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(§23). Resolution shape: autonomy is *earned per action class* via the risk-tier system —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automation matrix (§26) is the honest boundary, and "requires approval" is a legitimate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permanent state for some actions, not a failure.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Measurement latency vs a daily loop.</w:t>
      </w:r>
      <w:r>
        <w:rPr>
          <w:rFonts w:ascii="Arial" w:hAnsi="Arial"/>
          <w:b w:val="0"/>
          <w:i w:val="0"/>
          <w:color w:val="374151"/>
          <w:sz w:val="21"/>
        </w:rPr>
        <w:t xml:space="preserve"> The agent runs daily (§18), but change effects take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weeks to be measurable (§17) and GSC data itself lags. The architecture needs per-change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monitoring windows running *in parallel* with new work, plus discipline to avoid re-touching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 page whose last change is still under evaluation.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Attribution in a noisy system.</w:t>
      </w:r>
      <w:r>
        <w:rPr>
          <w:rFonts w:ascii="Arial" w:hAnsi="Arial"/>
          <w:b w:val="0"/>
          <w:i w:val="0"/>
          <w:color w:val="374151"/>
          <w:sz w:val="21"/>
        </w:rPr>
        <w:t xml:space="preserve"> Rankings move without our changes (algorithm updates,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competitors, seasonality). KEEP/ROLLBACK rules based on raw before/after deltas will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misfire; the design needs controls (unchanged comparison pages, year-over-year baselines,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minimum-data thresholds) and must accept attribution is probabilistic.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AI helpfulness vs AI risk.</w:t>
      </w:r>
      <w:r>
        <w:rPr>
          <w:rFonts w:ascii="Arial" w:hAnsi="Arial"/>
          <w:b w:val="0"/>
          <w:i w:val="0"/>
          <w:color w:val="374151"/>
          <w:sz w:val="21"/>
        </w:rPr>
        <w:t xml:space="preserve"> The biggest quality lever (LLM-generated improvements) is also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biggest safety and policy risk (hallucinated claims, scaled-content-abuse exposure,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prompt injection from crawled third-party content). Bounded structured actions (FR-4.4) are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containment mechanism.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Depth of platform write-access vs blast radius.</w:t>
      </w:r>
      <w:r>
        <w:rPr>
          <w:rFonts w:ascii="Arial" w:hAnsi="Arial"/>
          <w:b w:val="0"/>
          <w:i w:val="0"/>
          <w:color w:val="374151"/>
          <w:sz w:val="21"/>
        </w:rPr>
        <w:t xml:space="preserve"> Deeper integration (repo write, CMS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write) enables autonomy but raises the cost of a defect. Least-privilege scoping and the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validation pipeline are the counterweights; security (NFR-5) is a product requirement, not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an ops afterthought.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Cost vs freshness.</w:t>
      </w:r>
      <w:r>
        <w:rPr>
          <w:rFonts w:ascii="Arial" w:hAnsi="Arial"/>
          <w:b w:val="0"/>
          <w:i w:val="0"/>
          <w:color w:val="374151"/>
          <w:sz w:val="21"/>
        </w:rPr>
        <w:t xml:space="preserve"> Continuous recrawls and AI analysis of 100k pages daily is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cost-prohibitive; the design needs prioritized/incremental recrawl and model tiering while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still honoring "continuously monitor" (§1).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10   </w:t>
      </w:r>
      <w:r>
        <w:rPr>
          <w:rFonts w:ascii="Arial" w:hAnsi="Arial"/>
          <w:b/>
          <w:i w:val="0"/>
          <w:color w:val="1E3A8A"/>
          <w:sz w:val="28"/>
        </w:rPr>
        <w:t>Open questions for the client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Answers change the design; assumptions used in the meantime are stated in each doc.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Multi-tenancy</w:t>
      </w:r>
      <w:r>
        <w:rPr>
          <w:rFonts w:ascii="Arial" w:hAnsi="Arial"/>
          <w:b w:val="0"/>
          <w:i w:val="0"/>
          <w:color w:val="374151"/>
          <w:sz w:val="21"/>
        </w:rPr>
        <w:t>: is this an internal tool for a known set of sites, or a SaaS product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onboarding third-party customers? (Drives auth, isolation, GSC OAuth verification effort,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and security posture. Current working assumption: multi-tenant SaaS, since §22 mentions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customer data and customer repositories.)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Approval surface</w:t>
      </w:r>
      <w:r>
        <w:rPr>
          <w:rFonts w:ascii="Arial" w:hAnsi="Arial"/>
          <w:b w:val="0"/>
          <w:i w:val="0"/>
          <w:color w:val="374151"/>
          <w:sz w:val="21"/>
        </w:rPr>
        <w:t>: for MEDIUM-risk changes, who merges the PR — the customer's developers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or an operator of the platform? (Drives notification/UX requirements.)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Conversion data</w:t>
      </w:r>
      <w:r>
        <w:rPr>
          <w:rFonts w:ascii="Arial" w:hAnsi="Arial"/>
          <w:b w:val="0"/>
          <w:i w:val="0"/>
          <w:color w:val="374151"/>
          <w:sz w:val="21"/>
        </w:rPr>
        <w:t>: rollback signals include conversion decline (§17) — which analytics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source, if any, will be available? (MVP assumption: GSC-only signals.)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Rankings source</w:t>
      </w:r>
      <w:r>
        <w:rPr>
          <w:rFonts w:ascii="Arial" w:hAnsi="Arial"/>
          <w:b w:val="0"/>
          <w:i w:val="0"/>
          <w:color w:val="374151"/>
          <w:sz w:val="21"/>
        </w:rPr>
        <w:t>: "check rankings" (§18) beyond GSC average position implies a rank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tracker or SERP API — is third-party SERP data acceptable at MVP, given cost and ToS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considerations? (MVP assumption: GSC position data only; SERP APIs deferred.)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Content authorship boundary</w:t>
      </w:r>
      <w:r>
        <w:rPr>
          <w:rFonts w:ascii="Arial" w:hAnsi="Arial"/>
          <w:b w:val="0"/>
          <w:i w:val="0"/>
          <w:color w:val="374151"/>
          <w:sz w:val="21"/>
        </w:rPr>
        <w:t>: for "content improvements / content gaps / FAQs" (§7), may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the system draft body content into a PR for human review, or only metadata/structural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changes? (Assumption: drafts allowed at MEDIUM tier, always human-merged.)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1E3A8A"/>
          <w:sz w:val="21"/>
        </w:rPr>
        <w:t>Target hosting</w:t>
      </w:r>
      <w:r>
        <w:rPr>
          <w:rFonts w:ascii="Arial" w:hAnsi="Arial"/>
          <w:b w:val="0"/>
          <w:i w:val="0"/>
          <w:color w:val="374151"/>
          <w:sz w:val="21"/>
        </w:rPr>
        <w:t>: are Next.js customers assumed on Vercel (instant-rollback APIs available)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or arbitrary hosts? (Assumption: Vercel-first, generic Git-revert fallback.)</w:t>
      </w:r>
    </w:p>
    <w:p>
      <w:pPr>
        <w:spacing w:before="480" w:after="120"/>
        <w:pBdr>
          <w:bottom w:val="single" w:sz="8" w:space="6" w:color="DBEAFE"/>
        </w:pBdr>
      </w:pPr>
      <w:r>
        <w:rPr>
          <w:rFonts w:ascii="Arial" w:hAnsi="Arial"/>
          <w:b/>
          <w:i w:val="0"/>
          <w:color w:val="DC2626"/>
          <w:sz w:val="28"/>
        </w:rPr>
        <w:t xml:space="preserve">11   </w:t>
      </w:r>
      <w:r>
        <w:rPr>
          <w:rFonts w:ascii="Arial" w:hAnsi="Arial"/>
          <w:b/>
          <w:i w:val="0"/>
          <w:color w:val="1E3A8A"/>
          <w:sz w:val="28"/>
        </w:rPr>
        <w:t>Traceability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Every subsequent document cites the FR/NFR IDs above. The feasibility matrix (Doc 02) covers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each FR area with an automation-level verdict; the architecture (Doc 03) maps components to the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FRs they serve; risks (Doc 06) reference the requirement they threaten; the MVP plan (Doc 07)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decomposes FR-by-FR into epics, modules, tasks, and acceptance criteria.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