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20"/>
          <w:szCs w:val="20"/>
        </w:rPr>
        <w:t xml:space="preserve">URBAN  |  INTEGRATED MUNICIPAL ERP  |  PRODUCT</w:t>
      </w:r>
    </w:p>
    <w:p>
      <w:pPr>
        <w:spacing w:after="240"/>
      </w:pPr>
      <w:r>
        <w:rPr>
          <w:b/>
          <w:bCs/>
          <w:color w:val="14325C"/>
          <w:sz w:val="52"/>
          <w:szCs w:val="52"/>
        </w:rPr>
        <w:t xml:space="preserve">Technical Architecture</w:t>
      </w:r>
    </w:p>
    <w:p>
      <w:pPr>
        <w:spacing w:after="120"/>
      </w:pPr>
      <w:r>
        <w:rPr>
          <w:color w:val="5B6675"/>
          <w:sz w:val="26"/>
          <w:szCs w:val="26"/>
        </w:rPr>
        <w:t xml:space="preserve">High-level and low-level design for the build team, all four phases</w:t>
      </w:r>
    </w:p>
    <w:p>
      <w:pPr>
        <w:spacing w:before="1200"/>
      </w:pPr>
      <w:r>
        <w:rPr>
          <w:color w:val="5B6675"/>
          <w:sz w:val="20"/>
          <w:szCs w:val="20"/>
        </w:rPr>
        <w:t xml:space="preserve">Hake Technologies  |  Version 0.1 draft  |  October 2026  |  Based on product SRS v0.35  |  Reference deployment: GWMC, Telangana</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675"/>
          <w:sz w:val="16"/>
          <w:szCs w:val="16"/>
        </w:rPr>
        <w:t xml:space="preserve">If page numbers are missing, right-click the contents and choose Update Field.</w:t>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22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Detail</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Document</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Urban Integrated Municipal ERP: Technical Architecture (HLD and LLD)</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Version</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0.1 draft for the build team, 22 October 2026</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Prepared by</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Hake Technologies</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Inputs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Urban ERP product SRS v0.35 (19 modules, 432 module requirements, PLT-FR-001 to 036, NFR-001 to 024, interfaces I-01 to I-43, external systems E-01 to E-60); Solution Architecture v0.1; GWMC Deployment SRS v0.28</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Audience</w:t>
            </w:r>
          </w:p>
        </w:tc>
        <w:tc>
          <w:tcPr>
            <w:tcW w:type="dxa" w:w="72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Solution and technical architects, module tech leads, developers, DevOps and SRE, security, QA</w:t>
            </w:r>
          </w:p>
        </w:tc>
      </w:tr>
      <w:tr>
        <w:trPr>
          <w:cantSplit/>
          <w:tblHeader w:val="false"/>
        </w:trPr>
        <w:tc>
          <w:tcPr>
            <w:tcW w:type="dxa" w:w="2409"/>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Status of choices</w:t>
            </w:r>
          </w:p>
        </w:tc>
        <w:tc>
          <w:tcPr>
            <w:tcW w:type="dxa" w:w="72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Technology choices are recommendations recorded as decisions (section 4). Changes go through the decision log, and this document is then updated</w:t>
            </w:r>
          </w:p>
        </w:tc>
      </w:tr>
    </w:tbl>
    <w:p>
      <w:pPr>
        <w:spacing w:after="40"/>
      </w:pPr>
    </w:p>
    <w:p>
      <w:pPr>
        <w:pStyle w:val="Heading1"/>
        <w:pageBreakBefore/>
      </w:pPr>
      <w:r>
        <w:t xml:space="preserve">1. Introduction</w:t>
      </w:r>
    </w:p>
    <w:p>
      <w:r>
        <w:t xml:space="preserve">This document turns the Urban product SRS into a buildable technical architecture. Part A (high-level design) covers the context, containers, services, data, integration, security, platform services, deployment and engineering practices. Part B (low-level design) defines the conventions every team follows and the platform services. It then has one chapter per rollout phase, separated by section breaks, giving each module its service design, data model, APIs, events, state model, jobs, configuration and adapters.</w:t>
      </w:r>
    </w:p>
    <w:p>
      <w:r>
        <w:t xml:space="preserve">The SRS remains the source of the requirements. Process IDs (for example PTX-P05), requirement IDs and interface IDs (I-xx) are used throughout, so every design element can be traced back to it.</w:t>
      </w:r>
    </w:p>
    <w:p>
      <w:pPr>
        <w:pStyle w:val="Heading3"/>
        <w:keepNext/>
      </w:pPr>
      <w:r>
        <w:t xml:space="preserve">Scope of the build</w:t>
      </w:r>
    </w:p>
    <w:p>
      <w:pPr>
        <w:pStyle w:val="ListParagraph"/>
        <w:numPr>
          <w:ilvl w:val="0"/>
          <w:numId w:val="2"/>
        </w:numPr>
      </w:pPr>
      <w:r>
        <w:t xml:space="preserve">One product release serving any ULB in any state: product core, state packs, ULB configuration (single- or multi-tenant)</w:t>
      </w:r>
    </w:p>
    <w:p>
      <w:pPr>
        <w:pStyle w:val="ListParagraph"/>
        <w:numPr>
          <w:ilvl w:val="0"/>
          <w:numId w:val="2"/>
        </w:numPr>
      </w:pPr>
      <w:r>
        <w:t xml:space="preserve">19 domain services, about 14 platform services, channels (citizen portal and app, staff console, offline field app, WhatsApp, IVRS, chatbot) and an adapter hub for 60 external systems</w:t>
      </w:r>
    </w:p>
    <w:p>
      <w:pPr>
        <w:pStyle w:val="ListParagraph"/>
        <w:numPr>
          <w:ilvl w:val="0"/>
          <w:numId w:val="2"/>
        </w:numPr>
      </w:pPr>
      <w:r>
        <w:t xml:space="preserve">Deployment on premises, in a State Data Centre or in MeitY-empanelled cloud from the same containers and Helm charts, including an offline installer</w:t>
      </w:r>
    </w:p>
    <w:p>
      <w:pPr>
        <w:pStyle w:val="ListParagraph"/>
        <w:numPr>
          <w:ilvl w:val="0"/>
          <w:numId w:val="2"/>
        </w:numPr>
      </w:pPr>
      <w:r>
        <w:t xml:space="preserve">Phased rollout as in the SRS: Phase 1 (1, 2, 3, 4, 9), Phase 2 (5, 6, 11, 13, 18), Phase 3 (7, 10, 12, 14, 17), Phase 4 (8, 15, 16, 19)</w:t>
      </w:r>
    </w:p>
    <w:p>
      <w:pPr>
        <w:pStyle w:val="Heading1"/>
        <w:pageBreakBefore/>
      </w:pPr>
      <w:r>
        <w:t xml:space="preserve">2. Architecture drivers</w:t>
      </w:r>
    </w:p>
    <w:p>
      <w:pPr>
        <w:pStyle w:val="Heading3"/>
        <w:keepNext/>
      </w:pPr>
      <w:r>
        <w:t xml:space="preserve">Quality attributes from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3212"/>
        <w:gridCol w:w="4178"/>
      </w:tblGrid>
      <w:tr>
        <w:trPr>
          <w:cantSplit/>
          <w:tblHeader/>
        </w:trPr>
        <w:tc>
          <w:tcPr>
            <w:tcW w:type="dxa" w:w="224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Driver</w:t>
            </w:r>
          </w:p>
        </w:tc>
        <w:tc>
          <w:tcPr>
            <w:tcW w:type="dxa" w:w="321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Target (SRS)</w:t>
            </w:r>
          </w:p>
        </w:tc>
        <w:tc>
          <w:tcPr>
            <w:tcW w:type="dxa" w:w="41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Architectural consequence</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Performance (NFR-001)</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Screens and search within 3 s at the 95th percentile</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Read models and caching, search index, paginated APIs, async heavy work</w:t>
            </w:r>
          </w:p>
        </w:tc>
      </w:tr>
      <w:tr>
        <w:trPr>
          <w:cantSplit/>
          <w:tblHeader w:val="false"/>
        </w:trPr>
        <w:tc>
          <w:tcPr>
            <w:tcW w:type="dxa" w:w="224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Peak capacity (NFR-002)</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5,000 citizens and 1,000 staff concurrently (GWMC)</w:t>
            </w:r>
          </w:p>
        </w:tc>
        <w:tc>
          <w:tcPr>
            <w:tcW w:type="dxa" w:w="4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Stateless services scaled horizontally; queue-backed payment and demand runs</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Integration (NFR-003)</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Events within 1 minute, at least once, idempotent consumers</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Kafka with transactional outbox, inbox de-duplication, dead-letter topics</w:t>
            </w:r>
          </w:p>
        </w:tc>
      </w:tr>
      <w:tr>
        <w:trPr>
          <w:cantSplit/>
          <w:tblHeader w:val="false"/>
        </w:trPr>
        <w:tc>
          <w:tcPr>
            <w:tcW w:type="dxa" w:w="224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Availability and recovery (NFR-004, 005)</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99.5% monthly; RPO 15 min, RTO 4 h</w:t>
            </w:r>
          </w:p>
        </w:tc>
        <w:tc>
          <w:tcPr>
            <w:tcW w:type="dxa" w:w="4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 pairs for data, 3-node Kafka and Kubernetes control plane, async DR replica</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Security (NFR-006, 019 to 024)</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TLS 1.2+, AES-256, ASVS L2 (L3 for identity, payments, signing, admin), MFA for all staff, CERT-In</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Central identity, step-up OTP, HSM, SIEM, secure SDLC with scans in CI</w:t>
            </w:r>
          </w:p>
        </w:tc>
      </w:tr>
      <w:tr>
        <w:trPr>
          <w:cantSplit/>
          <w:tblHeader w:val="false"/>
        </w:trPr>
        <w:tc>
          <w:tcPr>
            <w:tcW w:type="dxa" w:w="224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Privacy (NFR-008)</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DPDP Act 2023, Aadhaar masking</w:t>
            </w:r>
          </w:p>
        </w:tc>
        <w:tc>
          <w:tcPr>
            <w:tcW w:type="dxa" w:w="4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Aadhaar Data Vault, consent records, purpose tags on personal data</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Portability (NFR-011, 013)</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India hosting; no proprietary cloud services</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Open-source components on any Kubernetes; S3-compatible storage abstraction</w:t>
            </w:r>
          </w:p>
        </w:tc>
      </w:tr>
      <w:tr>
        <w:trPr>
          <w:cantSplit/>
          <w:tblHeader w:val="false"/>
        </w:trPr>
        <w:tc>
          <w:tcPr>
            <w:tcW w:type="dxa" w:w="224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Multi-tenancy (NFR-014, PLT-FR-020)</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 cross-tenant reads</w:t>
            </w:r>
          </w:p>
        </w:tc>
        <w:tc>
          <w:tcPr>
            <w:tcW w:type="dxa" w:w="4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tenant_id on every row with PostgreSQL row-level security; per-tenant keys</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Upgrades and onboarding (NFR-016, 017)</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Zero-downtime minor upgrades; tenant live in 1 day</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Backward-compatible migrations, versioned APIs and events, tenant bootstrap tooling</w:t>
            </w:r>
          </w:p>
        </w:tc>
      </w:tr>
      <w:tr>
        <w:trPr>
          <w:cantSplit/>
          <w:tblHeader w:val="false"/>
        </w:trPr>
        <w:tc>
          <w:tcPr>
            <w:tcW w:type="dxa" w:w="224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Languages (PLT-FR-021, 025)</w:t>
            </w:r>
          </w:p>
        </w:tc>
        <w:tc>
          <w:tcPr>
            <w:tcW w:type="dxa" w:w="321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English and 22 Indian languages</w:t>
            </w:r>
          </w:p>
        </w:tc>
        <w:tc>
          <w:tcPr>
            <w:tcW w:type="dxa" w:w="4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i18n bundles, Unicode end to end, Bhashini adapter, RTL support</w:t>
            </w:r>
          </w:p>
        </w:tc>
      </w:tr>
      <w:tr>
        <w:trPr>
          <w:cantSplit/>
          <w:tblHeader w:val="false"/>
        </w:trPr>
        <w:tc>
          <w:tcPr>
            <w:tcW w:type="dxa" w:w="224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Offline field work (PLT-FR-013)</w:t>
            </w:r>
          </w:p>
        </w:tc>
        <w:tc>
          <w:tcPr>
            <w:tcW w:type="dxa" w:w="321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app works without network</w:t>
            </w:r>
          </w:p>
        </w:tc>
        <w:tc>
          <w:tcPr>
            <w:tcW w:type="dxa" w:w="4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Local SQLite store, sync protocol with conflict rules</w:t>
            </w:r>
          </w:p>
        </w:tc>
      </w:tr>
    </w:tbl>
    <w:p>
      <w:pPr>
        <w:spacing w:after="40"/>
      </w:pPr>
    </w:p>
    <w:p>
      <w:pPr>
        <w:pStyle w:val="Heading3"/>
        <w:keepNext/>
      </w:pPr>
      <w:r>
        <w:t xml:space="preserve">Constraints</w:t>
      </w:r>
    </w:p>
    <w:p>
      <w:pPr>
        <w:pStyle w:val="ListParagraph"/>
        <w:numPr>
          <w:ilvl w:val="0"/>
          <w:numId w:val="2"/>
        </w:numPr>
      </w:pPr>
      <w:r>
        <w:t xml:space="preserve">Data stays in India (State Data Centre or MeitY-empanelled cloud); ICT logs kept 180 days in India (CERT-In)</w:t>
      </w:r>
    </w:p>
    <w:p>
      <w:pPr>
        <w:pStyle w:val="ListParagraph"/>
        <w:numPr>
          <w:ilvl w:val="0"/>
          <w:numId w:val="2"/>
        </w:numPr>
      </w:pPr>
      <w:r>
        <w:t xml:space="preserve">Open-source, licence-safe components only; no lock-in to a cloud provider's proprietary services</w:t>
      </w:r>
    </w:p>
    <w:p>
      <w:pPr>
        <w:pStyle w:val="ListParagraph"/>
        <w:numPr>
          <w:ilvl w:val="0"/>
          <w:numId w:val="2"/>
        </w:numPr>
      </w:pPr>
      <w:r>
        <w:t xml:space="preserve">Integrate-or-full per module: state systems such as CDMA, TG-bPASS and the state fire service may stay as the system of record</w:t>
      </w:r>
    </w:p>
    <w:p>
      <w:pPr>
        <w:pStyle w:val="ListParagraph"/>
        <w:numPr>
          <w:ilvl w:val="0"/>
          <w:numId w:val="2"/>
        </w:numPr>
      </w:pPr>
      <w:r>
        <w:t xml:space="preserve">Aadhaar numbers only in the Aadhaar Data Vault; OTP SMS through TRAI DLT-registered templates</w:t>
      </w:r>
    </w:p>
    <w:p>
      <w:pPr>
        <w:pStyle w:val="Heading1"/>
        <w:pageBreakBefore/>
      </w:pPr>
      <w:r>
        <w:t xml:space="preserve">3. Architecture principles</w:t>
      </w:r>
    </w:p>
    <w:p>
      <w:pPr>
        <w:pStyle w:val="ListParagraph"/>
        <w:numPr>
          <w:ilvl w:val="0"/>
          <w:numId w:val="2"/>
        </w:numPr>
      </w:pPr>
      <w:r>
        <w:rPr>
          <w:b/>
          <w:bCs/>
        </w:rPr>
        <w:t xml:space="preserve">One product, configured not forked:</w:t>
      </w:r>
      <w:r>
        <w:t xml:space="preserve"> state and ULB differences sit in state packs, rules (DMN) and configuration with effective dates</w:t>
      </w:r>
    </w:p>
    <w:p>
      <w:pPr>
        <w:pStyle w:val="ListParagraph"/>
        <w:numPr>
          <w:ilvl w:val="0"/>
          <w:numId w:val="2"/>
        </w:numPr>
      </w:pPr>
      <w:r>
        <w:rPr>
          <w:b/>
          <w:bCs/>
        </w:rPr>
        <w:t xml:space="preserve">Service per module, modular inside:</w:t>
      </w:r>
      <w:r>
        <w:t xml:space="preserve"> each module is one deployable service with its own schema. It is split further only when load or team size requires it</w:t>
      </w:r>
    </w:p>
    <w:p>
      <w:pPr>
        <w:pStyle w:val="ListParagraph"/>
        <w:numPr>
          <w:ilvl w:val="0"/>
          <w:numId w:val="2"/>
        </w:numPr>
      </w:pPr>
      <w:r>
        <w:rPr>
          <w:b/>
          <w:bCs/>
        </w:rPr>
        <w:t xml:space="preserve">Own your data:</w:t>
      </w:r>
      <w:r>
        <w:t xml:space="preserve"> a service writes only its own schema. Other services read through its API or react to its events. No cross-schema joins</w:t>
      </w:r>
    </w:p>
    <w:p>
      <w:pPr>
        <w:pStyle w:val="ListParagraph"/>
        <w:numPr>
          <w:ilvl w:val="0"/>
          <w:numId w:val="2"/>
        </w:numPr>
      </w:pPr>
      <w:r>
        <w:rPr>
          <w:b/>
          <w:bCs/>
        </w:rPr>
        <w:t xml:space="preserve">Events for facts, APIs for questions:</w:t>
      </w:r>
      <w:r>
        <w:t xml:space="preserve"> state changes are published as events; lookups (ULPIN, dues, availability) are synchronous APIs</w:t>
      </w:r>
    </w:p>
    <w:p>
      <w:pPr>
        <w:pStyle w:val="ListParagraph"/>
        <w:numPr>
          <w:ilvl w:val="0"/>
          <w:numId w:val="2"/>
        </w:numPr>
      </w:pPr>
      <w:r>
        <w:rPr>
          <w:b/>
          <w:bCs/>
        </w:rPr>
        <w:t xml:space="preserve">ULPIN as the spine:</w:t>
      </w:r>
      <w:r>
        <w:t xml:space="preserve"> every property-related record carries ULPIN and ward; spatial data in PostGIS with EPSG:4326 storage</w:t>
      </w:r>
    </w:p>
    <w:p>
      <w:pPr>
        <w:pStyle w:val="ListParagraph"/>
        <w:numPr>
          <w:ilvl w:val="0"/>
          <w:numId w:val="2"/>
        </w:numPr>
      </w:pPr>
      <w:r>
        <w:rPr>
          <w:b/>
          <w:bCs/>
        </w:rPr>
        <w:t xml:space="preserve">Secure by default:</w:t>
      </w:r>
      <w:r>
        <w:t xml:space="preserve"> zero-trust between services (mTLS), least privilege, step-up OTP for money and master changes, audit everything</w:t>
      </w:r>
    </w:p>
    <w:p>
      <w:pPr>
        <w:pStyle w:val="ListParagraph"/>
        <w:numPr>
          <w:ilvl w:val="0"/>
          <w:numId w:val="2"/>
        </w:numPr>
      </w:pPr>
      <w:r>
        <w:rPr>
          <w:b/>
          <w:bCs/>
        </w:rPr>
        <w:t xml:space="preserve">Idempotent and replayable:</w:t>
      </w:r>
      <w:r>
        <w:t xml:space="preserve"> every command carries an idempotency key and every consumer de-duplicates</w:t>
      </w:r>
    </w:p>
    <w:p>
      <w:pPr>
        <w:pStyle w:val="ListParagraph"/>
        <w:numPr>
          <w:ilvl w:val="0"/>
          <w:numId w:val="2"/>
        </w:numPr>
      </w:pPr>
      <w:r>
        <w:rPr>
          <w:b/>
          <w:bCs/>
        </w:rPr>
        <w:t xml:space="preserve">Observable:</w:t>
      </w:r>
      <w:r>
        <w:t xml:space="preserve"> OpenTelemetry traces, metrics and logs with tenant and module labels from day one</w:t>
      </w:r>
    </w:p>
    <w:p>
      <w:pPr>
        <w:pStyle w:val="ListParagraph"/>
        <w:numPr>
          <w:ilvl w:val="0"/>
          <w:numId w:val="2"/>
        </w:numPr>
      </w:pPr>
      <w:r>
        <w:rPr>
          <w:b/>
          <w:bCs/>
        </w:rPr>
        <w:t xml:space="preserve">Accessible and multilingual:</w:t>
      </w:r>
      <w:r>
        <w:t xml:space="preserve"> GIGW 3.0 / WCAG 2.1 AA, Unicode and translation keys, never hard-coded text</w:t>
      </w:r>
    </w:p>
    <w:p>
      <w:pPr>
        <w:pStyle w:val="Heading1"/>
        <w:pageBreakBefore/>
      </w:pPr>
      <w:r>
        <w:t xml:space="preserve">4. Key architecture decisions</w:t>
      </w:r>
    </w:p>
    <w:p>
      <w:r>
        <w:t xml:space="preserve">Each decision gets a full ADR in the repository (docs/adr). The summary below is the baseline for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2"/>
        <w:gridCol w:w="3419"/>
        <w:gridCol w:w="3109"/>
        <w:gridCol w:w="2178"/>
      </w:tblGrid>
      <w:tr>
        <w:trPr>
          <w:cantSplit/>
          <w:tblHeader/>
        </w:trPr>
        <w:tc>
          <w:tcPr>
            <w:tcW w:type="dxa" w:w="93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ADR</w:t>
            </w:r>
          </w:p>
        </w:tc>
        <w:tc>
          <w:tcPr>
            <w:tcW w:type="dxa" w:w="341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Decision</w:t>
            </w:r>
          </w:p>
        </w:tc>
        <w:tc>
          <w:tcPr>
            <w:tcW w:type="dxa" w:w="310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Rationale</w:t>
            </w:r>
          </w:p>
        </w:tc>
        <w:tc>
          <w:tcPr>
            <w:tcW w:type="dxa" w:w="21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Alternatives considered</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ADR-001</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One deployable service per module (19) plus platform services</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Matches SRS modules and teams; manageable operations</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Fine-grained microservices; single monolith</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ADR-002</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Node.js 22 LTS with TypeScript and NestJS for domain services</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SRS stack; one language across teams; strong typing</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Java Spring Boot, Go</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ADR-003</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PostgreSQL 16 with PostGIS, schema per service, row-level security for tenancy</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Spatial plus relational; open source; RLS isolation</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Database per tenant</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ADR-004</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Apache Kafka (KRaft) as event bus, CloudEvents JSON, Apicurio schema registry</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Durable replayable log; ordering by key (ULPIN)</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RabbitMQ, NATS</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ADR-005</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Transactional outbox and inbox for every event producer and consumer</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Exactly-once effect over at-least-once delivery</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Dual writes</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ADR-006</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Flowable (BPMN and DMN) as workflow and rules engine</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Apache 2.0 licence; BPMN for workflows, DMN for fees and taxes</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Camunda 7 CE (end of life), custom engine</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ADR-007</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Keycloak for identity with custom OTP, step-up and CAPTCHA extensions</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OIDC standard; MFA, passkeys, brokering to Meri Pehchaan</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Custom identity service</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ADR-008</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Apache APISIX as API gateway</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Apache 2.0; rate limits, JWT, mTLS plug-ins</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Kong OSS, NGINX</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ADR-009</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S3-compatible object storage abstraction (Ceph RGW on premises; provider S3 in cloud)</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Portability; licence-safe</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MinIO (AGPL)</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ADR-010</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OpenSearch for full-text, document content and cross-module search</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Indic analysers, highlights, open source</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PostgreSQL full-text only</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ADR-011</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Valkey for cache, sessions, rate counters and OTP state</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BSD licence fork of Redis</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Redis (licence change)</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ADR-012</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GeoServer for OGC services, vector tiles via PostGIS, CesiumJS 3D Tiles for 3D</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Standards; mature</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MapServer</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ADR-013</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React + TypeScript web, Flutter for citizen and field apps</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SRS stack; offline-first field app</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Native apps</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ADR-014</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Kubernetes (RKE2 or managed) with Helm and Argo CD (GitOps)</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Same release everywhere; offline installer</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VM deployment</w:t>
            </w:r>
          </w:p>
        </w:tc>
      </w:tr>
      <w:tr>
        <w:trPr>
          <w:cantSplit/>
          <w:tblHeader w:val="false"/>
        </w:trPr>
        <w:tc>
          <w:tcPr>
            <w:tcW w:type="dxa" w:w="93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ADR-015</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OpenBao (or HSM-backed KMS) for secrets; network HSM for signing and the Aadhaar vault</w:t>
            </w:r>
          </w:p>
        </w:tc>
        <w:tc>
          <w:tcPr>
            <w:tcW w:type="dxa" w:w="310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Licence-safe; FIPS 140-2 L3 for the vault</w:t>
            </w:r>
          </w:p>
        </w:tc>
        <w:tc>
          <w:tcPr>
            <w:tcW w:type="dxa" w:w="21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HashiCorp Vault (BSL)</w:t>
            </w:r>
          </w:p>
        </w:tc>
      </w:tr>
      <w:tr>
        <w:trPr>
          <w:cantSplit/>
          <w:tblHeader w:val="false"/>
        </w:trPr>
        <w:tc>
          <w:tcPr>
            <w:tcW w:type="dxa" w:w="93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ADR-016</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Warehouse on PostgreSQL (ClickHouse for the large tier) with Apache Superset</w:t>
            </w:r>
          </w:p>
        </w:tc>
        <w:tc>
          <w:tcPr>
            <w:tcW w:type="dxa" w:w="310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Cross-module MIS refreshed daily or faster</w:t>
            </w:r>
          </w:p>
        </w:tc>
        <w:tc>
          <w:tcPr>
            <w:tcW w:type="dxa" w:w="21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Proprietary BI</w:t>
            </w:r>
          </w:p>
        </w:tc>
      </w:tr>
    </w:tbl>
    <w:p>
      <w:pPr>
        <w:spacing w:after="40"/>
      </w:pP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Pr>
      <w:r>
        <w:t xml:space="preserve">5. System context</w:t>
      </w:r>
    </w:p>
    <w:p>
      <w:pPr>
        <w:spacing w:after="0" w:before="0" w:line="240" w:lineRule="auto"/>
        <w:jc w:val="center"/>
      </w:pPr>
      <w:r>
        <w:drawing>
          <wp:inline distT="0" distB="0" distL="0" distR="0">
            <wp:extent cx="5715000" cy="6934200"/>
            <wp:effectExtent t="0" r="0" b="0" l="0"/>
            <wp:docPr id="1" name="Figure 1. System context: actors and external system groups" descr="Figure 1. System context: actors and external system groups" title="Figure 1. System context: actors and external system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6934200"/>
                    </a:xfrm>
                    <a:prstGeom prst="rect">
                      <a:avLst/>
                    </a:prstGeom>
                  </pic:spPr>
                </pic:pic>
              </a:graphicData>
            </a:graphic>
          </wp:inline>
        </w:drawing>
      </w:r>
    </w:p>
    <w:p>
      <w:pPr>
        <w:jc w:val="center"/>
      </w:pPr>
      <w:r>
        <w:rPr>
          <w:i/>
          <w:iCs/>
          <w:color w:val="5B6675"/>
          <w:sz w:val="17"/>
          <w:szCs w:val="17"/>
        </w:rPr>
        <w:t xml:space="preserve">Figure 1. System context: actors and external system groups</w:t>
      </w:r>
    </w:p>
    <w:p>
      <w:pPr>
        <w:sectPr>
          <w:headerReference w:type="default" r:id="rId9"/>
          <w:footerReference w:type="default" r:id="rId10"/>
          <w:pgSz w:w="11906" w:h="16838" w:orient="portrait"/>
          <w:pgMar w:top="1134" w:right="1134" w:bottom="1134" w:left="1134" w:header="708" w:footer="708" w:gutter="0"/>
          <w:pgNumType/>
          <w:docGrid w:linePitch="360"/>
        </w:sectPr>
      </w:pPr>
    </w:p>
    <w:p>
      <w:pPr>
        <w:pStyle w:val="Heading3"/>
        <w:keepNext/>
      </w:pPr>
      <w:r>
        <w:t xml:space="preserve">External system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442"/>
        <w:gridCol w:w="4131"/>
      </w:tblGrid>
      <w:tr>
        <w:trPr>
          <w:cantSplit/>
          <w:tblHeader/>
        </w:trPr>
        <w:tc>
          <w:tcPr>
            <w:tcW w:type="dxa" w:w="206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Group</w:t>
            </w:r>
          </w:p>
        </w:tc>
        <w:tc>
          <w:tcPr>
            <w:tcW w:type="dxa" w:w="344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External systems (SRS IDs)</w:t>
            </w:r>
          </w:p>
        </w:tc>
        <w:tc>
          <w:tcPr>
            <w:tcW w:type="dxa" w:w="413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Integration style</w:t>
            </w:r>
          </w:p>
        </w:tc>
      </w:tr>
      <w:tr>
        <w:trPr>
          <w:cantSplit/>
          <w:tblHeader w:val="false"/>
        </w:trPr>
        <w:tc>
          <w:tcPr>
            <w:tcW w:type="dxa" w:w="20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Identity and documents</w:t>
            </w:r>
          </w:p>
        </w:tc>
        <w:tc>
          <w:tcPr>
            <w:tcW w:type="dxa" w:w="3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E-01, E-02, E-35, E-36, E-37</w:t>
            </w:r>
          </w:p>
        </w:tc>
        <w:tc>
          <w:tcPr>
            <w:tcW w:type="dxa" w:w="41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Payments and finance</w:t>
            </w:r>
          </w:p>
        </w:tc>
        <w:tc>
          <w:tcPr>
            <w:tcW w:type="dxa" w:w="3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E-03, E-04, E-08, E-26, E-27, E-28, E-57, E-58, E-59</w:t>
            </w:r>
          </w:p>
        </w:tc>
        <w:tc>
          <w:tcPr>
            <w:tcW w:type="dxa" w:w="41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platforms and authorities</w:t>
            </w:r>
          </w:p>
        </w:tc>
        <w:tc>
          <w:tcPr>
            <w:tcW w:type="dxa" w:w="3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E-05, E-06, E-07, E-18, E-31, E-40, E-42 to E-53</w:t>
            </w:r>
          </w:p>
        </w:tc>
        <w:tc>
          <w:tcPr>
            <w:tcW w:type="dxa" w:w="41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Land, registration and GIS</w:t>
            </w:r>
          </w:p>
        </w:tc>
        <w:tc>
          <w:tcPr>
            <w:tcW w:type="dxa" w:w="3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E-11, E-16, E-17</w:t>
            </w:r>
          </w:p>
        </w:tc>
        <w:tc>
          <w:tcPr>
            <w:tcW w:type="dxa" w:w="41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Utilities and IoT</w:t>
            </w:r>
          </w:p>
        </w:tc>
        <w:tc>
          <w:tcPr>
            <w:tcW w:type="dxa" w:w="3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E-13, E-14, E-15, E-19, E-20, E-49</w:t>
            </w:r>
          </w:p>
        </w:tc>
        <w:tc>
          <w:tcPr>
            <w:tcW w:type="dxa" w:w="41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Citizen channels and grievance</w:t>
            </w:r>
          </w:p>
        </w:tc>
        <w:tc>
          <w:tcPr>
            <w:tcW w:type="dxa" w:w="3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E-12, E-21 to E-25</w:t>
            </w:r>
          </w:p>
        </w:tc>
        <w:tc>
          <w:tcPr>
            <w:tcW w:type="dxa" w:w="41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Courts and legal</w:t>
            </w:r>
          </w:p>
        </w:tc>
        <w:tc>
          <w:tcPr>
            <w:tcW w:type="dxa" w:w="3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E-09</w:t>
            </w:r>
          </w:p>
        </w:tc>
        <w:tc>
          <w:tcPr>
            <w:tcW w:type="dxa" w:w="41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Language and trust</w:t>
            </w:r>
          </w:p>
        </w:tc>
        <w:tc>
          <w:tcPr>
            <w:tcW w:type="dxa" w:w="3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E-38, E-39</w:t>
            </w:r>
          </w:p>
        </w:tc>
        <w:tc>
          <w:tcPr>
            <w:tcW w:type="dxa" w:w="41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r>
        <w:trPr>
          <w:cantSplit/>
          <w:tblHeader w:val="false"/>
        </w:trPr>
        <w:tc>
          <w:tcPr>
            <w:tcW w:type="dxa" w:w="20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Business, schemes and others</w:t>
            </w:r>
          </w:p>
        </w:tc>
        <w:tc>
          <w:tcPr>
            <w:tcW w:type="dxa" w:w="3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E-10, E-29, E-30, E-32, E-33, E-34, E-41, E-54 to E-56, E-60</w:t>
            </w:r>
          </w:p>
        </w:tc>
        <w:tc>
          <w:tcPr>
            <w:tcW w:type="dxa" w:w="41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integration hub; REST/SOAP/SFTP per provider; retries, circuit breaker, audit</w:t>
            </w:r>
          </w:p>
        </w:tc>
      </w:tr>
    </w:tbl>
    <w:p>
      <w:pPr>
        <w:spacing w:after="40"/>
      </w:pP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pageBreakBefore/>
      </w:pPr>
      <w:r>
        <w:t xml:space="preserve">6. Container view</w:t>
      </w:r>
    </w:p>
    <w:p>
      <w:pPr>
        <w:spacing w:after="0" w:before="0" w:line="240" w:lineRule="auto"/>
        <w:jc w:val="center"/>
      </w:pPr>
      <w:r>
        <w:drawing>
          <wp:inline distT="0" distB="0" distL="0" distR="0">
            <wp:extent cx="9144000" cy="1876425"/>
            <wp:effectExtent t="0" r="0" b="0" l="0"/>
            <wp:docPr id="1" name="Figure 2. Containers: channels, edge, domain services, platform services, integration and data" descr="Figure 2. Containers: channels, edge, domain services, platform services, integration and data" title="Figure 2. Containers: channels, edge, domain services, platform services, integration an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144000" cy="1876425"/>
                    </a:xfrm>
                    <a:prstGeom prst="rect">
                      <a:avLst/>
                    </a:prstGeom>
                  </pic:spPr>
                </pic:pic>
              </a:graphicData>
            </a:graphic>
          </wp:inline>
        </w:drawing>
      </w:r>
    </w:p>
    <w:p>
      <w:pPr>
        <w:jc w:val="center"/>
      </w:pPr>
      <w:r>
        <w:rPr>
          <w:i/>
          <w:iCs/>
          <w:color w:val="5B6675"/>
          <w:sz w:val="17"/>
          <w:szCs w:val="17"/>
        </w:rPr>
        <w:t xml:space="preserve">Figure 2. Containers: channels, edge, domain services, platform services, integration and data</w:t>
      </w:r>
    </w:p>
    <w:p>
      <w:pPr>
        <w:sectPr>
          <w:headerReference w:type="default" r:id="rId13"/>
          <w:footerReference w:type="default" r:id="rId14"/>
          <w:pgSz w:w="16838" w:h="11906" w:orient="landscape"/>
          <w:pgMar w:top="1134" w:right="1134" w:bottom="1134" w:left="1134"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2258"/>
        <w:gridCol w:w="5423"/>
      </w:tblGrid>
      <w:tr>
        <w:trPr>
          <w:cantSplit/>
          <w:tblHeader/>
        </w:trPr>
        <w:tc>
          <w:tcPr>
            <w:tcW w:type="dxa" w:w="195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Container</w:t>
            </w:r>
          </w:p>
        </w:tc>
        <w:tc>
          <w:tcPr>
            <w:tcW w:type="dxa" w:w="225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Technology</w:t>
            </w:r>
          </w:p>
        </w:tc>
        <w:tc>
          <w:tcPr>
            <w:tcW w:type="dxa" w:w="54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Responsibility</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portal and app</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React SPA / Flutter</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 services, payments, applications, citizen account (e.g. MyGWMC); white-labelled per ULB</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Staff console</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React SPA</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module work queues, maps, dashboards, configuration console</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app</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Flutter + SQLite</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Offline tasks for inspections, surveys, readings, scans, attendance; plug-in per module</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WAF and CDN</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ModSecurity CRS / provider WAF</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OWASP filtering, bot rules, DDoS protection, static assets</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 gateway</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APISIX</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Routing, JWT validation, rate limits, request size limits, mTLS to services</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Identity</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Keycloak + extensions</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Citizen OTP login, staff MFA, passkeys, step-up, CAPTCHA, Meri Pehchaan brokering</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BFFs</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NestJS</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Channel-shaped APIs that aggregate several services; no business rules</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Domain services (19)</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NestJS, PostgreSQL schema each</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logic, own data, publish and consume events</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 and rules</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Flowable</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BPMN processes with SLA timers, delegation from HR org; DMN tables for fees, taxes, eligibility</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 services</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NestJS / Python workers</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 notification, GIS, document pipeline, search, tenant and config, audit</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Event bus</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Kafka + Apicurio</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Domain events, CDC from outbox, dead-letter topics</w:t>
            </w:r>
          </w:p>
        </w:tc>
      </w:tr>
      <w:tr>
        <w:trPr>
          <w:cantSplit/>
          <w:tblHeader w:val="false"/>
        </w:trPr>
        <w:tc>
          <w:tcPr>
            <w:tcW w:type="dxa" w:w="19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 hub</w:t>
            </w:r>
          </w:p>
        </w:tc>
        <w:tc>
          <w:tcPr>
            <w:tcW w:type="dxa" w:w="225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NestJS adapters</w:t>
            </w:r>
          </w:p>
        </w:tc>
        <w:tc>
          <w:tcPr>
            <w:tcW w:type="dxa" w:w="54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and central systems behind stable internal contracts</w:t>
            </w:r>
          </w:p>
        </w:tc>
      </w:tr>
      <w:tr>
        <w:trPr>
          <w:cantSplit/>
          <w:tblHeader w:val="false"/>
        </w:trPr>
        <w:tc>
          <w:tcPr>
            <w:tcW w:type="dxa" w:w="19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Data stores</w:t>
            </w:r>
          </w:p>
        </w:tc>
        <w:tc>
          <w:tcPr>
            <w:tcW w:type="dxa" w:w="225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PostgreSQL/PostGIS, object store, OpenSearch, Valkey, warehouse</w:t>
            </w:r>
          </w:p>
        </w:tc>
        <w:tc>
          <w:tcPr>
            <w:tcW w:type="dxa" w:w="54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Operational, document, search, cache and analytics data</w:t>
            </w:r>
          </w:p>
        </w:tc>
      </w:tr>
    </w:tbl>
    <w:p>
      <w:pPr>
        <w:spacing w:after="40"/>
      </w:pPr>
    </w:p>
    <w:p>
      <w:pPr>
        <w:pStyle w:val="Heading1"/>
        <w:pageBreakBefore/>
      </w:pPr>
      <w:r>
        <w:t xml:space="preserve">7. Service decomposition</w:t>
      </w:r>
    </w:p>
    <w:p>
      <w:r>
        <w:t xml:space="preserve">Domain services map one-to-one to SRS modules. Interfaces are counted as provided and consumed from the SRS interface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8"/>
        <w:gridCol w:w="3257"/>
        <w:gridCol w:w="814"/>
        <w:gridCol w:w="678"/>
        <w:gridCol w:w="950"/>
        <w:gridCol w:w="1085"/>
        <w:gridCol w:w="1226"/>
      </w:tblGrid>
      <w:tr>
        <w:trPr>
          <w:cantSplit/>
          <w:tblHeader/>
        </w:trPr>
        <w:tc>
          <w:tcPr>
            <w:tcW w:type="dxa" w:w="16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Service</w:t>
            </w:r>
          </w:p>
        </w:tc>
        <w:tc>
          <w:tcPr>
            <w:tcW w:type="dxa" w:w="325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Module</w:t>
            </w:r>
          </w:p>
        </w:tc>
        <w:tc>
          <w:tcPr>
            <w:tcW w:type="dxa" w:w="8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Schema</w:t>
            </w:r>
          </w:p>
        </w:tc>
        <w:tc>
          <w:tcPr>
            <w:tcW w:type="dxa" w:w="6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Phase</w:t>
            </w:r>
          </w:p>
        </w:tc>
        <w:tc>
          <w:tcPr>
            <w:tcW w:type="dxa" w:w="95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c>
          <w:tcPr>
            <w:tcW w:type="dxa" w:w="108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Requirements</w:t>
            </w:r>
          </w:p>
        </w:tc>
        <w:tc>
          <w:tcPr>
            <w:tcW w:type="dxa" w:w="122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Interfaces out / in</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 Property Tax &amp; Revenue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P1</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33</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38</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7 / 12</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 Water, Sewerage &amp; Utility Billing</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P1</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32</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35</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 13</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 Citizen Service Desk, Grievance &amp; RTI</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P1</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30</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30</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4 / 4</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Finance &amp; Accounting</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P1</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30</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30</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3 / 10</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9 Document Management System</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P1</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30</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31</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 / 4</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Trade Licence Management</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P2</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26</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26</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 8</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User Charges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P2</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23</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22</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5 / 10</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11 Building Permission Management / Integration</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P2</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22</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25</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9 / 8</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 Town Planning</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P2</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23</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24</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8 / 6</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 Fire NOC Management</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P2</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17</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 9</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7 Solid Waste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P3</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 10</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10 Engineering Project Management System</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P3</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20</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21</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7 / 5</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12 Street Light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P3</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12</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13</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5 / 6</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14 Parks &amp; Horticulture Management</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P3</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18</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 5</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 Inventory &amp; Stores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P3</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17</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 / 3</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 Payroll &amp; HR Management</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P4</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19</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19</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5 / 2</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15 Municipal Property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P4</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15</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15</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6 / 9</w:t>
            </w:r>
          </w:p>
        </w:tc>
      </w:tr>
      <w:tr>
        <w:trPr>
          <w:cantSplit/>
          <w:tblHeader w:val="false"/>
        </w:trPr>
        <w:tc>
          <w:tcPr>
            <w:tcW w:type="dxa" w:w="16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lgl-service</w:t>
            </w:r>
          </w:p>
        </w:tc>
        <w:tc>
          <w:tcPr>
            <w:tcW w:type="dxa" w:w="325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16 Legal Case Management</w:t>
            </w:r>
          </w:p>
        </w:tc>
        <w:tc>
          <w:tcPr>
            <w:tcW w:type="dxa" w:w="8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w:t>
            </w:r>
          </w:p>
        </w:tc>
        <w:tc>
          <w:tcPr>
            <w:tcW w:type="dxa" w:w="6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P4</w:t>
            </w:r>
          </w:p>
        </w:tc>
        <w:tc>
          <w:tcPr>
            <w:tcW w:type="dxa" w:w="9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17</w:t>
            </w:r>
          </w:p>
        </w:tc>
        <w:tc>
          <w:tcPr>
            <w:tcW w:type="dxa" w:w="108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17</w:t>
            </w:r>
          </w:p>
        </w:tc>
        <w:tc>
          <w:tcPr>
            <w:tcW w:type="dxa" w:w="122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4 / 3</w:t>
            </w:r>
          </w:p>
        </w:tc>
      </w:tr>
      <w:tr>
        <w:trPr>
          <w:cantSplit/>
          <w:tblHeader w:val="false"/>
        </w:trPr>
        <w:tc>
          <w:tcPr>
            <w:tcW w:type="dxa" w:w="16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gsc-service</w:t>
            </w:r>
          </w:p>
        </w:tc>
        <w:tc>
          <w:tcPr>
            <w:tcW w:type="dxa" w:w="325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19 Government Schemes Management</w:t>
            </w:r>
          </w:p>
        </w:tc>
        <w:tc>
          <w:tcPr>
            <w:tcW w:type="dxa" w:w="8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w:t>
            </w:r>
          </w:p>
        </w:tc>
        <w:tc>
          <w:tcPr>
            <w:tcW w:type="dxa" w:w="6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P4</w:t>
            </w:r>
          </w:p>
        </w:tc>
        <w:tc>
          <w:tcPr>
            <w:tcW w:type="dxa" w:w="9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14</w:t>
            </w:r>
          </w:p>
        </w:tc>
        <w:tc>
          <w:tcPr>
            <w:tcW w:type="dxa" w:w="108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14</w:t>
            </w:r>
          </w:p>
        </w:tc>
        <w:tc>
          <w:tcPr>
            <w:tcW w:type="dxa" w:w="122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5 / 3</w:t>
            </w:r>
          </w:p>
        </w:tc>
      </w:tr>
    </w:tbl>
    <w:p>
      <w:pPr>
        <w:spacing w:after="40"/>
      </w:pPr>
    </w:p>
    <w:p>
      <w:pPr>
        <w:pStyle w:val="Heading3"/>
        <w:keepNext/>
      </w:pPr>
      <w:r>
        <w:t xml:space="preserve">Platform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2487"/>
        <w:gridCol w:w="4664"/>
      </w:tblGrid>
      <w:tr>
        <w:trPr>
          <w:cantSplit/>
          <w:tblHeader/>
        </w:trPr>
        <w:tc>
          <w:tcPr>
            <w:tcW w:type="dxa" w:w="248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Service</w:t>
            </w:r>
          </w:p>
        </w:tc>
        <w:tc>
          <w:tcPr>
            <w:tcW w:type="dxa" w:w="248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SRS requirements</w:t>
            </w:r>
          </w:p>
        </w:tc>
        <w:tc>
          <w:tcPr>
            <w:tcW w:type="dxa" w:w="466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Notes</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identity (Keycloak)</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PLT-FR-001, 026, 028 to 032</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Realms per tenant or shared realm with tenant claim</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otp-service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PLT-FR-029, 030</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OTP issue and verify, DLT templates, fallback channels</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captcha-service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PLT-FR-031</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Self-hosted, risk-based, multilingual, accessible</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workflow (Flowable)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PLT-FR-003, 004</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BPMN and DMN, task lists, SLA timers</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tenant-config-service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PLT-FR-015 to 018, 022</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Tenants, boundaries, state packs, module enablement, branding</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payment-service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PLT-FR-008</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Intents, gateway and UPI, BBPS biller, reconciliation</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notification-service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PLT-FR-007</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SMS, WhatsApp, email, push, IVRS templates in many languages</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gis-service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PLT-FR-005, 036</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Layers, geocoding, spatial analysis, elevation and 3D</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pipeline (in dms-service)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PLT-FR-006, 025, 027</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Virus scan, OCR, translation, signing, anchoring</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search-service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PLT-FR-014</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Cross-module index with access filtering</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audit-service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PLT-FR-012, 035</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Immutable audit log, SIEM feed</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field-sync-service</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PLT-FR-013</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Offline sync for the field app</w:t>
            </w:r>
          </w:p>
        </w:tc>
      </w:tr>
      <w:tr>
        <w:trPr>
          <w:cantSplit/>
          <w:tblHeader w:val="false"/>
        </w:trPr>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reporting (warehouse)</w:t>
            </w:r>
          </w:p>
        </w:tc>
        <w:tc>
          <w:tcPr>
            <w:tcW w:type="dxa" w:w="248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PLT-FR-011</w:t>
            </w:r>
          </w:p>
        </w:tc>
        <w:tc>
          <w:tcPr>
            <w:tcW w:type="dxa" w:w="466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ELT from events, Superset dashboards</w:t>
            </w:r>
          </w:p>
        </w:tc>
      </w:tr>
      <w:tr>
        <w:trPr>
          <w:cantSplit/>
          <w:tblHeader w:val="false"/>
        </w:trPr>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adapter-hub</w:t>
            </w:r>
          </w:p>
        </w:tc>
        <w:tc>
          <w:tcPr>
            <w:tcW w:type="dxa" w:w="248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PLT-FR-019</w:t>
            </w:r>
          </w:p>
        </w:tc>
        <w:tc>
          <w:tcPr>
            <w:tcW w:type="dxa" w:w="466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External system adapters</w:t>
            </w:r>
          </w:p>
        </w:tc>
      </w:tr>
    </w:tbl>
    <w:p>
      <w:pPr>
        <w:spacing w:after="40"/>
      </w:pPr>
    </w:p>
    <w:p>
      <w:pPr>
        <w:pStyle w:val="Heading1"/>
        <w:pageBreakBefore/>
      </w:pPr>
      <w:r>
        <w:t xml:space="preserve">8. Data architecture</w:t>
      </w:r>
    </w:p>
    <w:p>
      <w:r>
        <w:t xml:space="preserve">The ULPIN hierarchy is the spine of the data model. Property Tax owns parcels, buildings, units and segments; other modules hold references (ULPIN, unit number) and read through the ptx API or the owner-change events.</w:t>
      </w:r>
    </w:p>
    <w:p>
      <w:pPr>
        <w:spacing w:after="0" w:before="0" w:line="240" w:lineRule="auto"/>
        <w:jc w:val="center"/>
      </w:pPr>
      <w:r>
        <w:drawing>
          <wp:inline distT="0" distB="0" distL="0" distR="0">
            <wp:extent cx="5905500" cy="5829300"/>
            <wp:effectExtent t="0" r="0" b="0" l="0"/>
            <wp:docPr id="1" name="Figure 3. Core property data model (ULPIN spine) and the main records that reference it" descr="Figure 3. Core property data model (ULPIN spine) and the main records that reference it" title="Figure 3. Core property data model (ULPIN spine) and the main records that referen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5829300"/>
                    </a:xfrm>
                    <a:prstGeom prst="rect">
                      <a:avLst/>
                    </a:prstGeom>
                  </pic:spPr>
                </pic:pic>
              </a:graphicData>
            </a:graphic>
          </wp:inline>
        </w:drawing>
      </w:r>
    </w:p>
    <w:p>
      <w:pPr>
        <w:jc w:val="center"/>
      </w:pPr>
      <w:r>
        <w:rPr>
          <w:i/>
          <w:iCs/>
          <w:color w:val="5B6675"/>
          <w:sz w:val="17"/>
          <w:szCs w:val="17"/>
        </w:rPr>
        <w:t xml:space="preserve">Figure 3. Core property data model (ULPIN spine) and the main records that reference it</w:t>
      </w:r>
    </w:p>
    <w:p>
      <w:pPr>
        <w:pStyle w:val="Heading3"/>
        <w:keepNext/>
      </w:pPr>
      <w:r>
        <w:t xml:space="preserve">Master data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2"/>
        <w:gridCol w:w="2331"/>
        <w:gridCol w:w="4665"/>
      </w:tblGrid>
      <w:tr>
        <w:trPr>
          <w:cantSplit/>
          <w:tblHeader/>
        </w:trPr>
        <w:tc>
          <w:tcPr>
            <w:tcW w:type="dxa" w:w="264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Master</w:t>
            </w:r>
          </w:p>
        </w:tc>
        <w:tc>
          <w:tcPr>
            <w:tcW w:type="dxa" w:w="233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Owner service</w:t>
            </w:r>
          </w:p>
        </w:tc>
        <w:tc>
          <w:tcPr>
            <w:tcW w:type="dxa" w:w="466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Consumers and mechanism</w:t>
            </w:r>
          </w:p>
        </w:tc>
      </w:tr>
      <w:tr>
        <w:trPr>
          <w:cantSplit/>
          <w:tblHeader w:val="false"/>
        </w:trPr>
        <w:tc>
          <w:tcPr>
            <w:tcW w:type="dxa" w:w="2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Parcel, building, unit, segment (ULPIN)</w:t>
            </w:r>
          </w:p>
        </w:tc>
        <w:tc>
          <w:tcPr>
            <w:tcW w:type="dxa" w:w="23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ptx-service</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All property-related modules via I-27 API and owner-change events</w:t>
            </w:r>
          </w:p>
        </w:tc>
      </w:tr>
      <w:tr>
        <w:trPr>
          <w:cantSplit/>
          <w:tblHeader w:val="false"/>
        </w:trPr>
        <w:tc>
          <w:tcPr>
            <w:tcW w:type="dxa" w:w="2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Citizen and consumer profile</w:t>
            </w:r>
          </w:p>
        </w:tc>
        <w:tc>
          <w:tcPr>
            <w:tcW w:type="dxa" w:w="23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identity + tenant-config</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All citizen-facing modules via token claims and profile API</w:t>
            </w:r>
          </w:p>
        </w:tc>
      </w:tr>
      <w:tr>
        <w:trPr>
          <w:cantSplit/>
          <w:tblHeader w:val="false"/>
        </w:trPr>
        <w:tc>
          <w:tcPr>
            <w:tcW w:type="dxa" w:w="2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Employee and org hierarchy</w:t>
            </w:r>
          </w:p>
        </w:tc>
        <w:tc>
          <w:tcPr>
            <w:tcW w:type="dxa" w:w="23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hrm-service (interim: tenant-config until Phase 4)</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 engine approver lookup; rosters I-15</w:t>
            </w:r>
          </w:p>
        </w:tc>
      </w:tr>
      <w:tr>
        <w:trPr>
          <w:cantSplit/>
          <w:tblHeader w:val="false"/>
        </w:trPr>
        <w:tc>
          <w:tcPr>
            <w:tcW w:type="dxa" w:w="2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Boundaries and planning layers</w:t>
            </w:r>
          </w:p>
        </w:tc>
        <w:tc>
          <w:tcPr>
            <w:tcW w:type="dxa" w:w="23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tpl-service (interim: gis-service in Phase 1)</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OGC services I-20</w:t>
            </w:r>
          </w:p>
        </w:tc>
      </w:tr>
      <w:tr>
        <w:trPr>
          <w:cantSplit/>
          <w:tblHeader w:val="false"/>
        </w:trPr>
        <w:tc>
          <w:tcPr>
            <w:tcW w:type="dxa" w:w="2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Road register</w:t>
            </w:r>
          </w:p>
        </w:tc>
        <w:tc>
          <w:tcPr>
            <w:tcW w:type="dxa" w:w="23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eng-service (interim: gis-service in Phase 1)</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I-32 API and layer</w:t>
            </w:r>
          </w:p>
        </w:tc>
      </w:tr>
      <w:tr>
        <w:trPr>
          <w:cantSplit/>
          <w:tblHeader w:val="false"/>
        </w:trPr>
        <w:tc>
          <w:tcPr>
            <w:tcW w:type="dxa" w:w="2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Establishments</w:t>
            </w:r>
          </w:p>
        </w:tc>
        <w:tc>
          <w:tcPr>
            <w:tcW w:type="dxa" w:w="23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trl-service</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I-22 events</w:t>
            </w:r>
          </w:p>
        </w:tc>
      </w:tr>
      <w:tr>
        <w:trPr>
          <w:cantSplit/>
          <w:tblHeader w:val="false"/>
        </w:trPr>
        <w:tc>
          <w:tcPr>
            <w:tcW w:type="dxa" w:w="2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Assets</w:t>
            </w:r>
          </w:p>
        </w:tc>
        <w:tc>
          <w:tcPr>
            <w:tcW w:type="dxa" w:w="23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mpm-service (interim: fin fixed asset schedule)</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I-42 events</w:t>
            </w:r>
          </w:p>
        </w:tc>
      </w:tr>
      <w:tr>
        <w:trPr>
          <w:cantSplit/>
          <w:tblHeader w:val="false"/>
        </w:trPr>
        <w:tc>
          <w:tcPr>
            <w:tcW w:type="dxa" w:w="26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Account heads and budget</w:t>
            </w:r>
          </w:p>
        </w:tc>
        <w:tc>
          <w:tcPr>
            <w:tcW w:type="dxa" w:w="233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fin-service</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I-24 events, posting API</w:t>
            </w:r>
          </w:p>
        </w:tc>
      </w:tr>
      <w:tr>
        <w:trPr>
          <w:cantSplit/>
          <w:tblHeader w:val="false"/>
        </w:trPr>
        <w:tc>
          <w:tcPr>
            <w:tcW w:type="dxa" w:w="26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Documents</w:t>
            </w:r>
          </w:p>
        </w:tc>
        <w:tc>
          <w:tcPr>
            <w:tcW w:type="dxa" w:w="233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dms-service</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I-16 API, I-29 dossier</w:t>
            </w:r>
          </w:p>
        </w:tc>
      </w:tr>
    </w:tbl>
    <w:p>
      <w:pPr>
        <w:spacing w:after="40"/>
      </w:pPr>
    </w:p>
    <w:p>
      <w:pPr>
        <w:pStyle w:val="Heading3"/>
        <w:keepNext/>
      </w:pPr>
      <w:r>
        <w:t xml:space="preserve">Tenancy and isolation</w:t>
      </w:r>
    </w:p>
    <w:p>
      <w:pPr>
        <w:pStyle w:val="ListParagraph"/>
        <w:numPr>
          <w:ilvl w:val="0"/>
          <w:numId w:val="2"/>
        </w:numPr>
      </w:pPr>
      <w:r>
        <w:t xml:space="preserve">Every table carries tenant_id; PostgreSQL row-level security policies filter on the session variable app.tenant_id set by the service from the token</w:t>
      </w:r>
    </w:p>
    <w:p>
      <w:pPr>
        <w:pStyle w:val="ListParagraph"/>
        <w:numPr>
          <w:ilvl w:val="0"/>
          <w:numId w:val="2"/>
        </w:numPr>
      </w:pPr>
      <w:r>
        <w:t xml:space="preserve">Object storage paths and OpenSearch indices are prefixed by tenant; encryption keys per tenant in the KMS</w:t>
      </w:r>
    </w:p>
    <w:p>
      <w:pPr>
        <w:pStyle w:val="ListParagraph"/>
        <w:numPr>
          <w:ilvl w:val="0"/>
          <w:numId w:val="2"/>
        </w:numPr>
      </w:pPr>
      <w:r>
        <w:t xml:space="preserve">A single-tenant installation uses the same schema with one tenant row, so the code path is identical</w:t>
      </w:r>
    </w:p>
    <w:p>
      <w:pPr>
        <w:pStyle w:val="ListParagraph"/>
        <w:numPr>
          <w:ilvl w:val="0"/>
          <w:numId w:val="2"/>
        </w:numPr>
      </w:pPr>
      <w:r>
        <w:t xml:space="preserve">Backups and exports per tenant (PLT-FR-020, 023); cross-tenant dashboards only through the warehouse for authorised state users</w:t>
      </w:r>
    </w:p>
    <w:p>
      <w:pPr>
        <w:pStyle w:val="Heading3"/>
        <w:keepNext/>
      </w:pPr>
      <w:r>
        <w:t xml:space="preserve">Data lifecycle and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3419"/>
        <w:gridCol w:w="4665"/>
      </w:tblGrid>
      <w:tr>
        <w:trPr>
          <w:cantSplit/>
          <w:tblHeader/>
        </w:trPr>
        <w:tc>
          <w:tcPr>
            <w:tcW w:type="dxa" w:w="155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Class</w:t>
            </w:r>
          </w:p>
        </w:tc>
        <w:tc>
          <w:tcPr>
            <w:tcW w:type="dxa" w:w="341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Examples</w:t>
            </w:r>
          </w:p>
        </w:tc>
        <w:tc>
          <w:tcPr>
            <w:tcW w:type="dxa" w:w="466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Controls</w:t>
            </w:r>
          </w:p>
        </w:tc>
      </w:tr>
      <w:tr>
        <w:trPr>
          <w:cantSplit/>
          <w:tblHeader w:val="false"/>
        </w:trPr>
        <w:tc>
          <w:tcPr>
            <w:tcW w:type="dxa" w:w="155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Public</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Ward maps, permit register, published lists</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Cached, CDN</w:t>
            </w:r>
          </w:p>
        </w:tc>
      </w:tr>
      <w:tr>
        <w:trPr>
          <w:cantSplit/>
          <w:tblHeader w:val="false"/>
        </w:trPr>
        <w:tc>
          <w:tcPr>
            <w:tcW w:type="dxa" w:w="155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Internal</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Workflow notes, inspection reports</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Role and ward access</w:t>
            </w:r>
          </w:p>
        </w:tc>
      </w:tr>
      <w:tr>
        <w:trPr>
          <w:cantSplit/>
          <w:tblHeader w:val="false"/>
        </w:trPr>
        <w:tc>
          <w:tcPr>
            <w:tcW w:type="dxa" w:w="155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Personal</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Names, mobile, address, bank details</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Field encryption for bank details, masking in UI and logs, DPDP consent and purpose tags</w:t>
            </w:r>
          </w:p>
        </w:tc>
      </w:tr>
      <w:tr>
        <w:trPr>
          <w:cantSplit/>
          <w:tblHeader w:val="false"/>
        </w:trPr>
        <w:tc>
          <w:tcPr>
            <w:tcW w:type="dxa" w:w="155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Sensitive</w:t>
            </w:r>
          </w:p>
        </w:tc>
        <w:tc>
          <w:tcPr>
            <w:tcW w:type="dxa" w:w="34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Aadhaar number</w:t>
            </w:r>
          </w:p>
        </w:tc>
        <w:tc>
          <w:tcPr>
            <w:tcW w:type="dxa" w:w="46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Only in the Aadhaar Data Vault (HSM keys); services keep the reference key</w:t>
            </w:r>
          </w:p>
        </w:tc>
      </w:tr>
      <w:tr>
        <w:trPr>
          <w:cantSplit/>
          <w:tblHeader w:val="false"/>
        </w:trPr>
        <w:tc>
          <w:tcPr>
            <w:tcW w:type="dxa" w:w="155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Financial and legal</w:t>
            </w:r>
          </w:p>
        </w:tc>
        <w:tc>
          <w:tcPr>
            <w:tcW w:type="dxa" w:w="34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Receipts, journals, case files</w:t>
            </w:r>
          </w:p>
        </w:tc>
        <w:tc>
          <w:tcPr>
            <w:tcW w:type="dxa" w:w="46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Immutable records, corrections by reversal; legal hold; long retention as per state rules</w:t>
            </w:r>
          </w:p>
        </w:tc>
      </w:tr>
    </w:tbl>
    <w:p>
      <w:pPr>
        <w:spacing w:after="40"/>
      </w:pPr>
    </w:p>
    <w:p>
      <w:r>
        <w:t xml:space="preserve">Analytics: events and CDC feed the warehouse (staging, then conformed dimensions such as ward, ULPIN, module and date, then marts per module). Superset dashboards read the marts, and personal data is pseudonymised there.</w:t>
      </w:r>
    </w:p>
    <w:p>
      <w:pPr>
        <w:sectPr>
          <w:headerReference w:type="default" r:id="rId15"/>
          <w:footerReference w:type="default" r:id="rId16"/>
          <w:pgSz w:w="11906" w:h="16838" w:orient="portrait"/>
          <w:pgMar w:top="1134" w:right="1134" w:bottom="1134" w:left="1134" w:header="708" w:footer="708" w:gutter="0"/>
          <w:pgNumType/>
          <w:docGrid w:linePitch="360"/>
        </w:sectPr>
      </w:pPr>
    </w:p>
    <w:p>
      <w:pPr>
        <w:pStyle w:val="Heading1"/>
        <w:pageBreakBefore/>
      </w:pPr>
      <w:r>
        <w:t xml:space="preserve">9. Integration architecture</w:t>
      </w:r>
    </w:p>
    <w:p>
      <w:pPr>
        <w:pStyle w:val="Heading3"/>
        <w:keepNext/>
      </w:pPr>
      <w:r>
        <w:t xml:space="preserve">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965"/>
        <w:gridCol w:w="4449"/>
      </w:tblGrid>
      <w:tr>
        <w:trPr>
          <w:cantSplit/>
          <w:tblHeader/>
        </w:trPr>
        <w:tc>
          <w:tcPr>
            <w:tcW w:type="dxa" w:w="222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Need</w:t>
            </w:r>
          </w:p>
        </w:tc>
        <w:tc>
          <w:tcPr>
            <w:tcW w:type="dxa" w:w="296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Pattern</w:t>
            </w:r>
          </w:p>
        </w:tc>
        <w:tc>
          <w:tcPr>
            <w:tcW w:type="dxa" w:w="4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Notes</w:t>
            </w:r>
          </w:p>
        </w:tc>
      </w:tr>
      <w:tr>
        <w:trPr>
          <w:cantSplit/>
          <w:tblHeader w:val="false"/>
        </w:trPr>
        <w:tc>
          <w:tcPr>
            <w:tcW w:type="dxa" w:w="22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Lookup another module's data</w:t>
            </w:r>
          </w:p>
        </w:tc>
        <w:tc>
          <w:tcPr>
            <w:tcW w:type="dxa" w:w="29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Synchronous REST through the service mesh</w:t>
            </w:r>
          </w:p>
        </w:tc>
        <w:tc>
          <w:tcPr>
            <w:tcW w:type="dxa" w:w="4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Timeouts 2 s, retries with jitter, circuit breaker; cache with short TTL where safe</w:t>
            </w:r>
          </w:p>
        </w:tc>
      </w:tr>
      <w:tr>
        <w:trPr>
          <w:cantSplit/>
          <w:tblHeader w:val="false"/>
        </w:trPr>
        <w:tc>
          <w:tcPr>
            <w:tcW w:type="dxa" w:w="22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Notify a state change</w:t>
            </w:r>
          </w:p>
        </w:tc>
        <w:tc>
          <w:tcPr>
            <w:tcW w:type="dxa" w:w="29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Domain event on Kafka via transactional outbox</w:t>
            </w:r>
          </w:p>
        </w:tc>
        <w:tc>
          <w:tcPr>
            <w:tcW w:type="dxa" w:w="4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Key = business key (ULPIN, application no.) for ordering</w:t>
            </w:r>
          </w:p>
        </w:tc>
      </w:tr>
      <w:tr>
        <w:trPr>
          <w:cantSplit/>
          <w:tblHeader w:val="false"/>
        </w:trPr>
        <w:tc>
          <w:tcPr>
            <w:tcW w:type="dxa" w:w="22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Long-running cross-module process</w:t>
            </w:r>
          </w:p>
        </w:tc>
        <w:tc>
          <w:tcPr>
            <w:tcW w:type="dxa" w:w="29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Choreography by events; BPMN orchestration only inside a module</w:t>
            </w:r>
          </w:p>
        </w:tc>
        <w:tc>
          <w:tcPr>
            <w:tcW w:type="dxa" w:w="4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Each step idempotent; compensation events where needed</w:t>
            </w:r>
          </w:p>
        </w:tc>
      </w:tr>
      <w:tr>
        <w:trPr>
          <w:cantSplit/>
          <w:tblHeader w:val="false"/>
        </w:trPr>
        <w:tc>
          <w:tcPr>
            <w:tcW w:type="dxa" w:w="22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Bulk or nightly exchange</w:t>
            </w:r>
          </w:p>
        </w:tc>
        <w:tc>
          <w:tcPr>
            <w:tcW w:type="dxa" w:w="29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Batch event or file over the adapter hub</w:t>
            </w:r>
          </w:p>
        </w:tc>
        <w:tc>
          <w:tcPr>
            <w:tcW w:type="dxa" w:w="4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Control totals reconciled (e.g. I-09 daily totals)</w:t>
            </w:r>
          </w:p>
        </w:tc>
      </w:tr>
      <w:tr>
        <w:trPr>
          <w:cantSplit/>
          <w:tblHeader w:val="false"/>
        </w:trPr>
        <w:tc>
          <w:tcPr>
            <w:tcW w:type="dxa" w:w="222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External system</w:t>
            </w:r>
          </w:p>
        </w:tc>
        <w:tc>
          <w:tcPr>
            <w:tcW w:type="dxa" w:w="296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Adapter in the hub with an anti-corruption layer</w:t>
            </w:r>
          </w:p>
        </w:tc>
        <w:tc>
          <w:tcPr>
            <w:tcW w:type="dxa" w:w="4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Mapping, retries, dead letters, audit of every call</w:t>
            </w:r>
          </w:p>
        </w:tc>
      </w:tr>
      <w:tr>
        <w:trPr>
          <w:cantSplit/>
          <w:tblHeader w:val="false"/>
        </w:trPr>
        <w:tc>
          <w:tcPr>
            <w:tcW w:type="dxa" w:w="222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Interim arrangement (phase crossing)</w:t>
            </w:r>
          </w:p>
        </w:tc>
        <w:tc>
          <w:tcPr>
            <w:tcW w:type="dxa" w:w="296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Stub consumer or manual entry screen behind the same contract</w:t>
            </w:r>
          </w:p>
        </w:tc>
        <w:tc>
          <w:tcPr>
            <w:tcW w:type="dxa" w:w="4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Swapped for the real provider at cut-over without consumer change</w:t>
            </w:r>
          </w:p>
        </w:tc>
      </w:tr>
    </w:tbl>
    <w:p>
      <w:pPr>
        <w:spacing w:after="40"/>
      </w:pPr>
    </w:p>
    <w:p>
      <w:pPr>
        <w:pStyle w:val="Heading3"/>
        <w:keepNext/>
      </w:pPr>
      <w:r>
        <w:t xml:space="preserve">Event naming and envelope</w:t>
      </w:r>
    </w:p>
    <w:p>
      <w:r>
        <w:t xml:space="preserve">Topics are named urban.&lt;service&gt;.&lt;entity&gt;.&lt;event&gt;.v&lt;major&gt;, for example urban.bpm.occupancy-certificate.issued.v1. Every event uses the CloudEvents 1.0 JSON envelope with a registered JSON Schema.</w:t>
      </w:r>
    </w:p>
    <w:p>
      <w:pPr>
        <w:shd w:fill="F3F4F6" w:color="auto" w:val="clear"/>
        <w:spacing w:after="0" w:before="60" w:line="240" w:lineRule="auto"/>
        <w:ind w:left="120" w:right="120"/>
      </w:pPr>
      <w:r>
        <w:rPr>
          <w:rFonts w:ascii="Consolas" w:cs="Consolas" w:eastAsia="Consolas" w:hAnsi="Consolas"/>
          <w:color w:val="1F2937"/>
          <w:sz w:val="16"/>
          <w:szCs w:val="16"/>
        </w:rPr>
        <w:t xml:space="preserve">{</w:t>
      </w:r>
    </w:p>
    <w:p>
      <w:pPr>
        <w:shd w:fill="F3F4F6" w:color="auto" w:val="clear"/>
        <w:spacing w:after="0" w:before="0" w:line="240" w:lineRule="auto"/>
        <w:ind w:left="120" w:right="120"/>
      </w:pPr>
      <w:r>
        <w:rPr>
          <w:rFonts w:ascii="Consolas" w:cs="Consolas" w:eastAsia="Consolas" w:hAnsi="Consolas"/>
          <w:color w:val="1F2937"/>
          <w:sz w:val="16"/>
          <w:szCs w:val="16"/>
        </w:rPr>
        <w:t xml:space="preserve">  "specversion": "1.0",</w:t>
      </w:r>
    </w:p>
    <w:p>
      <w:pPr>
        <w:shd w:fill="F3F4F6" w:color="auto" w:val="clear"/>
        <w:spacing w:after="0" w:before="0" w:line="240" w:lineRule="auto"/>
        <w:ind w:left="120" w:right="120"/>
      </w:pPr>
      <w:r>
        <w:rPr>
          <w:rFonts w:ascii="Consolas" w:cs="Consolas" w:eastAsia="Consolas" w:hAnsi="Consolas"/>
          <w:color w:val="1F2937"/>
          <w:sz w:val="16"/>
          <w:szCs w:val="16"/>
        </w:rPr>
        <w:t xml:space="preserve">  "id": "01JBX4T7V9Q2S6M8N3K5R1W0YZ",</w:t>
      </w:r>
    </w:p>
    <w:p>
      <w:pPr>
        <w:shd w:fill="F3F4F6" w:color="auto" w:val="clear"/>
        <w:spacing w:after="0" w:before="0" w:line="240" w:lineRule="auto"/>
        <w:ind w:left="120" w:right="120"/>
      </w:pPr>
      <w:r>
        <w:rPr>
          <w:rFonts w:ascii="Consolas" w:cs="Consolas" w:eastAsia="Consolas" w:hAnsi="Consolas"/>
          <w:color w:val="1F2937"/>
          <w:sz w:val="16"/>
          <w:szCs w:val="16"/>
        </w:rPr>
        <w:t xml:space="preserve">  "source": "urban/bpm-service",</w:t>
      </w:r>
    </w:p>
    <w:p>
      <w:pPr>
        <w:shd w:fill="F3F4F6" w:color="auto" w:val="clear"/>
        <w:spacing w:after="0" w:before="0" w:line="240" w:lineRule="auto"/>
        <w:ind w:left="120" w:right="120"/>
      </w:pPr>
      <w:r>
        <w:rPr>
          <w:rFonts w:ascii="Consolas" w:cs="Consolas" w:eastAsia="Consolas" w:hAnsi="Consolas"/>
          <w:color w:val="1F2937"/>
          <w:sz w:val="16"/>
          <w:szCs w:val="16"/>
        </w:rPr>
        <w:t xml:space="preserve">  "type": "urban.bpm.occupancy-certificate.issued.v1",</w:t>
      </w:r>
    </w:p>
    <w:p>
      <w:pPr>
        <w:shd w:fill="F3F4F6" w:color="auto" w:val="clear"/>
        <w:spacing w:after="0" w:before="0" w:line="240" w:lineRule="auto"/>
        <w:ind w:left="120" w:right="120"/>
      </w:pPr>
      <w:r>
        <w:rPr>
          <w:rFonts w:ascii="Consolas" w:cs="Consolas" w:eastAsia="Consolas" w:hAnsi="Consolas"/>
          <w:color w:val="1F2937"/>
          <w:sz w:val="16"/>
          <w:szCs w:val="16"/>
        </w:rPr>
        <w:t xml:space="preserve">  "time": "2026-10-22T10:15:00+05:30",</w:t>
      </w:r>
    </w:p>
    <w:p>
      <w:pPr>
        <w:shd w:fill="F3F4F6" w:color="auto" w:val="clear"/>
        <w:spacing w:after="0" w:before="0" w:line="240" w:lineRule="auto"/>
        <w:ind w:left="120" w:right="120"/>
      </w:pPr>
      <w:r>
        <w:rPr>
          <w:rFonts w:ascii="Consolas" w:cs="Consolas" w:eastAsia="Consolas" w:hAnsi="Consolas"/>
          <w:color w:val="1F2937"/>
          <w:sz w:val="16"/>
          <w:szCs w:val="16"/>
        </w:rPr>
        <w:t xml:space="preserve">  "subject": "ULPIN TS-WGL-0012345",</w:t>
      </w:r>
    </w:p>
    <w:p>
      <w:pPr>
        <w:shd w:fill="F3F4F6" w:color="auto" w:val="clear"/>
        <w:spacing w:after="0" w:before="0" w:line="240" w:lineRule="auto"/>
        <w:ind w:left="120" w:right="120"/>
      </w:pPr>
      <w:r>
        <w:rPr>
          <w:rFonts w:ascii="Consolas" w:cs="Consolas" w:eastAsia="Consolas" w:hAnsi="Consolas"/>
          <w:color w:val="1F2937"/>
          <w:sz w:val="16"/>
          <w:szCs w:val="16"/>
        </w:rPr>
        <w:t xml:space="preserve">  "tenantid": "gwmc",</w:t>
      </w:r>
    </w:p>
    <w:p>
      <w:pPr>
        <w:shd w:fill="F3F4F6" w:color="auto" w:val="clear"/>
        <w:spacing w:after="0" w:before="0" w:line="240" w:lineRule="auto"/>
        <w:ind w:left="120" w:right="120"/>
      </w:pPr>
      <w:r>
        <w:rPr>
          <w:rFonts w:ascii="Consolas" w:cs="Consolas" w:eastAsia="Consolas" w:hAnsi="Consolas"/>
          <w:color w:val="1F2937"/>
          <w:sz w:val="16"/>
          <w:szCs w:val="16"/>
        </w:rPr>
        <w:t xml:space="preserve">  "traceparent": "00-4bf92f3577b34da6a3ce929d0e0e4736-00f067aa0ba902b7-01",</w:t>
      </w:r>
    </w:p>
    <w:p>
      <w:pPr>
        <w:shd w:fill="F3F4F6" w:color="auto" w:val="clear"/>
        <w:spacing w:after="0" w:before="0" w:line="240" w:lineRule="auto"/>
        <w:ind w:left="120" w:right="120"/>
      </w:pPr>
      <w:r>
        <w:rPr>
          <w:rFonts w:ascii="Consolas" w:cs="Consolas" w:eastAsia="Consolas" w:hAnsi="Consolas"/>
          <w:color w:val="1F2937"/>
          <w:sz w:val="16"/>
          <w:szCs w:val="16"/>
        </w:rPr>
        <w:t xml:space="preserve">  "datacontenttype": "application/json",</w:t>
      </w:r>
    </w:p>
    <w:p>
      <w:pPr>
        <w:shd w:fill="F3F4F6" w:color="auto" w:val="clear"/>
        <w:spacing w:after="0" w:before="0" w:line="240" w:lineRule="auto"/>
        <w:ind w:left="120" w:right="120"/>
      </w:pPr>
      <w:r>
        <w:rPr>
          <w:rFonts w:ascii="Consolas" w:cs="Consolas" w:eastAsia="Consolas" w:hAnsi="Consolas"/>
          <w:color w:val="1F2937"/>
          <w:sz w:val="16"/>
          <w:szCs w:val="16"/>
        </w:rPr>
        <w:t xml:space="preserve">  "data": { "ocNo": "OC/2026/00123", "ulpin": "TS-WGL-0012345", "units": [ { "unitNo": "TS-WGL-0012345-B01-U0001", "usage": "residential", "plinthAreaSqm": 112.5 } ] }</w:t>
      </w:r>
    </w:p>
    <w:p>
      <w:pPr>
        <w:shd w:fill="F3F4F6" w:color="auto" w:val="clear"/>
        <w:spacing w:after="120" w:before="0" w:line="240" w:lineRule="auto"/>
        <w:ind w:left="120" w:right="120"/>
      </w:pPr>
      <w:r>
        <w:rPr>
          <w:rFonts w:ascii="Consolas" w:cs="Consolas" w:eastAsia="Consolas" w:hAnsi="Consolas"/>
          <w:color w:val="1F2937"/>
          <w:sz w:val="16"/>
          <w:szCs w:val="16"/>
        </w:rPr>
        <w:t xml:space="preserve">}</w:t>
      </w:r>
    </w:p>
    <w:p>
      <w:pPr>
        <w:spacing w:after="0" w:before="0" w:line="240" w:lineRule="auto"/>
        <w:jc w:val="center"/>
      </w:pPr>
      <w:r>
        <w:drawing>
          <wp:inline distT="0" distB="0" distL="0" distR="0">
            <wp:extent cx="6096000" cy="2028825"/>
            <wp:effectExtent t="0" r="0" b="0" l="0"/>
            <wp:docPr id="1" name="Figure 4. Occupancy certificate to Property Tax (I-03): outbox, Kafka, idempotent consumer" descr="Figure 4. Occupancy certificate to Property Tax (I-03): outbox, Kafka, idempotent consumer" title="Figure 4. Occupancy certificate to Property Tax (I-03): outbox, Kafka, idempotent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2028825"/>
                    </a:xfrm>
                    <a:prstGeom prst="rect">
                      <a:avLst/>
                    </a:prstGeom>
                  </pic:spPr>
                </pic:pic>
              </a:graphicData>
            </a:graphic>
          </wp:inline>
        </w:drawing>
      </w:r>
    </w:p>
    <w:p>
      <w:pPr>
        <w:jc w:val="center"/>
      </w:pPr>
      <w:r>
        <w:rPr>
          <w:i/>
          <w:iCs/>
          <w:color w:val="5B6675"/>
          <w:sz w:val="17"/>
          <w:szCs w:val="17"/>
        </w:rPr>
        <w:t xml:space="preserve">Figure 4. Occupancy certificate to Property Tax (I-03): outbox, Kafka, idempotent consumer</w:t>
      </w:r>
    </w:p>
    <w:p>
      <w:pPr>
        <w:sectPr>
          <w:headerReference w:type="default" r:id="rId17"/>
          <w:footerReference w:type="default" r:id="rId18"/>
          <w:pgSz w:w="11906" w:h="16838" w:orient="portrait"/>
          <w:pgMar w:top="1134" w:right="1134" w:bottom="1134" w:left="1134" w:header="708" w:footer="708" w:gutter="0"/>
          <w:pgNumType/>
          <w:docGrid w:linePitch="360"/>
        </w:sectPr>
      </w:pPr>
    </w:p>
    <w:p>
      <w:pPr>
        <w:pStyle w:val="Heading1"/>
        <w:pageBreakBefore/>
      </w:pPr>
      <w:r>
        <w:t xml:space="preserve">10. Security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782"/>
        <w:gridCol w:w="1929"/>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Area</w:t>
            </w:r>
          </w:p>
        </w:tc>
        <w:tc>
          <w:tcPr>
            <w:tcW w:type="dxa" w:w="57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Design</w:t>
            </w:r>
          </w:p>
        </w:tc>
        <w:tc>
          <w:tcPr>
            <w:tcW w:type="dxa" w:w="192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SRS reference</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Citizen and business login</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Mobile OTP (DLT SMS, WhatsApp fallback), Meri Pehchaan brokering, DigiLocker and Entity Locker linking</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PLT-FR-026, 028, 030</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Staff and admin login</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Keycloak MFA: TOTP authenticator or passkey (WebAuthn); SMS only as fallback; passkeys mandatory for admins</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PLT-FR-028, NFR-020</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Step-up OTP</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Transaction-bound OTP or TOTP; token exchange issues short-lived acr=stepup token bound to a transaction hash (amount, payee)</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PLT-FR-029</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Authorisation</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RBAC roles from Keycloak plus ABAC scope (tenant, ward, department, confidentiality) enforced in services by a policy library</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PLT-FR-002</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Segregation of duties</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Maker-checker on money, demand and masters; time-bound delegation; just-in-time privileged access; logged break-glass</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PLT-FR-033</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Bot protection</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Risk-based self-hosted CAPTCHA on public forms and OTP requests; gateway rate limits per IP, device and mobile</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PLT-FR-031, NFR-021</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Sessions</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Idle and absolute timeouts, concurrent session limits for staff, new-device alerts</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PLT-FR-032</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Service-to-service</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mTLS (service mesh), workload identities, network policies default-deny</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NFR-006</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Data protection</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TLS 1.2+; AES-256 at rest; field encryption for bank details; Aadhaar Data Vault with HSM keys</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NFR-006, 024, PLT-FR-034</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Secrets and keys</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OpenBao with HSM auto-unseal; keys rotated yearly; signing keys in HSM</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NFR-024</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Audit and monitoring</w:t>
            </w:r>
          </w:p>
        </w:tc>
        <w:tc>
          <w:tcPr>
            <w:tcW w:type="dxa" w:w="57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Audit service (append-only, hash-chained), SIEM (Wazuh) with alert rules for brute force, OTP abuse, mass download, privilege change; logs 180 days in India; NTP to NIC/NPL</w:t>
            </w:r>
          </w:p>
        </w:tc>
        <w:tc>
          <w:tcPr>
            <w:tcW w:type="dxa" w:w="192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PLT-FR-012, 035, NFR-022</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Secure SDLC</w:t>
            </w:r>
          </w:p>
        </w:tc>
        <w:tc>
          <w:tcPr>
            <w:tcW w:type="dxa" w:w="57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Threat model per module, SAST, dependency and container scans, DAST, VAPT by CERT-In empanelled auditor before each phase</w:t>
            </w:r>
          </w:p>
        </w:tc>
        <w:tc>
          <w:tcPr>
            <w:tcW w:type="dxa" w:w="192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NFR-019, 023</w:t>
            </w:r>
          </w:p>
        </w:tc>
      </w:tr>
    </w:tbl>
    <w:p>
      <w:pPr>
        <w:spacing w:after="40"/>
      </w:pPr>
    </w:p>
    <w:p>
      <w:pPr>
        <w:spacing w:after="0" w:before="0" w:line="240" w:lineRule="auto"/>
        <w:jc w:val="center"/>
      </w:pPr>
      <w:r>
        <w:drawing>
          <wp:inline distT="0" distB="0" distL="0" distR="0">
            <wp:extent cx="6096000" cy="4076700"/>
            <wp:effectExtent t="0" r="0" b="0" l="0"/>
            <wp:docPr id="1" name="Figure 5. Staff sign-in and step-up OTP for a high-risk action" descr="Figure 5. Staff sign-in and step-up OTP for a high-risk action" title="Figure 5. Staff sign-in and step-up OTP for a high-ri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4076700"/>
                    </a:xfrm>
                    <a:prstGeom prst="rect">
                      <a:avLst/>
                    </a:prstGeom>
                  </pic:spPr>
                </pic:pic>
              </a:graphicData>
            </a:graphic>
          </wp:inline>
        </w:drawing>
      </w:r>
    </w:p>
    <w:p>
      <w:pPr>
        <w:jc w:val="center"/>
      </w:pPr>
      <w:r>
        <w:rPr>
          <w:i/>
          <w:iCs/>
          <w:color w:val="5B6675"/>
          <w:sz w:val="17"/>
          <w:szCs w:val="17"/>
        </w:rPr>
        <w:t xml:space="preserve">Figure 5. Staff sign-in and step-up OTP for a high-risk action</w:t>
      </w:r>
    </w:p>
    <w:p>
      <w:pPr>
        <w:sectPr>
          <w:headerReference w:type="default" r:id="rId19"/>
          <w:footerReference w:type="default" r:id="rId20"/>
          <w:pgSz w:w="11906" w:h="16838" w:orient="portrait"/>
          <w:pgMar w:top="1134" w:right="1134" w:bottom="1134" w:left="1134" w:header="708" w:footer="708" w:gutter="0"/>
          <w:pgNumType/>
          <w:docGrid w:linePitch="360"/>
        </w:sectPr>
      </w:pPr>
    </w:p>
    <w:p>
      <w:pPr>
        <w:pStyle w:val="Heading1"/>
        <w:pageBreakBefore/>
      </w:pPr>
      <w:r>
        <w:t xml:space="preserve">11. Platform services (HLD)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cantSplit/>
          <w:tblHeader/>
        </w:trPr>
        <w:tc>
          <w:tcPr>
            <w:tcW w:type="dxa" w:w="198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Service</w:t>
            </w:r>
          </w:p>
        </w:tc>
        <w:tc>
          <w:tcPr>
            <w:tcW w:type="dxa" w:w="765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 summary</w:t>
            </w:r>
          </w:p>
        </w:tc>
      </w:tr>
      <w:tr>
        <w:trPr>
          <w:cantSplit/>
          <w:tblHeader w:val="false"/>
        </w:trPr>
        <w:tc>
          <w:tcPr>
            <w:tcW w:type="dxa" w:w="198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Workflow and rules</w:t>
            </w:r>
          </w:p>
        </w:tc>
        <w:tc>
          <w:tcPr>
            <w:tcW w:type="dxa" w:w="76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Flowable runs BPMN per module process (for example the assessment approval) with SLA timers and escalation; approvers are resolved through hrm org API (tenant-config in Phase 1). DMN tables hold taxes, fees, tariffs, penalties and eligibility, versioned with effective dates and edited in the configuration console with maker-checker.</w:t>
            </w:r>
          </w:p>
        </w:tc>
      </w:tr>
      <w:tr>
        <w:trPr>
          <w:cantSplit/>
          <w:tblHeader w:val="false"/>
        </w:trPr>
        <w:tc>
          <w:tcPr>
            <w:tcW w:type="dxa" w:w="198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 elevation and 3D</w:t>
            </w:r>
          </w:p>
        </w:tc>
        <w:tc>
          <w:tcPr>
            <w:tcW w:type="dxa" w:w="76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PostGIS stores geometries (EPSG:4326, area computed in local UTM 44N for Telangana); GeoServer publishes WMS/WFS and vector tiles; base map and imagery tiles cached; elevation rasters (DTM, DSM, nDSM) as Cloud Optimised GeoTIFFs with analysis endpoints (slope, inundation, height); 3D buildings as 3D Tiles for CesiumJS (PLT-FR-036).</w:t>
            </w:r>
          </w:p>
        </w:tc>
      </w:tr>
      <w:tr>
        <w:trPr>
          <w:cantSplit/>
          <w:tblHeader w:val="false"/>
        </w:trPr>
        <w:tc>
          <w:tcPr>
            <w:tcW w:type="dxa" w:w="198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pipeline</w:t>
            </w:r>
          </w:p>
        </w:tc>
        <w:tc>
          <w:tcPr>
            <w:tcW w:type="dxa" w:w="76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Upload to object storage through pre-signed URLs, then virus scan, OCR with language detection (Indic models via Bhashini or on-premises), searchable PDF/A, indexing in OpenSearch, eSign or DSC, Merkle-batched hash anchoring on a permissioned ledger, and DigiLocker issue.</w:t>
            </w:r>
          </w:p>
        </w:tc>
      </w:tr>
      <w:tr>
        <w:trPr>
          <w:cantSplit/>
          <w:tblHeader w:val="false"/>
        </w:trPr>
        <w:tc>
          <w:tcPr>
            <w:tcW w:type="dxa" w:w="198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w:t>
            </w:r>
          </w:p>
        </w:tc>
        <w:tc>
          <w:tcPr>
            <w:tcW w:type="dxa" w:w="76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Payment intents with idempotency keys; gateway and UPI adapters with signed webhooks and server-side status checks; BBPS biller; daily settlement and bank reconciliation with Finance.</w:t>
            </w:r>
          </w:p>
        </w:tc>
      </w:tr>
      <w:tr>
        <w:trPr>
          <w:cantSplit/>
          <w:tblHeader w:val="false"/>
        </w:trPr>
        <w:tc>
          <w:tcPr>
            <w:tcW w:type="dxa" w:w="198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Notification</w:t>
            </w:r>
          </w:p>
        </w:tc>
        <w:tc>
          <w:tcPr>
            <w:tcW w:type="dxa" w:w="76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Template store with language variants; channel routing (SMS DLT, WhatsApp, email, push, IVRS); preference and quiet hours; delivery receipts; OTP traffic on a priority lane.</w:t>
            </w:r>
          </w:p>
        </w:tc>
      </w:tr>
      <w:tr>
        <w:trPr>
          <w:cantSplit/>
          <w:tblHeader w:val="false"/>
        </w:trPr>
        <w:tc>
          <w:tcPr>
            <w:tcW w:type="dxa" w:w="198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Search</w:t>
            </w:r>
          </w:p>
        </w:tc>
        <w:tc>
          <w:tcPr>
            <w:tcW w:type="dxa" w:w="76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Per-module projections indexed in OpenSearch with access attributes (tenant, ward, confidentiality); queries filtered by the caller's scope; transliteration and fuzzy matching.</w:t>
            </w:r>
          </w:p>
        </w:tc>
      </w:tr>
      <w:tr>
        <w:trPr>
          <w:cantSplit/>
          <w:tblHeader w:val="false"/>
        </w:trPr>
        <w:tc>
          <w:tcPr>
            <w:tcW w:type="dxa" w:w="198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 and configuration</w:t>
            </w:r>
          </w:p>
        </w:tc>
        <w:tc>
          <w:tcPr>
            <w:tcW w:type="dxa" w:w="76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Tenant bootstrap (boundaries, departments, branding, enabled modules, integrate or full mode), state pack loader, configuration with versions and effective dates, feature flags.</w:t>
            </w:r>
          </w:p>
        </w:tc>
      </w:tr>
      <w:tr>
        <w:trPr>
          <w:cantSplit/>
          <w:tblHeader w:val="false"/>
        </w:trPr>
        <w:tc>
          <w:tcPr>
            <w:tcW w:type="dxa" w:w="198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Field sync</w:t>
            </w:r>
          </w:p>
        </w:tc>
        <w:tc>
          <w:tcPr>
            <w:tcW w:type="dxa" w:w="76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Task packages downloaded per user and area; local SQLite; changes uploaded as commands with client IDs; server resolves conflicts by rule (server wins for masters, last-writer with audit for observations); photos uploaded separately with geo-tags.</w:t>
            </w:r>
          </w:p>
        </w:tc>
      </w:tr>
      <w:tr>
        <w:trPr>
          <w:cantSplit/>
          <w:tblHeader w:val="false"/>
        </w:trPr>
        <w:tc>
          <w:tcPr>
            <w:tcW w:type="dxa" w:w="198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Reporting</w:t>
            </w:r>
          </w:p>
        </w:tc>
        <w:tc>
          <w:tcPr>
            <w:tcW w:type="dxa" w:w="76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ELT from events and CDC into the warehouse every 15 minutes; dashboards for Commissioner and modules; scheduled reports; state cross-tenant views.</w:t>
            </w:r>
          </w:p>
        </w:tc>
      </w:tr>
    </w:tbl>
    <w:p>
      <w:pPr>
        <w:spacing w:after="40"/>
      </w:pPr>
    </w:p>
    <w:p>
      <w:pPr>
        <w:spacing w:after="0" w:before="0" w:line="240" w:lineRule="auto"/>
        <w:jc w:val="center"/>
      </w:pPr>
      <w:r>
        <w:drawing>
          <wp:inline distT="0" distB="0" distL="0" distR="0">
            <wp:extent cx="6096000" cy="3181350"/>
            <wp:effectExtent t="0" r="0" b="0" l="0"/>
            <wp:docPr id="1" name="Figure 6. Citizen payment from dues to realisation (payment service, module, Finance)" descr="Figure 6. Citizen payment from dues to realisation (payment service, module, Finance)" title="Figure 6. Citizen payment from dues to realisation (payment service, module,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181350"/>
                    </a:xfrm>
                    <a:prstGeom prst="rect">
                      <a:avLst/>
                    </a:prstGeom>
                  </pic:spPr>
                </pic:pic>
              </a:graphicData>
            </a:graphic>
          </wp:inline>
        </w:drawing>
      </w:r>
    </w:p>
    <w:p>
      <w:pPr>
        <w:jc w:val="center"/>
      </w:pPr>
      <w:r>
        <w:rPr>
          <w:i/>
          <w:iCs/>
          <w:color w:val="5B6675"/>
          <w:sz w:val="17"/>
          <w:szCs w:val="17"/>
        </w:rPr>
        <w:t xml:space="preserve">Figure 6. Citizen payment from dues to realisation (payment service, module, Finance)</w:t>
      </w:r>
    </w:p>
    <w:p>
      <w:pPr>
        <w:sectPr>
          <w:headerReference w:type="default" r:id="rId21"/>
          <w:footerReference w:type="default" r:id="rId22"/>
          <w:pgSz w:w="11906" w:h="16838" w:orient="portrait"/>
          <w:pgMar w:top="1134" w:right="1134" w:bottom="1134" w:left="1134" w:header="708" w:footer="708" w:gutter="0"/>
          <w:pgNumType/>
          <w:docGrid w:linePitch="360"/>
        </w:sectPr>
      </w:pPr>
    </w:p>
    <w:p>
      <w:pPr>
        <w:pStyle w:val="Heading1"/>
        <w:pageBreakBefore/>
      </w:pPr>
      <w:r>
        <w:t xml:space="preserve">12. Deployment architecture</w:t>
      </w:r>
    </w:p>
    <w:p>
      <w:pPr>
        <w:spacing w:after="0" w:before="0" w:line="240" w:lineRule="auto"/>
        <w:jc w:val="center"/>
      </w:pPr>
      <w:r>
        <w:drawing>
          <wp:inline distT="0" distB="0" distL="0" distR="0">
            <wp:extent cx="8401050" cy="4191000"/>
            <wp:effectExtent t="0" r="0" b="0" l="0"/>
            <wp:docPr id="1" name="Figure 7. Reference deployment in a State Data Centre with DR site" descr="Figure 7. Reference deployment in a State Data Centre with DR site" title="Figure 7. Reference deployment in a State Data Centre with D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401050" cy="4191000"/>
                    </a:xfrm>
                    <a:prstGeom prst="rect">
                      <a:avLst/>
                    </a:prstGeom>
                  </pic:spPr>
                </pic:pic>
              </a:graphicData>
            </a:graphic>
          </wp:inline>
        </w:drawing>
      </w:r>
    </w:p>
    <w:p>
      <w:pPr>
        <w:jc w:val="center"/>
      </w:pPr>
      <w:r>
        <w:rPr>
          <w:i/>
          <w:iCs/>
          <w:color w:val="5B6675"/>
          <w:sz w:val="17"/>
          <w:szCs w:val="17"/>
        </w:rPr>
        <w:t xml:space="preserve">Figure 7. Reference deployment in a State Data Centre with DR site</w:t>
      </w:r>
    </w:p>
    <w:p>
      <w:pPr>
        <w:sectPr>
          <w:headerReference w:type="default" r:id="rId23"/>
          <w:footerReference w:type="default" r:id="rId24"/>
          <w:pgSz w:w="16838" w:h="11906" w:orient="landscape"/>
          <w:pgMar w:top="1134" w:right="1134" w:bottom="1134" w:left="1134" w:header="708" w:footer="708" w:gutter="0"/>
          <w:pgNumType/>
          <w:docGrid w:linePitch="360"/>
        </w:sectPr>
      </w:pPr>
    </w:p>
    <w:p>
      <w:pPr>
        <w:pStyle w:val="Heading3"/>
        <w:keepNext/>
      </w:pPr>
      <w:r>
        <w:t xml:space="preserve">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819"/>
        <w:gridCol w:w="3213"/>
      </w:tblGrid>
      <w:tr>
        <w:trPr>
          <w:cantSplit/>
          <w:tblHeader/>
        </w:trPr>
        <w:tc>
          <w:tcPr>
            <w:tcW w:type="dxa" w:w="16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Environment</w:t>
            </w:r>
          </w:p>
        </w:tc>
        <w:tc>
          <w:tcPr>
            <w:tcW w:type="dxa" w:w="481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c>
          <w:tcPr>
            <w:tcW w:type="dxa" w:w="32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Dev</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Continuous deployment from main</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Synthetic</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Test / QA</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Integration, contract, DAST, performance</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Synthetic and masked</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UAT</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Business acceptance per phase</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Masked copy of migrated data</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Training</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User training</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Synthetic</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Production</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Live</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Live</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DR</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Warm standby</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Replicated live</w:t>
            </w:r>
          </w:p>
        </w:tc>
      </w:tr>
    </w:tbl>
    <w:p>
      <w:pPr>
        <w:spacing w:after="40"/>
      </w:pPr>
    </w:p>
    <w:p>
      <w:pPr>
        <w:pStyle w:val="Heading3"/>
        <w:keepNext/>
      </w:pPr>
      <w:r>
        <w:t xml:space="preserve">Sizing tiers (indicative, confirmed by performance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1"/>
        <w:gridCol w:w="1627"/>
        <w:gridCol w:w="2002"/>
        <w:gridCol w:w="2503"/>
        <w:gridCol w:w="2505"/>
      </w:tblGrid>
      <w:tr>
        <w:trPr>
          <w:cantSplit/>
          <w:tblHeader/>
        </w:trPr>
        <w:tc>
          <w:tcPr>
            <w:tcW w:type="dxa" w:w="100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Tier</w:t>
            </w:r>
          </w:p>
        </w:tc>
        <w:tc>
          <w:tcPr>
            <w:tcW w:type="dxa" w:w="16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ULB size</w:t>
            </w:r>
          </w:p>
        </w:tc>
        <w:tc>
          <w:tcPr>
            <w:tcW w:type="dxa" w:w="20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Kubernetes workers</w:t>
            </w:r>
          </w:p>
        </w:tc>
        <w:tc>
          <w:tcPr>
            <w:tcW w:type="dxa" w:w="25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Database</w:t>
            </w:r>
          </w:p>
        </w:tc>
        <w:tc>
          <w:tcPr>
            <w:tcW w:type="dxa" w:w="250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Other</w:t>
            </w:r>
          </w:p>
        </w:tc>
      </w:tr>
      <w:tr>
        <w:trPr>
          <w:cantSplit/>
          <w:tblHeader w:val="false"/>
        </w:trPr>
        <w:tc>
          <w:tcPr>
            <w:tcW w:type="dxa" w:w="100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Small</w:t>
            </w:r>
          </w:p>
        </w:tc>
        <w:tc>
          <w:tcPr>
            <w:tcW w:type="dxa" w:w="1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Up to 25,000 properties</w:t>
            </w:r>
          </w:p>
        </w:tc>
        <w:tc>
          <w:tcPr>
            <w:tcW w:type="dxa" w:w="20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3 nodes (8 vCPU, 32 GB)</w:t>
            </w:r>
          </w:p>
        </w:tc>
        <w:tc>
          <w:tcPr>
            <w:tcW w:type="dxa" w:w="25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primary + 1 replica (8 vCPU, 32 GB)</w:t>
            </w:r>
          </w:p>
        </w:tc>
        <w:tc>
          <w:tcPr>
            <w:tcW w:type="dxa" w:w="2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Shared or 3-node Kafka, 1 OpenSearch</w:t>
            </w:r>
          </w:p>
        </w:tc>
      </w:tr>
      <w:tr>
        <w:trPr>
          <w:cantSplit/>
          <w:tblHeader w:val="false"/>
        </w:trPr>
        <w:tc>
          <w:tcPr>
            <w:tcW w:type="dxa" w:w="100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Medium (GWMC)</w:t>
            </w:r>
          </w:p>
        </w:tc>
        <w:tc>
          <w:tcPr>
            <w:tcW w:type="dxa" w:w="16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25,000 to 2 lakh properties</w:t>
            </w:r>
          </w:p>
        </w:tc>
        <w:tc>
          <w:tcPr>
            <w:tcW w:type="dxa" w:w="20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5 to 8 nodes (16 vCPU, 64 GB)</w:t>
            </w:r>
          </w:p>
        </w:tc>
        <w:tc>
          <w:tcPr>
            <w:tcW w:type="dxa" w:w="25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Primary + sync replica (16 vCPU, 128 GB, NVMe)</w:t>
            </w:r>
          </w:p>
        </w:tc>
        <w:tc>
          <w:tcPr>
            <w:tcW w:type="dxa" w:w="250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3 Kafka, 3 OpenSearch, 4 object store nodes, HSM pair</w:t>
            </w:r>
          </w:p>
        </w:tc>
      </w:tr>
      <w:tr>
        <w:trPr>
          <w:cantSplit/>
          <w:tblHeader w:val="false"/>
        </w:trPr>
        <w:tc>
          <w:tcPr>
            <w:tcW w:type="dxa" w:w="100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Large</w:t>
            </w:r>
          </w:p>
        </w:tc>
        <w:tc>
          <w:tcPr>
            <w:tcW w:type="dxa" w:w="16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Above 2 lakh, metros</w:t>
            </w:r>
          </w:p>
        </w:tc>
        <w:tc>
          <w:tcPr>
            <w:tcW w:type="dxa" w:w="20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12+ nodes, autoscaling</w:t>
            </w:r>
          </w:p>
        </w:tc>
        <w:tc>
          <w:tcPr>
            <w:tcW w:type="dxa" w:w="25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Primary + replicas, read pools; ClickHouse warehouse</w:t>
            </w:r>
          </w:p>
        </w:tc>
        <w:tc>
          <w:tcPr>
            <w:tcW w:type="dxa" w:w="250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Dedicated GIS and OCR node pools</w:t>
            </w:r>
          </w:p>
        </w:tc>
      </w:tr>
    </w:tbl>
    <w:p>
      <w:pPr>
        <w:spacing w:after="40"/>
      </w:pPr>
    </w:p>
    <w:p>
      <w:pPr>
        <w:pStyle w:val="Heading3"/>
        <w:keepNext/>
      </w:pPr>
      <w:r>
        <w:t xml:space="preserve">Resilience, backup and DR</w:t>
      </w:r>
    </w:p>
    <w:p>
      <w:pPr>
        <w:pStyle w:val="ListParagraph"/>
        <w:numPr>
          <w:ilvl w:val="0"/>
          <w:numId w:val="2"/>
        </w:numPr>
      </w:pPr>
      <w:r>
        <w:t xml:space="preserve">Synchronous replica in the primary site; asynchronous WAL streaming to DR (RPO 15 minutes or better); PITR backups with 35-day retention, immutable copies</w:t>
      </w:r>
    </w:p>
    <w:p>
      <w:pPr>
        <w:pStyle w:val="ListParagraph"/>
        <w:numPr>
          <w:ilvl w:val="0"/>
          <w:numId w:val="2"/>
        </w:numPr>
      </w:pPr>
      <w:r>
        <w:t xml:space="preserve">Object storage replicated to DR; OpenSearch rebuilt from source or snapshot; Kafka mirrored for audit topics</w:t>
      </w:r>
    </w:p>
    <w:p>
      <w:pPr>
        <w:pStyle w:val="ListParagraph"/>
        <w:numPr>
          <w:ilvl w:val="0"/>
          <w:numId w:val="2"/>
        </w:numPr>
      </w:pPr>
      <w:r>
        <w:t xml:space="preserve">DR runbook tested every six months; RTO 4 hours (NFR-005)</w:t>
      </w:r>
    </w:p>
    <w:p>
      <w:pPr>
        <w:pStyle w:val="ListParagraph"/>
        <w:numPr>
          <w:ilvl w:val="0"/>
          <w:numId w:val="2"/>
        </w:numPr>
      </w:pPr>
      <w:r>
        <w:t xml:space="preserve">Pod disruption budgets, readiness and liveness probes, horizontal autoscaling on CPU and queue depth</w:t>
      </w:r>
    </w:p>
    <w:p>
      <w:pPr>
        <w:pStyle w:val="Heading1"/>
        <w:pageBreakBefore/>
      </w:pPr>
      <w:r>
        <w:t xml:space="preserve">13. NFR realisation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2075"/>
        <w:gridCol w:w="3855"/>
        <w:gridCol w:w="2374"/>
      </w:tblGrid>
      <w:tr>
        <w:trPr>
          <w:cantSplit/>
          <w:tblHeader/>
        </w:trPr>
        <w:tc>
          <w:tcPr>
            <w:tcW w:type="dxa" w:w="133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NFR</w:t>
            </w:r>
          </w:p>
        </w:tc>
        <w:tc>
          <w:tcPr>
            <w:tcW w:type="dxa" w:w="207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Requirement</w:t>
            </w:r>
          </w:p>
        </w:tc>
        <w:tc>
          <w:tcPr>
            <w:tcW w:type="dxa" w:w="3855"/>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Design measures</w:t>
            </w:r>
          </w:p>
        </w:tc>
        <w:tc>
          <w:tcPr>
            <w:tcW w:type="dxa" w:w="237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Verification</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NFR-001</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3 s response</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Read models, caching, indexes, pagination, async jobs</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Load test at peak profile</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NFR-002</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Peak users</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Horizontal scaling, queue-backed payment and demand</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Soak and spike tests</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NFR-003</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Events within 1 minute</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Outbox relay under 5 s, consumer lag alerts</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Lag dashboards, contract tests</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NFR-004/005</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99.5%; RPO/RTO</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HA, DR replica, runbooks</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 drills</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NFR-006/024</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Encryption and keys</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TLS, AES-256, HSM, rotation</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Configuration audit</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NFR-007/023</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Audits and VAPT</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Secure SDLC, scans, fix SLAs</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CERT-In empanelled audit per phase</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NFR-008</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DPDP</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Consent, purpose tags, masking, deletion workflows</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Privacy review</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NFR-010</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Accessibility</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Design system with accessible components</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Automated and manual audits</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NFR-012</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Versioning</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URI major versions, event schema compatibility rules</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Schema registry checks in CI</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NFR-013</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Portability</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Open-source stack, S3 abstraction</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Install on two platforms</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NFR-014</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Tenant isolation</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RLS, per-tenant keys</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Penetration test</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NFR-016/017</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Upgrades and onboarding</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Expand-and-contract migrations, tenant bootstrap</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Upgrade rehearsals</w:t>
            </w:r>
          </w:p>
        </w:tc>
      </w:tr>
      <w:tr>
        <w:trPr>
          <w:cantSplit/>
          <w:tblHeader w:val="false"/>
        </w:trPr>
        <w:tc>
          <w:tcPr>
            <w:tcW w:type="dxa" w:w="133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NFR-018</w:t>
            </w:r>
          </w:p>
        </w:tc>
        <w:tc>
          <w:tcPr>
            <w:tcW w:type="dxa" w:w="207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Observability</w:t>
            </w:r>
          </w:p>
        </w:tc>
        <w:tc>
          <w:tcPr>
            <w:tcW w:type="dxa" w:w="3855"/>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OpenTelemetry, Prometheus, Grafana, Loki, Tempo</w:t>
            </w:r>
          </w:p>
        </w:tc>
        <w:tc>
          <w:tcPr>
            <w:tcW w:type="dxa" w:w="237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SLO dashboards</w:t>
            </w:r>
          </w:p>
        </w:tc>
      </w:tr>
      <w:tr>
        <w:trPr>
          <w:cantSplit/>
          <w:tblHeader w:val="false"/>
        </w:trPr>
        <w:tc>
          <w:tcPr>
            <w:tcW w:type="dxa" w:w="133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NFR-019/020/021/022</w:t>
            </w:r>
          </w:p>
        </w:tc>
        <w:tc>
          <w:tcPr>
            <w:tcW w:type="dxa" w:w="207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Security controls</w:t>
            </w:r>
          </w:p>
        </w:tc>
        <w:tc>
          <w:tcPr>
            <w:tcW w:type="dxa" w:w="3855"/>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Section 10</w:t>
            </w:r>
          </w:p>
        </w:tc>
        <w:tc>
          <w:tcPr>
            <w:tcW w:type="dxa" w:w="237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Security test cases per release</w:t>
            </w:r>
          </w:p>
        </w:tc>
      </w:tr>
    </w:tbl>
    <w:p>
      <w:pPr>
        <w:spacing w:after="40"/>
      </w:pPr>
    </w:p>
    <w:p>
      <w:pPr>
        <w:pStyle w:val="Heading1"/>
        <w:pageBreakBefore/>
      </w:pPr>
      <w:r>
        <w:t xml:space="preserve">14. Engineering practices</w:t>
      </w:r>
    </w:p>
    <w:p>
      <w:pPr>
        <w:sectPr>
          <w:headerReference w:type="default" r:id="rId25"/>
          <w:footerReference w:type="default" r:id="rId26"/>
          <w:pgSz w:w="11906" w:h="16838" w:orient="portrait"/>
          <w:pgMar w:top="1134" w:right="1134" w:bottom="1134" w:left="1134" w:header="708" w:footer="708" w:gutter="0"/>
          <w:pgNumType/>
          <w:docGrid w:linePitch="360"/>
        </w:sectPr>
      </w:pPr>
    </w:p>
    <w:p>
      <w:pPr>
        <w:spacing w:after="0" w:before="0" w:line="240" w:lineRule="auto"/>
        <w:jc w:val="center"/>
      </w:pPr>
      <w:r>
        <w:drawing>
          <wp:inline distT="0" distB="0" distL="0" distR="0">
            <wp:extent cx="6096000" cy="180975"/>
            <wp:effectExtent t="0" r="0" b="0" l="0"/>
            <wp:docPr id="1" name="Figure 8. Delivery pipeline from merge request to production and offline bundle" descr="Figure 8. Delivery pipeline from merge request to production and offline bundle" title="Figure 8. Delivery pipeline from merge request to production and offline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180975"/>
                    </a:xfrm>
                    <a:prstGeom prst="rect">
                      <a:avLst/>
                    </a:prstGeom>
                  </pic:spPr>
                </pic:pic>
              </a:graphicData>
            </a:graphic>
          </wp:inline>
        </w:drawing>
      </w:r>
    </w:p>
    <w:p>
      <w:pPr>
        <w:jc w:val="center"/>
      </w:pPr>
      <w:r>
        <w:rPr>
          <w:i/>
          <w:iCs/>
          <w:color w:val="5B6675"/>
          <w:sz w:val="17"/>
          <w:szCs w:val="17"/>
        </w:rPr>
        <w:t xml:space="preserve">Figure 8. Delivery pipeline from merge request to production and offline bundle</w:t>
      </w:r>
    </w:p>
    <w:p>
      <w:pPr>
        <w:pStyle w:val="Heading3"/>
        <w:keepNext/>
      </w:pPr>
      <w:r>
        <w:t xml:space="preserve">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819"/>
        <w:gridCol w:w="3213"/>
      </w:tblGrid>
      <w:tr>
        <w:trPr>
          <w:cantSplit/>
          <w:tblHeader/>
        </w:trPr>
        <w:tc>
          <w:tcPr>
            <w:tcW w:type="dxa" w:w="16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Level</w:t>
            </w:r>
          </w:p>
        </w:tc>
        <w:tc>
          <w:tcPr>
            <w:tcW w:type="dxa" w:w="481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Scope</w:t>
            </w:r>
          </w:p>
        </w:tc>
        <w:tc>
          <w:tcPr>
            <w:tcW w:type="dxa" w:w="32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Tooling</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Unit</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Domain logic, rules adapters</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Jest</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Component</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Service with real PostgreSQL and Kafka (containers)</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Testcontainers</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Contract</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APIs (OpenAPI) and events (JSON Schema) between providers and consumers</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Pact / schema registry compatibility</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End to end</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SRS E2E scenarios (E2E-01 to 39) per phase</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Playwright, API suites</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Performance</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NFR-001/002 profiles</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k6</w:t>
            </w:r>
          </w:p>
        </w:tc>
      </w:tr>
      <w:tr>
        <w:trPr>
          <w:cantSplit/>
          <w:tblHeader w:val="false"/>
        </w:trPr>
        <w:tc>
          <w:tcPr>
            <w:tcW w:type="dxa" w:w="16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Security</w:t>
            </w:r>
          </w:p>
        </w:tc>
        <w:tc>
          <w:tcPr>
            <w:tcW w:type="dxa" w:w="481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SAST, DAST, dependency, container, IaC</w:t>
            </w:r>
          </w:p>
        </w:tc>
        <w:tc>
          <w:tcPr>
            <w:tcW w:type="dxa" w:w="32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Semgrep, ZAP, Trivy</w:t>
            </w:r>
          </w:p>
        </w:tc>
      </w:tr>
      <w:tr>
        <w:trPr>
          <w:cantSplit/>
          <w:tblHeader w:val="false"/>
        </w:trPr>
        <w:tc>
          <w:tcPr>
            <w:tcW w:type="dxa" w:w="16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Accessibility</w:t>
            </w:r>
          </w:p>
        </w:tc>
        <w:tc>
          <w:tcPr>
            <w:tcW w:type="dxa" w:w="481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Citizen screens</w:t>
            </w:r>
          </w:p>
        </w:tc>
        <w:tc>
          <w:tcPr>
            <w:tcW w:type="dxa" w:w="32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axe, manual audit</w:t>
            </w:r>
          </w:p>
        </w:tc>
      </w:tr>
    </w:tbl>
    <w:p>
      <w:pPr>
        <w:spacing w:after="40"/>
      </w:pPr>
    </w:p>
    <w:p>
      <w:pPr>
        <w:pStyle w:val="Heading3"/>
        <w:keepNext/>
      </w:pPr>
      <w:r>
        <w:t xml:space="preserve">Observability</w:t>
      </w:r>
    </w:p>
    <w:p>
      <w:pPr>
        <w:pStyle w:val="ListParagraph"/>
        <w:numPr>
          <w:ilvl w:val="0"/>
          <w:numId w:val="2"/>
        </w:numPr>
      </w:pPr>
      <w:r>
        <w:t xml:space="preserve">OpenTelemetry SDK in every service; trace context carried in HTTP headers and CloudEvents traceparent</w:t>
      </w:r>
    </w:p>
    <w:p>
      <w:pPr>
        <w:pStyle w:val="ListParagraph"/>
        <w:numPr>
          <w:ilvl w:val="0"/>
          <w:numId w:val="2"/>
        </w:numPr>
      </w:pPr>
      <w:r>
        <w:t xml:space="preserve">Golden signals per service and tenant; SLOs with error budgets; alert routing to on-call</w:t>
      </w:r>
    </w:p>
    <w:p>
      <w:pPr>
        <w:pStyle w:val="ListParagraph"/>
        <w:numPr>
          <w:ilvl w:val="0"/>
          <w:numId w:val="2"/>
        </w:numPr>
      </w:pPr>
      <w:r>
        <w:t xml:space="preserve">Structured JSON logs without personal data; correlation IDs; 180-day retention for ICT logs</w:t>
      </w:r>
    </w:p>
    <w:p>
      <w:pPr>
        <w:pStyle w:val="Heading1"/>
        <w:pageBreakBefore/>
      </w:pPr>
      <w:r>
        <w:t xml:space="preserve">15.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300"/>
        <w:gridCol w:w="24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Layer</w:t>
            </w:r>
          </w:p>
        </w:tc>
        <w:tc>
          <w:tcPr>
            <w:tcW w:type="dxa" w:w="530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Choice</w:t>
            </w:r>
          </w:p>
        </w:tc>
        <w:tc>
          <w:tcPr>
            <w:tcW w:type="dxa" w:w="24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Licence</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Web UI</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React 18, TypeScript, design system with accessibility, MapLibre GL, CesiumJS</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MIT / Apache 2.0</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Mobile and field</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Flutter, SQLite, background sync</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BSD / public domain</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Services</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Node.js 22 LTS, NestJS, Prisma or TypeORM, Zod</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MIT</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Workflow and rules</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Flowable 7 (BPMN, DMN)</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Identity</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Keycloak</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Gateway</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Apache APISIX</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Messaging</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Kafka (KRaft), Apicurio Registry</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Databases</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PostgreSQL 16, PostGIS 3</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PostgreSQL / GPL (PostGIS, server-side)</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Search</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OpenSearch</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Cache</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Valkey</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BSD</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Object storage</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Ceph RGW or provider S3</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LGPL</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GeoServer, GDAL, TiTiler</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GPL (server) / MIT</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OCR and language</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Tesseract and Indic OCR models, Bhashini APIs</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 / government service</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Platform</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Kubernetes (RKE2), Helm, Argo CD, Harbor</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Apache 2.0</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Observability and SIEM</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OpenTelemetry, Prometheus, Grafana, Loki, Tempo, Wazuh</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 / AGPL (Grafana stack, self-hosted) / GPL</w:t>
            </w:r>
          </w:p>
        </w:tc>
      </w:tr>
      <w:tr>
        <w:trPr>
          <w:cantSplit/>
          <w:tblHeader w:val="false"/>
        </w:trPr>
        <w:tc>
          <w:tcPr>
            <w:tcW w:type="dxa" w:w="192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Secrets</w:t>
            </w:r>
          </w:p>
        </w:tc>
        <w:tc>
          <w:tcPr>
            <w:tcW w:type="dxa" w:w="530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OpenBao, network HSM</w:t>
            </w:r>
          </w:p>
        </w:tc>
        <w:tc>
          <w:tcPr>
            <w:tcW w:type="dxa" w:w="24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MPL 2.0</w:t>
            </w:r>
          </w:p>
        </w:tc>
      </w:tr>
      <w:tr>
        <w:trPr>
          <w:cantSplit/>
          <w:tblHeader w:val="false"/>
        </w:trPr>
        <w:tc>
          <w:tcPr>
            <w:tcW w:type="dxa" w:w="192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Analytics</w:t>
            </w:r>
          </w:p>
        </w:tc>
        <w:tc>
          <w:tcPr>
            <w:tcW w:type="dxa" w:w="530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PostgreSQL or ClickHouse, Apache Superset</w:t>
            </w:r>
          </w:p>
        </w:tc>
        <w:tc>
          <w:tcPr>
            <w:tcW w:type="dxa" w:w="24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Apache 2.0</w:t>
            </w:r>
          </w:p>
        </w:tc>
      </w:tr>
    </w:tbl>
    <w:p>
      <w:pPr>
        <w:spacing w:after="40"/>
      </w:pPr>
    </w:p>
    <w:p>
      <w:pPr>
        <w:sectPr>
          <w:headerReference w:type="default" r:id="rId27"/>
          <w:footerReference w:type="default" r:id="rId28"/>
          <w:pgSz w:w="11906" w:h="16838" w:orient="portrait"/>
          <w:pgMar w:top="1134" w:right="1134" w:bottom="1134" w:left="1134" w:header="708" w:footer="708" w:gutter="0"/>
          <w:pgNumType/>
          <w:docGrid w:linePitch="360"/>
        </w:sectPr>
      </w:pPr>
    </w:p>
    <w:p>
      <w:pPr>
        <w:pageBreakBefore/>
        <w:spacing w:after="240" w:before="2600" w:line="276" w:lineRule="auto"/>
      </w:pPr>
      <w:r>
        <w:rPr>
          <w:b/>
          <w:bCs/>
          <w:color w:val="2E7D32"/>
          <w:sz w:val="22"/>
          <w:szCs w:val="22"/>
        </w:rPr>
        <w:t xml:space="preserve">PART B</w:t>
      </w:r>
    </w:p>
    <w:p>
      <w:pPr>
        <w:pStyle w:val="Heading1"/>
        <w:spacing w:after="240" w:before="0" w:line="300" w:lineRule="auto"/>
      </w:pPr>
      <w:r>
        <w:rPr>
          <w:sz w:val="52"/>
          <w:szCs w:val="52"/>
        </w:rPr>
        <w:t xml:space="preserve">Low-level design</w:t>
      </w:r>
    </w:p>
    <w:p>
      <w:pPr>
        <w:spacing w:after="600"/>
      </w:pPr>
      <w:r>
        <w:rPr>
          <w:color w:val="5B6675"/>
          <w:sz w:val="26"/>
          <w:szCs w:val="26"/>
        </w:rPr>
        <w:t xml:space="preserve">Conventions, platform services and one chapter per rollout phase</w:t>
      </w:r>
    </w:p>
    <w:p>
      <w:pPr>
        <w:spacing w:after="80"/>
      </w:pPr>
      <w:r>
        <w:rPr>
          <w:color w:val="1F2937"/>
          <w:sz w:val="24"/>
          <w:szCs w:val="24"/>
        </w:rPr>
        <w:t xml:space="preserve">16. LLD conventions</w:t>
      </w:r>
    </w:p>
    <w:p>
      <w:pPr>
        <w:spacing w:after="80"/>
      </w:pPr>
      <w:r>
        <w:rPr>
          <w:color w:val="1F2937"/>
          <w:sz w:val="24"/>
          <w:szCs w:val="24"/>
        </w:rPr>
        <w:t xml:space="preserve">17. Platform services</w:t>
      </w:r>
    </w:p>
    <w:p>
      <w:pPr>
        <w:spacing w:after="80"/>
      </w:pPr>
      <w:r>
        <w:rPr>
          <w:color w:val="1F2937"/>
          <w:sz w:val="24"/>
          <w:szCs w:val="24"/>
        </w:rPr>
        <w:t xml:space="preserve">18 to 21. Phase 1 to Phase 4 module designs</w:t>
      </w:r>
    </w:p>
    <w:p>
      <w:pPr>
        <w:pStyle w:val="Heading1"/>
        <w:pageBreakBefore/>
      </w:pPr>
      <w:r>
        <w:t xml:space="preserve">16. LLD conventions</w:t>
      </w:r>
    </w:p>
    <w:p>
      <w:pPr>
        <w:pStyle w:val="Heading3"/>
        <w:keepNext/>
      </w:pPr>
      <w:r>
        <w:t xml:space="preserve">Service structure</w:t>
      </w:r>
    </w:p>
    <w:p>
      <w:r>
        <w:t xml:space="preserve">Every domain service follows the same hexagonal layout so developers can move between teams.</w:t>
      </w:r>
    </w:p>
    <w:p>
      <w:pPr>
        <w:shd w:fill="F3F4F6" w:color="auto" w:val="clear"/>
        <w:spacing w:after="0" w:before="60" w:line="240" w:lineRule="auto"/>
        <w:ind w:left="120" w:right="120"/>
      </w:pPr>
      <w:r>
        <w:rPr>
          <w:rFonts w:ascii="Consolas" w:cs="Consolas" w:eastAsia="Consolas" w:hAnsi="Consolas"/>
          <w:color w:val="1F2937"/>
          <w:sz w:val="16"/>
          <w:szCs w:val="16"/>
        </w:rPr>
        <w:t xml:space="preserve">services/ptx-service/</w:t>
      </w:r>
    </w:p>
    <w:p>
      <w:pPr>
        <w:shd w:fill="F3F4F6" w:color="auto" w:val="clear"/>
        <w:spacing w:after="0" w:before="0" w:line="240" w:lineRule="auto"/>
        <w:ind w:left="120" w:right="120"/>
      </w:pPr>
      <w:r>
        <w:rPr>
          <w:rFonts w:ascii="Consolas" w:cs="Consolas" w:eastAsia="Consolas" w:hAnsi="Consolas"/>
          <w:color w:val="1F2937"/>
          <w:sz w:val="16"/>
          <w:szCs w:val="16"/>
        </w:rPr>
        <w:t xml:space="preserve">  src/</w:t>
      </w:r>
    </w:p>
    <w:p>
      <w:pPr>
        <w:shd w:fill="F3F4F6" w:color="auto" w:val="clear"/>
        <w:spacing w:after="0" w:before="0" w:line="240" w:lineRule="auto"/>
        <w:ind w:left="120" w:right="120"/>
      </w:pPr>
      <w:r>
        <w:rPr>
          <w:rFonts w:ascii="Consolas" w:cs="Consolas" w:eastAsia="Consolas" w:hAnsi="Consolas"/>
          <w:color w:val="1F2937"/>
          <w:sz w:val="16"/>
          <w:szCs w:val="16"/>
        </w:rPr>
        <w:t xml:space="preserve">    api/            # controllers, DTOs (Zod), OpenAPI decorators</w:t>
      </w:r>
    </w:p>
    <w:p>
      <w:pPr>
        <w:shd w:fill="F3F4F6" w:color="auto" w:val="clear"/>
        <w:spacing w:after="0" w:before="0" w:line="240" w:lineRule="auto"/>
        <w:ind w:left="120" w:right="120"/>
      </w:pPr>
      <w:r>
        <w:rPr>
          <w:rFonts w:ascii="Consolas" w:cs="Consolas" w:eastAsia="Consolas" w:hAnsi="Consolas"/>
          <w:color w:val="1F2937"/>
          <w:sz w:val="16"/>
          <w:szCs w:val="16"/>
        </w:rPr>
        <w:t xml:space="preserve">    application/    # use cases (commands, queries), transactions</w:t>
      </w:r>
    </w:p>
    <w:p>
      <w:pPr>
        <w:shd w:fill="F3F4F6" w:color="auto" w:val="clear"/>
        <w:spacing w:after="0" w:before="0" w:line="240" w:lineRule="auto"/>
        <w:ind w:left="120" w:right="120"/>
      </w:pPr>
      <w:r>
        <w:rPr>
          <w:rFonts w:ascii="Consolas" w:cs="Consolas" w:eastAsia="Consolas" w:hAnsi="Consolas"/>
          <w:color w:val="1F2937"/>
          <w:sz w:val="16"/>
          <w:szCs w:val="16"/>
        </w:rPr>
        <w:t xml:space="preserve">    domain/         # entities, value objects, domain events, rules ports</w:t>
      </w:r>
    </w:p>
    <w:p>
      <w:pPr>
        <w:shd w:fill="F3F4F6" w:color="auto" w:val="clear"/>
        <w:spacing w:after="0" w:before="0" w:line="240" w:lineRule="auto"/>
        <w:ind w:left="120" w:right="120"/>
      </w:pPr>
      <w:r>
        <w:rPr>
          <w:rFonts w:ascii="Consolas" w:cs="Consolas" w:eastAsia="Consolas" w:hAnsi="Consolas"/>
          <w:color w:val="1F2937"/>
          <w:sz w:val="16"/>
          <w:szCs w:val="16"/>
        </w:rPr>
        <w:t xml:space="preserve">    infra/</w:t>
      </w:r>
    </w:p>
    <w:p>
      <w:pPr>
        <w:shd w:fill="F3F4F6" w:color="auto" w:val="clear"/>
        <w:spacing w:after="0" w:before="0" w:line="240" w:lineRule="auto"/>
        <w:ind w:left="120" w:right="120"/>
      </w:pPr>
      <w:r>
        <w:rPr>
          <w:rFonts w:ascii="Consolas" w:cs="Consolas" w:eastAsia="Consolas" w:hAnsi="Consolas"/>
          <w:color w:val="1F2937"/>
          <w:sz w:val="16"/>
          <w:szCs w:val="16"/>
        </w:rPr>
        <w:t xml:space="preserve">      db/           # repositories, migrations (expand-and-contract)</w:t>
      </w:r>
    </w:p>
    <w:p>
      <w:pPr>
        <w:shd w:fill="F3F4F6" w:color="auto" w:val="clear"/>
        <w:spacing w:after="0" w:before="0" w:line="240" w:lineRule="auto"/>
        <w:ind w:left="120" w:right="120"/>
      </w:pPr>
      <w:r>
        <w:rPr>
          <w:rFonts w:ascii="Consolas" w:cs="Consolas" w:eastAsia="Consolas" w:hAnsi="Consolas"/>
          <w:color w:val="1F2937"/>
          <w:sz w:val="16"/>
          <w:szCs w:val="16"/>
        </w:rPr>
        <w:t xml:space="preserve">      events/       # outbox writer, inbox consumer, schema bindings</w:t>
      </w:r>
    </w:p>
    <w:p>
      <w:pPr>
        <w:shd w:fill="F3F4F6" w:color="auto" w:val="clear"/>
        <w:spacing w:after="0" w:before="0" w:line="240" w:lineRule="auto"/>
        <w:ind w:left="120" w:right="120"/>
      </w:pPr>
      <w:r>
        <w:rPr>
          <w:rFonts w:ascii="Consolas" w:cs="Consolas" w:eastAsia="Consolas" w:hAnsi="Consolas"/>
          <w:color w:val="1F2937"/>
          <w:sz w:val="16"/>
          <w:szCs w:val="16"/>
        </w:rPr>
        <w:t xml:space="preserve">      clients/      # typed clients for other services and adapters</w:t>
      </w:r>
    </w:p>
    <w:p>
      <w:pPr>
        <w:shd w:fill="F3F4F6" w:color="auto" w:val="clear"/>
        <w:spacing w:after="0" w:before="0" w:line="240" w:lineRule="auto"/>
        <w:ind w:left="120" w:right="120"/>
      </w:pPr>
      <w:r>
        <w:rPr>
          <w:rFonts w:ascii="Consolas" w:cs="Consolas" w:eastAsia="Consolas" w:hAnsi="Consolas"/>
          <w:color w:val="1F2937"/>
          <w:sz w:val="16"/>
          <w:szCs w:val="16"/>
        </w:rPr>
        <w:t xml:space="preserve">      workflow/     # Flowable task handlers</w:t>
      </w:r>
    </w:p>
    <w:p>
      <w:pPr>
        <w:shd w:fill="F3F4F6" w:color="auto" w:val="clear"/>
        <w:spacing w:after="0" w:before="0" w:line="240" w:lineRule="auto"/>
        <w:ind w:left="120" w:right="120"/>
      </w:pPr>
      <w:r>
        <w:rPr>
          <w:rFonts w:ascii="Consolas" w:cs="Consolas" w:eastAsia="Consolas" w:hAnsi="Consolas"/>
          <w:color w:val="1F2937"/>
          <w:sz w:val="16"/>
          <w:szCs w:val="16"/>
        </w:rPr>
        <w:t xml:space="preserve">  test/             # unit, component (Testcontainers), contract</w:t>
      </w:r>
    </w:p>
    <w:p>
      <w:pPr>
        <w:shd w:fill="F3F4F6" w:color="auto" w:val="clear"/>
        <w:spacing w:after="0" w:before="0" w:line="240" w:lineRule="auto"/>
        <w:ind w:left="120" w:right="120"/>
      </w:pPr>
      <w:r>
        <w:rPr>
          <w:rFonts w:ascii="Consolas" w:cs="Consolas" w:eastAsia="Consolas" w:hAnsi="Consolas"/>
          <w:color w:val="1F2937"/>
          <w:sz w:val="16"/>
          <w:szCs w:val="16"/>
        </w:rPr>
        <w:t xml:space="preserve">  openapi.yaml      # published contract, versioned</w:t>
      </w:r>
    </w:p>
    <w:p>
      <w:pPr>
        <w:shd w:fill="F3F4F6" w:color="auto" w:val="clear"/>
        <w:spacing w:after="0" w:before="0" w:line="240" w:lineRule="auto"/>
        <w:ind w:left="120" w:right="120"/>
      </w:pPr>
      <w:r>
        <w:rPr>
          <w:rFonts w:ascii="Consolas" w:cs="Consolas" w:eastAsia="Consolas" w:hAnsi="Consolas"/>
          <w:color w:val="1F2937"/>
          <w:sz w:val="16"/>
          <w:szCs w:val="16"/>
        </w:rPr>
        <w:t xml:space="preserve">  events/           # JSON Schemas for published events</w:t>
      </w:r>
    </w:p>
    <w:p>
      <w:pPr>
        <w:shd w:fill="F3F4F6" w:color="auto" w:val="clear"/>
        <w:spacing w:after="120" w:before="0" w:line="240" w:lineRule="auto"/>
        <w:ind w:left="120" w:right="120"/>
      </w:pPr>
      <w:r>
        <w:rPr>
          <w:rFonts w:ascii="Consolas" w:cs="Consolas" w:eastAsia="Consolas" w:hAnsi="Consolas"/>
          <w:color w:val="1F2937"/>
          <w:sz w:val="16"/>
          <w:szCs w:val="16"/>
        </w:rPr>
        <w:t xml:space="preserve">  helm/             # chart values per tier</w:t>
      </w:r>
    </w:p>
    <w:p>
      <w:pPr>
        <w:pStyle w:val="Heading3"/>
        <w:keepNext/>
      </w:pPr>
      <w:r>
        <w:t xml:space="preserve">API conventions</w:t>
      </w:r>
    </w:p>
    <w:p>
      <w:pPr>
        <w:pStyle w:val="ListParagraph"/>
        <w:numPr>
          <w:ilvl w:val="0"/>
          <w:numId w:val="2"/>
        </w:numPr>
      </w:pPr>
      <w:r>
        <w:t xml:space="preserve">Base path /&lt;service-code&gt;/v&lt;major&gt;/..., plural resources, kebab-case; actions as POST /resource/{id}:action (submit, approve, reject)</w:t>
      </w:r>
    </w:p>
    <w:p>
      <w:pPr>
        <w:pStyle w:val="ListParagraph"/>
        <w:numPr>
          <w:ilvl w:val="0"/>
          <w:numId w:val="2"/>
        </w:numPr>
      </w:pPr>
      <w:r>
        <w:t xml:space="preserve">JSON, camelCase fields, ISO 8601 times with +05:30, money as integer paise with currency, areas in square metres</w:t>
      </w:r>
    </w:p>
    <w:p>
      <w:pPr>
        <w:pStyle w:val="ListParagraph"/>
        <w:numPr>
          <w:ilvl w:val="0"/>
          <w:numId w:val="2"/>
        </w:numPr>
      </w:pPr>
      <w:r>
        <w:t xml:space="preserve">Pagination by cursor (limit, nextCursor); filtering with explicit query parameters; sorting whitelisted</w:t>
      </w:r>
    </w:p>
    <w:p>
      <w:pPr>
        <w:pStyle w:val="ListParagraph"/>
        <w:numPr>
          <w:ilvl w:val="0"/>
          <w:numId w:val="2"/>
        </w:numPr>
      </w:pPr>
      <w:r>
        <w:t xml:space="preserve">Idempotency-Key header on every POST that creates or pays; stored 24 hours</w:t>
      </w:r>
    </w:p>
    <w:p>
      <w:pPr>
        <w:pStyle w:val="ListParagraph"/>
        <w:numPr>
          <w:ilvl w:val="0"/>
          <w:numId w:val="2"/>
        </w:numPr>
      </w:pPr>
      <w:r>
        <w:t xml:space="preserve">Optimistic concurrency with ETag / If-Match on updates</w:t>
      </w:r>
    </w:p>
    <w:p>
      <w:pPr>
        <w:pStyle w:val="ListParagraph"/>
        <w:numPr>
          <w:ilvl w:val="0"/>
          <w:numId w:val="2"/>
        </w:numPr>
      </w:pPr>
      <w:r>
        <w:t xml:space="preserve">Errors as RFC 9457 problem details with a stable code and translation key</w:t>
      </w:r>
    </w:p>
    <w:p>
      <w:pPr>
        <w:shd w:fill="F3F4F6" w:color="auto" w:val="clear"/>
        <w:spacing w:after="0" w:before="60" w:line="240" w:lineRule="auto"/>
        <w:ind w:left="120" w:right="120"/>
      </w:pPr>
      <w:r>
        <w:rPr>
          <w:rFonts w:ascii="Consolas" w:cs="Consolas" w:eastAsia="Consolas" w:hAnsi="Consolas"/>
          <w:color w:val="1F2937"/>
          <w:sz w:val="16"/>
          <w:szCs w:val="16"/>
        </w:rPr>
        <w:t xml:space="preserve">HTTP/1.1 422 Unprocessable Content</w:t>
      </w:r>
    </w:p>
    <w:p>
      <w:pPr>
        <w:shd w:fill="F3F4F6" w:color="auto" w:val="clear"/>
        <w:spacing w:after="0" w:before="0" w:line="240" w:lineRule="auto"/>
        <w:ind w:left="120" w:right="120"/>
      </w:pPr>
      <w:r>
        <w:rPr>
          <w:rFonts w:ascii="Consolas" w:cs="Consolas" w:eastAsia="Consolas" w:hAnsi="Consolas"/>
          <w:color w:val="1F2937"/>
          <w:sz w:val="16"/>
          <w:szCs w:val="16"/>
        </w:rPr>
        <w:t xml:space="preserve">Content-Type: application/problem+json</w:t>
      </w:r>
    </w:p>
    <w:p>
      <w:pPr>
        <w:shd w:fill="F3F4F6" w:color="auto" w:val="clear"/>
        <w:spacing w:after="0" w:before="0" w:line="240" w:lineRule="auto"/>
        <w:ind w:left="120" w:right="120"/>
      </w:pPr>
      <w:r>
        <w:rPr>
          <w:rFonts w:ascii="Consolas" w:cs="Consolas" w:eastAsia="Consolas" w:hAnsi="Consolas"/>
          <w:color w:val="1F2937"/>
          <w:sz w:val="16"/>
          <w:szCs w:val="16"/>
        </w:rPr>
        <w:t xml:space="preserve">{</w:t>
      </w:r>
    </w:p>
    <w:p>
      <w:pPr>
        <w:shd w:fill="F3F4F6" w:color="auto" w:val="clear"/>
        <w:spacing w:after="0" w:before="0" w:line="240" w:lineRule="auto"/>
        <w:ind w:left="120" w:right="120"/>
      </w:pPr>
      <w:r>
        <w:rPr>
          <w:rFonts w:ascii="Consolas" w:cs="Consolas" w:eastAsia="Consolas" w:hAnsi="Consolas"/>
          <w:color w:val="1F2937"/>
          <w:sz w:val="16"/>
          <w:szCs w:val="16"/>
        </w:rPr>
        <w:t xml:space="preserve">  "type": "https://urban.example/problems/ptx.assessment.area-mismatch",</w:t>
      </w:r>
    </w:p>
    <w:p>
      <w:pPr>
        <w:shd w:fill="F3F4F6" w:color="auto" w:val="clear"/>
        <w:spacing w:after="0" w:before="0" w:line="240" w:lineRule="auto"/>
        <w:ind w:left="120" w:right="120"/>
      </w:pPr>
      <w:r>
        <w:rPr>
          <w:rFonts w:ascii="Consolas" w:cs="Consolas" w:eastAsia="Consolas" w:hAnsi="Consolas"/>
          <w:color w:val="1F2937"/>
          <w:sz w:val="16"/>
          <w:szCs w:val="16"/>
        </w:rPr>
        <w:t xml:space="preserve">  "title": "Plinth area exceeds GIS footprint by more than the allowed tolerance",</w:t>
      </w:r>
    </w:p>
    <w:p>
      <w:pPr>
        <w:shd w:fill="F3F4F6" w:color="auto" w:val="clear"/>
        <w:spacing w:after="0" w:before="0" w:line="240" w:lineRule="auto"/>
        <w:ind w:left="120" w:right="120"/>
      </w:pPr>
      <w:r>
        <w:rPr>
          <w:rFonts w:ascii="Consolas" w:cs="Consolas" w:eastAsia="Consolas" w:hAnsi="Consolas"/>
          <w:color w:val="1F2937"/>
          <w:sz w:val="16"/>
          <w:szCs w:val="16"/>
        </w:rPr>
        <w:t xml:space="preserve">  "status": 422,</w:t>
      </w:r>
    </w:p>
    <w:p>
      <w:pPr>
        <w:shd w:fill="F3F4F6" w:color="auto" w:val="clear"/>
        <w:spacing w:after="0" w:before="0" w:line="240" w:lineRule="auto"/>
        <w:ind w:left="120" w:right="120"/>
      </w:pPr>
      <w:r>
        <w:rPr>
          <w:rFonts w:ascii="Consolas" w:cs="Consolas" w:eastAsia="Consolas" w:hAnsi="Consolas"/>
          <w:color w:val="1F2937"/>
          <w:sz w:val="16"/>
          <w:szCs w:val="16"/>
        </w:rPr>
        <w:t xml:space="preserve">  "code": "PTX-ASM-012",</w:t>
      </w:r>
    </w:p>
    <w:p>
      <w:pPr>
        <w:shd w:fill="F3F4F6" w:color="auto" w:val="clear"/>
        <w:spacing w:after="0" w:before="0" w:line="240" w:lineRule="auto"/>
        <w:ind w:left="120" w:right="120"/>
      </w:pPr>
      <w:r>
        <w:rPr>
          <w:rFonts w:ascii="Consolas" w:cs="Consolas" w:eastAsia="Consolas" w:hAnsi="Consolas"/>
          <w:color w:val="1F2937"/>
          <w:sz w:val="16"/>
          <w:szCs w:val="16"/>
        </w:rPr>
        <w:t xml:space="preserve">  "i18nKey": "ptx.assessment.areaMismatch",</w:t>
      </w:r>
    </w:p>
    <w:p>
      <w:pPr>
        <w:shd w:fill="F3F4F6" w:color="auto" w:val="clear"/>
        <w:spacing w:after="0" w:before="0" w:line="240" w:lineRule="auto"/>
        <w:ind w:left="120" w:right="120"/>
      </w:pPr>
      <w:r>
        <w:rPr>
          <w:rFonts w:ascii="Consolas" w:cs="Consolas" w:eastAsia="Consolas" w:hAnsi="Consolas"/>
          <w:color w:val="1F2937"/>
          <w:sz w:val="16"/>
          <w:szCs w:val="16"/>
        </w:rPr>
        <w:t xml:space="preserve">  "traceId": "4bf92f3577b34da6a3ce929d0e0e4736",</w:t>
      </w:r>
    </w:p>
    <w:p>
      <w:pPr>
        <w:shd w:fill="F3F4F6" w:color="auto" w:val="clear"/>
        <w:spacing w:after="0" w:before="0" w:line="240" w:lineRule="auto"/>
        <w:ind w:left="120" w:right="120"/>
      </w:pPr>
      <w:r>
        <w:rPr>
          <w:rFonts w:ascii="Consolas" w:cs="Consolas" w:eastAsia="Consolas" w:hAnsi="Consolas"/>
          <w:color w:val="1F2937"/>
          <w:sz w:val="16"/>
          <w:szCs w:val="16"/>
        </w:rPr>
        <w:t xml:space="preserve">  "errors": [ { "field": "plinthAreaSqm", "reason": "exceedsFootprint", "limit": 118.4 } ]</w:t>
      </w:r>
    </w:p>
    <w:p>
      <w:pPr>
        <w:shd w:fill="F3F4F6" w:color="auto" w:val="clear"/>
        <w:spacing w:after="120" w:before="0" w:line="240" w:lineRule="auto"/>
        <w:ind w:left="120" w:right="120"/>
      </w:pPr>
      <w:r>
        <w:rPr>
          <w:rFonts w:ascii="Consolas" w:cs="Consolas" w:eastAsia="Consolas" w:hAnsi="Consolas"/>
          <w:color w:val="1F2937"/>
          <w:sz w:val="16"/>
          <w:szCs w:val="16"/>
        </w:rPr>
        <w:t xml:space="preserve">}</w:t>
      </w:r>
    </w:p>
    <w:p>
      <w:pPr>
        <w:pStyle w:val="Heading3"/>
        <w:keepNext/>
      </w:pPr>
      <w:r>
        <w:t xml:space="preserve">Database conventions</w:t>
      </w:r>
    </w:p>
    <w:p>
      <w:pPr>
        <w:pStyle w:val="ListParagraph"/>
        <w:numPr>
          <w:ilvl w:val="0"/>
          <w:numId w:val="2"/>
        </w:numPr>
      </w:pPr>
      <w:r>
        <w:t xml:space="preserve">Primary keys are ULIDs (sortable). Business keys (ULPIN, PTIN, application numbers) are unique per tenant</w:t>
      </w:r>
    </w:p>
    <w:p>
      <w:pPr>
        <w:pStyle w:val="ListParagraph"/>
        <w:numPr>
          <w:ilvl w:val="0"/>
          <w:numId w:val="2"/>
        </w:numPr>
      </w:pPr>
      <w:r>
        <w:t xml:space="preserve">Common columns: id, tenant_id, created_at, created_by, updated_at, updated_by, version, deleted_at (soft delete where the SRS allows deletion)</w:t>
      </w:r>
    </w:p>
    <w:p>
      <w:pPr>
        <w:pStyle w:val="ListParagraph"/>
        <w:numPr>
          <w:ilvl w:val="0"/>
          <w:numId w:val="2"/>
        </w:numPr>
      </w:pPr>
      <w:r>
        <w:t xml:space="preserve">Money columns bigint paise; geometry columns typed (Point, MultiPolygon, LineString) with SRID 4326 and GiST indexes</w:t>
      </w:r>
    </w:p>
    <w:p>
      <w:pPr>
        <w:pStyle w:val="ListParagraph"/>
        <w:numPr>
          <w:ilvl w:val="0"/>
          <w:numId w:val="2"/>
        </w:numPr>
      </w:pPr>
      <w:r>
        <w:t xml:space="preserve">Financial and demand rows are immutable; corrections by reversal or adjustment rows</w:t>
      </w:r>
    </w:p>
    <w:p>
      <w:pPr>
        <w:pStyle w:val="ListParagraph"/>
        <w:numPr>
          <w:ilvl w:val="0"/>
          <w:numId w:val="2"/>
        </w:numPr>
      </w:pPr>
      <w:r>
        <w:t xml:space="preserve">Every schema has outbox and inbox tables; migrations are backward compatible for one release</w:t>
      </w:r>
    </w:p>
    <w:p>
      <w:pPr>
        <w:shd w:fill="F3F4F6" w:color="auto" w:val="clear"/>
        <w:spacing w:after="0" w:before="60" w:line="240" w:lineRule="auto"/>
        <w:ind w:left="120" w:right="120"/>
      </w:pPr>
      <w:r>
        <w:rPr>
          <w:rFonts w:ascii="Consolas" w:cs="Consolas" w:eastAsia="Consolas" w:hAnsi="Consolas"/>
          <w:color w:val="1F2937"/>
          <w:sz w:val="16"/>
          <w:szCs w:val="16"/>
        </w:rPr>
        <w:t xml:space="preserve">CREATE TABLE ptx.unit (</w:t>
      </w:r>
    </w:p>
    <w:p>
      <w:pPr>
        <w:shd w:fill="F3F4F6" w:color="auto" w:val="clear"/>
        <w:spacing w:after="0" w:before="0" w:line="240" w:lineRule="auto"/>
        <w:ind w:left="120" w:right="120"/>
      </w:pPr>
      <w:r>
        <w:rPr>
          <w:rFonts w:ascii="Consolas" w:cs="Consolas" w:eastAsia="Consolas" w:hAnsi="Consolas"/>
          <w:color w:val="1F2937"/>
          <w:sz w:val="16"/>
          <w:szCs w:val="16"/>
        </w:rPr>
        <w:t xml:space="preserve">  id            char(26) PRIMARY KEY,</w:t>
      </w:r>
    </w:p>
    <w:p>
      <w:pPr>
        <w:shd w:fill="F3F4F6" w:color="auto" w:val="clear"/>
        <w:spacing w:after="0" w:before="0" w:line="240" w:lineRule="auto"/>
        <w:ind w:left="120" w:right="120"/>
      </w:pPr>
      <w:r>
        <w:rPr>
          <w:rFonts w:ascii="Consolas" w:cs="Consolas" w:eastAsia="Consolas" w:hAnsi="Consolas"/>
          <w:color w:val="1F2937"/>
          <w:sz w:val="16"/>
          <w:szCs w:val="16"/>
        </w:rPr>
        <w:t xml:space="preserve">  tenant_id     text NOT NULL,</w:t>
      </w:r>
    </w:p>
    <w:p>
      <w:pPr>
        <w:shd w:fill="F3F4F6" w:color="auto" w:val="clear"/>
        <w:spacing w:after="0" w:before="0" w:line="240" w:lineRule="auto"/>
        <w:ind w:left="120" w:right="120"/>
      </w:pPr>
      <w:r>
        <w:rPr>
          <w:rFonts w:ascii="Consolas" w:cs="Consolas" w:eastAsia="Consolas" w:hAnsi="Consolas"/>
          <w:color w:val="1F2937"/>
          <w:sz w:val="16"/>
          <w:szCs w:val="16"/>
        </w:rPr>
        <w:t xml:space="preserve">  unit_no       text NOT NULL,              -- ULPIN-Bnn-Unnnn</w:t>
      </w:r>
    </w:p>
    <w:p>
      <w:pPr>
        <w:shd w:fill="F3F4F6" w:color="auto" w:val="clear"/>
        <w:spacing w:after="0" w:before="0" w:line="240" w:lineRule="auto"/>
        <w:ind w:left="120" w:right="120"/>
      </w:pPr>
      <w:r>
        <w:rPr>
          <w:rFonts w:ascii="Consolas" w:cs="Consolas" w:eastAsia="Consolas" w:hAnsi="Consolas"/>
          <w:color w:val="1F2937"/>
          <w:sz w:val="16"/>
          <w:szCs w:val="16"/>
        </w:rPr>
        <w:t xml:space="preserve">  ptin          text,                       -- state assessment number</w:t>
      </w:r>
    </w:p>
    <w:p>
      <w:pPr>
        <w:shd w:fill="F3F4F6" w:color="auto" w:val="clear"/>
        <w:spacing w:after="0" w:before="0" w:line="240" w:lineRule="auto"/>
        <w:ind w:left="120" w:right="120"/>
      </w:pPr>
      <w:r>
        <w:rPr>
          <w:rFonts w:ascii="Consolas" w:cs="Consolas" w:eastAsia="Consolas" w:hAnsi="Consolas"/>
          <w:color w:val="1F2937"/>
          <w:sz w:val="16"/>
          <w:szCs w:val="16"/>
        </w:rPr>
        <w:t xml:space="preserve">  building_id   char(26) NOT NULL REFERENCES ptx.building(id),</w:t>
      </w:r>
    </w:p>
    <w:p>
      <w:pPr>
        <w:shd w:fill="F3F4F6" w:color="auto" w:val="clear"/>
        <w:spacing w:after="0" w:before="0" w:line="240" w:lineRule="auto"/>
        <w:ind w:left="120" w:right="120"/>
      </w:pPr>
      <w:r>
        <w:rPr>
          <w:rFonts w:ascii="Consolas" w:cs="Consolas" w:eastAsia="Consolas" w:hAnsi="Consolas"/>
          <w:color w:val="1F2937"/>
          <w:sz w:val="16"/>
          <w:szCs w:val="16"/>
        </w:rPr>
        <w:t xml:space="preserve">  usage         text NOT NULL,</w:t>
      </w:r>
    </w:p>
    <w:p>
      <w:pPr>
        <w:shd w:fill="F3F4F6" w:color="auto" w:val="clear"/>
        <w:spacing w:after="0" w:before="0" w:line="240" w:lineRule="auto"/>
        <w:ind w:left="120" w:right="120"/>
      </w:pPr>
      <w:r>
        <w:rPr>
          <w:rFonts w:ascii="Consolas" w:cs="Consolas" w:eastAsia="Consolas" w:hAnsi="Consolas"/>
          <w:color w:val="1F2937"/>
          <w:sz w:val="16"/>
          <w:szCs w:val="16"/>
        </w:rPr>
        <w:t xml:space="preserve">  plinth_area   numeric(10,2) NOT NULL,</w:t>
      </w:r>
    </w:p>
    <w:p>
      <w:pPr>
        <w:shd w:fill="F3F4F6" w:color="auto" w:val="clear"/>
        <w:spacing w:after="0" w:before="0" w:line="240" w:lineRule="auto"/>
        <w:ind w:left="120" w:right="120"/>
      </w:pPr>
      <w:r>
        <w:rPr>
          <w:rFonts w:ascii="Consolas" w:cs="Consolas" w:eastAsia="Consolas" w:hAnsi="Consolas"/>
          <w:color w:val="1F2937"/>
          <w:sz w:val="16"/>
          <w:szCs w:val="16"/>
        </w:rPr>
        <w:t xml:space="preserve">  created_at timestamptz NOT NULL DEFAULT now(), created_by text NOT NULL,</w:t>
      </w:r>
    </w:p>
    <w:p>
      <w:pPr>
        <w:shd w:fill="F3F4F6" w:color="auto" w:val="clear"/>
        <w:spacing w:after="0" w:before="0" w:line="240" w:lineRule="auto"/>
        <w:ind w:left="120" w:right="120"/>
      </w:pPr>
      <w:r>
        <w:rPr>
          <w:rFonts w:ascii="Consolas" w:cs="Consolas" w:eastAsia="Consolas" w:hAnsi="Consolas"/>
          <w:color w:val="1F2937"/>
          <w:sz w:val="16"/>
          <w:szCs w:val="16"/>
        </w:rPr>
        <w:t xml:space="preserve">  updated_at timestamptz, updated_by text, version int NOT NULL DEFAULT 0,</w:t>
      </w:r>
    </w:p>
    <w:p>
      <w:pPr>
        <w:shd w:fill="F3F4F6" w:color="auto" w:val="clear"/>
        <w:spacing w:after="0" w:before="0" w:line="240" w:lineRule="auto"/>
        <w:ind w:left="120" w:right="120"/>
      </w:pPr>
      <w:r>
        <w:rPr>
          <w:rFonts w:ascii="Consolas" w:cs="Consolas" w:eastAsia="Consolas" w:hAnsi="Consolas"/>
          <w:color w:val="1F2937"/>
          <w:sz w:val="16"/>
          <w:szCs w:val="16"/>
        </w:rPr>
        <w:t xml:space="preserve">  UNIQUE (tenant_id, unit_no)</w:t>
      </w:r>
    </w:p>
    <w:p>
      <w:pPr>
        <w:shd w:fill="F3F4F6" w:color="auto" w:val="clear"/>
        <w:spacing w:after="0" w:before="0" w:line="240" w:lineRule="auto"/>
        <w:ind w:left="120" w:right="120"/>
      </w:pPr>
      <w:r>
        <w:rPr>
          <w:rFonts w:ascii="Consolas" w:cs="Consolas" w:eastAsia="Consolas" w:hAnsi="Consolas"/>
          <w:color w:val="1F2937"/>
          <w:sz w:val="16"/>
          <w:szCs w:val="16"/>
        </w:rPr>
        <w:t xml:space="preserve">);</w:t>
      </w:r>
    </w:p>
    <w:p>
      <w:pPr>
        <w:shd w:fill="F3F4F6" w:color="auto" w:val="clear"/>
        <w:spacing w:after="0" w:before="0" w:line="240" w:lineRule="auto"/>
        <w:ind w:left="120" w:right="120"/>
      </w:pPr>
      <w:r>
        <w:rPr>
          <w:rFonts w:ascii="Consolas" w:cs="Consolas" w:eastAsia="Consolas" w:hAnsi="Consolas"/>
          <w:color w:val="1F2937"/>
          <w:sz w:val="16"/>
          <w:szCs w:val="16"/>
        </w:rPr>
        <w:t xml:space="preserve">ALTER TABLE ptx.unit ENABLE ROW LEVEL SECURITY;</w:t>
      </w:r>
    </w:p>
    <w:p>
      <w:pPr>
        <w:shd w:fill="F3F4F6" w:color="auto" w:val="clear"/>
        <w:spacing w:after="0" w:before="0" w:line="240" w:lineRule="auto"/>
        <w:ind w:left="120" w:right="120"/>
      </w:pPr>
      <w:r>
        <w:rPr>
          <w:rFonts w:ascii="Consolas" w:cs="Consolas" w:eastAsia="Consolas" w:hAnsi="Consolas"/>
          <w:color w:val="1F2937"/>
          <w:sz w:val="16"/>
          <w:szCs w:val="16"/>
        </w:rPr>
        <w:t xml:space="preserve">CREATE POLICY tenant_isolation ON ptx.unit</w:t>
      </w:r>
    </w:p>
    <w:p>
      <w:pPr>
        <w:shd w:fill="F3F4F6" w:color="auto" w:val="clear"/>
        <w:spacing w:after="0" w:before="0" w:line="240" w:lineRule="auto"/>
        <w:ind w:left="120" w:right="120"/>
      </w:pPr>
      <w:r>
        <w:rPr>
          <w:rFonts w:ascii="Consolas" w:cs="Consolas" w:eastAsia="Consolas" w:hAnsi="Consolas"/>
          <w:color w:val="1F2937"/>
          <w:sz w:val="16"/>
          <w:szCs w:val="16"/>
        </w:rPr>
        <w:t xml:space="preserve">  USING (tenant_id = current_setting('app.tenant_id'));</w:t>
      </w:r>
    </w:p>
    <w:p>
      <w:pPr>
        <w:shd w:fill="F3F4F6" w:color="auto" w:val="clear"/>
        <w:spacing w:after="0" w:before="0" w:line="240" w:lineRule="auto"/>
        <w:ind w:left="120" w:right="120"/>
      </w:pPr>
      <w:r>
        <w:rPr>
          <w:rFonts w:ascii="Consolas" w:cs="Consolas" w:eastAsia="Consolas" w:hAnsi="Consolas"/>
          <w:color w:val="1F2937"/>
          <w:sz w:val="16"/>
          <w:szCs w:val="16"/>
        </w:rPr>
        <w:t xml:space="preserve"> </w:t>
      </w:r>
    </w:p>
    <w:p>
      <w:pPr>
        <w:shd w:fill="F3F4F6" w:color="auto" w:val="clear"/>
        <w:spacing w:after="0" w:before="0" w:line="240" w:lineRule="auto"/>
        <w:ind w:left="120" w:right="120"/>
      </w:pPr>
      <w:r>
        <w:rPr>
          <w:rFonts w:ascii="Consolas" w:cs="Consolas" w:eastAsia="Consolas" w:hAnsi="Consolas"/>
          <w:color w:val="1F2937"/>
          <w:sz w:val="16"/>
          <w:szCs w:val="16"/>
        </w:rPr>
        <w:t xml:space="preserve">CREATE TABLE ptx.outbox (</w:t>
      </w:r>
    </w:p>
    <w:p>
      <w:pPr>
        <w:shd w:fill="F3F4F6" w:color="auto" w:val="clear"/>
        <w:spacing w:after="0" w:before="0" w:line="240" w:lineRule="auto"/>
        <w:ind w:left="120" w:right="120"/>
      </w:pPr>
      <w:r>
        <w:rPr>
          <w:rFonts w:ascii="Consolas" w:cs="Consolas" w:eastAsia="Consolas" w:hAnsi="Consolas"/>
          <w:color w:val="1F2937"/>
          <w:sz w:val="16"/>
          <w:szCs w:val="16"/>
        </w:rPr>
        <w:t xml:space="preserve">  id char(26) PRIMARY KEY, tenant_id text NOT NULL, topic text NOT NULL,</w:t>
      </w:r>
    </w:p>
    <w:p>
      <w:pPr>
        <w:shd w:fill="F3F4F6" w:color="auto" w:val="clear"/>
        <w:spacing w:after="0" w:before="0" w:line="240" w:lineRule="auto"/>
        <w:ind w:left="120" w:right="120"/>
      </w:pPr>
      <w:r>
        <w:rPr>
          <w:rFonts w:ascii="Consolas" w:cs="Consolas" w:eastAsia="Consolas" w:hAnsi="Consolas"/>
          <w:color w:val="1F2937"/>
          <w:sz w:val="16"/>
          <w:szCs w:val="16"/>
        </w:rPr>
        <w:t xml:space="preserve">  event_key text NOT NULL, payload jsonb NOT NULL, created_at timestamptz DEFAULT now(),</w:t>
      </w:r>
    </w:p>
    <w:p>
      <w:pPr>
        <w:shd w:fill="F3F4F6" w:color="auto" w:val="clear"/>
        <w:spacing w:after="0" w:before="0" w:line="240" w:lineRule="auto"/>
        <w:ind w:left="120" w:right="120"/>
      </w:pPr>
      <w:r>
        <w:rPr>
          <w:rFonts w:ascii="Consolas" w:cs="Consolas" w:eastAsia="Consolas" w:hAnsi="Consolas"/>
          <w:color w:val="1F2937"/>
          <w:sz w:val="16"/>
          <w:szCs w:val="16"/>
        </w:rPr>
        <w:t xml:space="preserve">  published_at timestamptz</w:t>
      </w:r>
    </w:p>
    <w:p>
      <w:pPr>
        <w:shd w:fill="F3F4F6" w:color="auto" w:val="clear"/>
        <w:spacing w:after="120" w:before="0" w:line="240" w:lineRule="auto"/>
        <w:ind w:left="120" w:right="120"/>
      </w:pPr>
      <w:r>
        <w:rPr>
          <w:rFonts w:ascii="Consolas" w:cs="Consolas" w:eastAsia="Consolas" w:hAnsi="Consolas"/>
          <w:color w:val="1F2937"/>
          <w:sz w:val="16"/>
          <w:szCs w:val="16"/>
        </w:rPr>
        <w:t xml:space="preserve">);</w:t>
      </w:r>
    </w:p>
    <w:p>
      <w:pPr>
        <w:pStyle w:val="Heading3"/>
        <w:keepNext/>
      </w:pPr>
      <w:r>
        <w:t xml:space="preserve">Events, workflow and configuration</w:t>
      </w:r>
    </w:p>
    <w:p>
      <w:pPr>
        <w:pStyle w:val="ListParagraph"/>
        <w:numPr>
          <w:ilvl w:val="0"/>
          <w:numId w:val="2"/>
        </w:numPr>
      </w:pPr>
      <w:r>
        <w:t xml:space="preserve">Producers write the business change and the outbox row in one transaction; a relay (Debezium CDC or poller) publishes to Kafka</w:t>
      </w:r>
    </w:p>
    <w:p>
      <w:pPr>
        <w:pStyle w:val="ListParagraph"/>
        <w:numPr>
          <w:ilvl w:val="0"/>
          <w:numId w:val="2"/>
        </w:numPr>
      </w:pPr>
      <w:r>
        <w:t xml:space="preserve">Consumers record the event id in the inbox in the same transaction as their change; duplicates are ignored; poison messages go to &lt;topic&gt;.dlq with an alert</w:t>
      </w:r>
    </w:p>
    <w:p>
      <w:pPr>
        <w:pStyle w:val="ListParagraph"/>
        <w:numPr>
          <w:ilvl w:val="0"/>
          <w:numId w:val="2"/>
        </w:numPr>
      </w:pPr>
      <w:r>
        <w:t xml:space="preserve">Schema evolution is backward compatible within a major version (add optional fields only). A breaking change creates .v2 and both run for 6 months (NFR-012)</w:t>
      </w:r>
    </w:p>
    <w:p>
      <w:pPr>
        <w:pStyle w:val="ListParagraph"/>
        <w:numPr>
          <w:ilvl w:val="0"/>
          <w:numId w:val="2"/>
        </w:numPr>
      </w:pPr>
      <w:r>
        <w:t xml:space="preserve">BPMN process keys are named &lt;service&gt;.&lt;process&gt; (for example ptx.assessment-approval). User tasks carry the ward and role, and the service exposes task completion as API actions</w:t>
      </w:r>
    </w:p>
    <w:p>
      <w:pPr>
        <w:pStyle w:val="ListParagraph"/>
        <w:numPr>
          <w:ilvl w:val="0"/>
          <w:numId w:val="2"/>
        </w:numPr>
      </w:pPr>
      <w:r>
        <w:t xml:space="preserve">DMN decisions are named &lt;service&gt;.&lt;decision&gt; (for example ptx.arv-calculation) and evaluated with the effective date of the transaction</w:t>
      </w:r>
    </w:p>
    <w:p>
      <w:pPr>
        <w:pStyle w:val="ListParagraph"/>
        <w:numPr>
          <w:ilvl w:val="0"/>
          <w:numId w:val="2"/>
        </w:numPr>
      </w:pPr>
      <w:r>
        <w:t xml:space="preserve">Text shown to users comes from translation keys; notices are generated from templates per language and stored in DMS</w:t>
      </w:r>
    </w:p>
    <w:p>
      <w:pPr>
        <w:sectPr>
          <w:headerReference w:type="default" r:id="rId29"/>
          <w:footerReference w:type="default" r:id="rId30"/>
          <w:pgSz w:w="11906" w:h="16838" w:orient="portrait"/>
          <w:pgMar w:top="1134" w:right="1134" w:bottom="1134" w:left="1134" w:header="708" w:footer="708" w:gutter="0"/>
          <w:pgNumType/>
          <w:docGrid w:linePitch="360"/>
        </w:sectPr>
      </w:pPr>
    </w:p>
    <w:p>
      <w:pPr>
        <w:pStyle w:val="Heading1"/>
        <w:pageBreakBefore/>
      </w:pPr>
      <w:r>
        <w:t xml:space="preserve">17. Platform services (LLD)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21"/>
        <w:gridCol w:w="4006"/>
        <w:gridCol w:w="3278"/>
        <w:gridCol w:w="2914"/>
        <w:gridCol w:w="2551"/>
      </w:tblGrid>
      <w:tr>
        <w:trPr>
          <w:cantSplit/>
          <w:tblHeader/>
        </w:trPr>
        <w:tc>
          <w:tcPr>
            <w:tcW w:type="dxa" w:w="182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Service</w:t>
            </w:r>
          </w:p>
        </w:tc>
        <w:tc>
          <w:tcPr>
            <w:tcW w:type="dxa" w:w="400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Design</w:t>
            </w:r>
          </w:p>
        </w:tc>
        <w:tc>
          <w:tcPr>
            <w:tcW w:type="dxa" w:w="327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Key APIs</w:t>
            </w:r>
          </w:p>
        </w:tc>
        <w:tc>
          <w:tcPr>
            <w:tcW w:type="dxa" w:w="29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Key tables</w:t>
            </w:r>
          </w:p>
        </w:tc>
        <w:tc>
          <w:tcPr>
            <w:tcW w:type="dxa" w:w="255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Events</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Identity and OTP</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Keycloak realm 'urban' with tenant attribute; custom authenticators: mobile-OTP, step-up (transaction-bound), CAPTCHA gate; identity brokering to Meri Pehchaan (OIDC)</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/otp/v1/challenges, POST /otp/v1/challenges/{id}:verify, POST /auth/stepup</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otp_challenge (hash, purpose, txn_hash, attempts, expires_at), device, consent</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urban.identity.login.succeeded|failed.v1, urban.identity.stepup.used.v1</w:t>
            </w:r>
          </w:p>
        </w:tc>
      </w:tr>
      <w:tr>
        <w:trPr>
          <w:cantSplit/>
          <w:tblHeader w:val="false"/>
        </w:trPr>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Workflow and rules</w:t>
            </w:r>
          </w:p>
        </w:tc>
        <w:tc>
          <w:tcPr>
            <w:tcW w:type="dxa" w:w="40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Flowable engine with REST; task service in staff console; SLA timers raise escalations; DMN deployed per tenant and version</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/wf/v1/process-instances, GET /wf/v1/tasks?assignee=, POST /wf/v1/tasks/{id}:complete, POST /rules/v1/decisions/{key}:evaluate</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Flowable tables (own schema), decision_version (key, tenant, effective_from, approved_by)</w:t>
            </w:r>
          </w:p>
        </w:tc>
        <w:tc>
          <w:tcPr>
            <w:tcW w:type="dxa" w:w="25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urban.wf.task.created|completed|escalated.v1</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Tenant and configuration</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Tenants, boundaries (ward polygons), departments, enabled modules and modes, state pack versions, feature flags; config cached in Valkey</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/cfg/v1/tenants/{id}, GET /cfg/v1/config/{module}?at=, PUT /cfg/v1/config/{module} (maker-checker)</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tenant, boundary, module_setting, config_version, state_pack</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urban.cfg.config.changed.v1</w:t>
            </w:r>
          </w:p>
        </w:tc>
      </w:tr>
      <w:tr>
        <w:trPr>
          <w:cantSplit/>
          <w:tblHeader w:val="false"/>
        </w:trPr>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w:t>
            </w:r>
          </w:p>
        </w:tc>
        <w:tc>
          <w:tcPr>
            <w:tcW w:type="dxa" w:w="40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 intent per dues set; gateway adapters; webhook verification; BBPS fetch and pay; settlement files</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/pay/v1/intents, POST /pay/v1/webhooks/{provider}, GET /pay/v1/intents/{id}</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payment_intent, payment_attempt, settlement, refund</w:t>
            </w:r>
          </w:p>
        </w:tc>
        <w:tc>
          <w:tcPr>
            <w:tcW w:type="dxa" w:w="25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urban.pay.payment.succeeded|failed|refunded.v1</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Notification</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Template rendering with language fallback; channel adapters (DLT SMS, WhatsApp BSP, email, FCM, IVRS); rate limits</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/ntf/v1/messages, GET /ntf/v1/messages/{id}</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template, message, delivery_receipt, preference</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urban.ntf.message.delivered|failed.v1</w:t>
            </w:r>
          </w:p>
        </w:tc>
      </w:tr>
      <w:tr>
        <w:trPr>
          <w:cantSplit/>
          <w:tblHeader w:val="false"/>
        </w:trPr>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GIS, elevation and 3D</w:t>
            </w:r>
          </w:p>
        </w:tc>
        <w:tc>
          <w:tcPr>
            <w:tcW w:type="dxa" w:w="40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Layer catalogue, geocoder (address, ULPIN, door number), spatial queries, elevation analysis, 3D tile builder</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/gis/v1/geocode, POST /gis/v1/analysis/{op}, /gis/ows (OGC), /tiles/{layer}/{z}/{x}/{y}</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layer, layer_version, raster_asset, building_3d</w:t>
            </w:r>
          </w:p>
        </w:tc>
        <w:tc>
          <w:tcPr>
            <w:tcW w:type="dxa" w:w="25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urban.gis.layer.published.v1</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Search</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Indexers subscribe to module events and build projections; query API applies access filter</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/search/v1?q=&amp;types=</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OpenSearch indices per tenant and type</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r>
      <w:tr>
        <w:trPr>
          <w:cantSplit/>
          <w:tblHeader w:val="false"/>
        </w:trPr>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Audit</w:t>
            </w:r>
          </w:p>
        </w:tc>
        <w:tc>
          <w:tcPr>
            <w:tcW w:type="dxa" w:w="40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Append-only, hash-chained audit records; export to SIEM</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/audit/v1/records (internal), GET /audit/v1/records?entity=</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audit_record (actor, action, entity, before, after, hash, prev_hash)</w:t>
            </w:r>
          </w:p>
        </w:tc>
        <w:tc>
          <w:tcPr>
            <w:tcW w:type="dxa" w:w="25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urban.audit.record.created.v1</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Field sync</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Task packages, delta sync, conflict rules, media upload</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/sync/v1/packages, POST /sync/v1/changes</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device, sync_cursor, change_log</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r>
      <w:tr>
        <w:trPr>
          <w:cantSplit/>
          <w:tblHeader w:val="false"/>
        </w:trPr>
        <w:tc>
          <w:tcPr>
            <w:tcW w:type="dxa" w:w="18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Adapter hub</w:t>
            </w:r>
          </w:p>
        </w:tc>
        <w:tc>
          <w:tcPr>
            <w:tcW w:type="dxa" w:w="400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One adapter per external system with mapping, retries, circuit breaker, call audit</w:t>
            </w:r>
          </w:p>
        </w:tc>
        <w:tc>
          <w:tcPr>
            <w:tcW w:type="dxa" w:w="327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Internal REST per adapter, for example POST /adapters/cdma/v1/demands</w:t>
            </w:r>
          </w:p>
        </w:tc>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adapter_call_log, mapping_table</w:t>
            </w:r>
          </w:p>
        </w:tc>
        <w:tc>
          <w:tcPr>
            <w:tcW w:type="dxa" w:w="255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urban.adapter.call.failed.v1</w:t>
            </w:r>
          </w:p>
        </w:tc>
      </w:tr>
      <w:tr>
        <w:trPr>
          <w:cantSplit/>
          <w:tblHeader w:val="false"/>
        </w:trPr>
        <w:tc>
          <w:tcPr>
            <w:tcW w:type="dxa" w:w="18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Aadhaar Data Vault</w:t>
            </w:r>
          </w:p>
        </w:tc>
        <w:tc>
          <w:tcPr>
            <w:tcW w:type="dxa" w:w="400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Separate service and database; HSM-wrapped keys; returns reference keys; strict access by two services</w:t>
            </w:r>
          </w:p>
        </w:tc>
        <w:tc>
          <w:tcPr>
            <w:tcW w:type="dxa" w:w="327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/adv/v1/references, POST /adv/v1/references/{ref}:resolve (restricted)</w:t>
            </w:r>
          </w:p>
        </w:tc>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vault_entry (ref_key, cipher, key_version)</w:t>
            </w:r>
          </w:p>
        </w:tc>
        <w:tc>
          <w:tcPr>
            <w:tcW w:type="dxa" w:w="255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w:t>
            </w:r>
          </w:p>
        </w:tc>
      </w:tr>
    </w:tbl>
    <w:p>
      <w:pPr>
        <w:spacing w:after="40"/>
      </w:pPr>
    </w:p>
    <w:p>
      <w:pPr>
        <w:sectPr>
          <w:headerReference w:type="default" r:id="rId31"/>
          <w:footerReference w:type="default" r:id="rId32"/>
          <w:pgSz w:w="16838" w:h="11906" w:orient="landscape"/>
          <w:pgMar w:top="1134" w:right="1134" w:bottom="1134" w:left="1134" w:header="708" w:footer="708" w:gutter="0"/>
          <w:pgNumType/>
          <w:docGrid w:linePitch="360"/>
        </w:sectPr>
      </w:pPr>
    </w:p>
    <w:p>
      <w:pPr>
        <w:pageBreakBefore/>
        <w:spacing w:after="240" w:before="2600" w:line="276" w:lineRule="auto"/>
      </w:pPr>
      <w:r>
        <w:rPr>
          <w:b/>
          <w:bCs/>
          <w:color w:val="2E7D32"/>
          <w:sz w:val="22"/>
          <w:szCs w:val="22"/>
        </w:rPr>
        <w:t xml:space="preserve">PART B  |  PHASE 1  |  MONTHS 0 TO 6</w:t>
      </w:r>
    </w:p>
    <w:p>
      <w:pPr>
        <w:pStyle w:val="Heading1"/>
        <w:spacing w:after="240" w:before="0" w:line="300" w:lineRule="auto"/>
      </w:pPr>
      <w:r>
        <w:rPr>
          <w:sz w:val="52"/>
          <w:szCs w:val="52"/>
        </w:rPr>
        <w:t xml:space="preserve">18. Phase 1 LLD: Foundation and revenue core</w:t>
      </w:r>
    </w:p>
    <w:p>
      <w:pPr>
        <w:spacing w:after="600"/>
      </w:pPr>
      <w:r>
        <w:rPr>
          <w:color w:val="5B6675"/>
          <w:sz w:val="26"/>
          <w:szCs w:val="26"/>
        </w:rPr>
        <w:t xml:space="preserve">5 services: ptx-service, wtr-service, grv-service, fin-service, dms-service</w:t>
      </w:r>
    </w:p>
    <w:p>
      <w:pPr>
        <w:spacing w:after="80"/>
      </w:pPr>
      <w:r>
        <w:rPr>
          <w:b/>
          <w:bCs/>
          <w:color w:val="1F2937"/>
          <w:sz w:val="24"/>
          <w:szCs w:val="24"/>
        </w:rPr>
        <w:t xml:space="preserve">1</w:t>
      </w:r>
      <w:r>
        <w:rPr>
          <w:color w:val="1F2937"/>
          <w:sz w:val="24"/>
          <w:szCs w:val="24"/>
        </w:rPr>
        <w:t xml:space="preserve">   Property Tax &amp; Revenue Management</w:t>
      </w:r>
    </w:p>
    <w:p>
      <w:pPr>
        <w:spacing w:after="80"/>
      </w:pPr>
      <w:r>
        <w:rPr>
          <w:b/>
          <w:bCs/>
          <w:color w:val="1F2937"/>
          <w:sz w:val="24"/>
          <w:szCs w:val="24"/>
        </w:rPr>
        <w:t xml:space="preserve">2</w:t>
      </w:r>
      <w:r>
        <w:rPr>
          <w:color w:val="1F2937"/>
          <w:sz w:val="24"/>
          <w:szCs w:val="24"/>
        </w:rPr>
        <w:t xml:space="preserve">   Water, Sewerage &amp; Utility Billing</w:t>
      </w:r>
    </w:p>
    <w:p>
      <w:pPr>
        <w:spacing w:after="80"/>
      </w:pPr>
      <w:r>
        <w:rPr>
          <w:b/>
          <w:bCs/>
          <w:color w:val="1F2937"/>
          <w:sz w:val="24"/>
          <w:szCs w:val="24"/>
        </w:rPr>
        <w:t xml:space="preserve">3</w:t>
      </w:r>
      <w:r>
        <w:rPr>
          <w:color w:val="1F2937"/>
          <w:sz w:val="24"/>
          <w:szCs w:val="24"/>
        </w:rPr>
        <w:t xml:space="preserve">   Citizen Service Desk, Grievance &amp; RTI</w:t>
      </w:r>
    </w:p>
    <w:p>
      <w:pPr>
        <w:spacing w:after="80"/>
      </w:pPr>
      <w:r>
        <w:rPr>
          <w:b/>
          <w:bCs/>
          <w:color w:val="1F2937"/>
          <w:sz w:val="24"/>
          <w:szCs w:val="24"/>
        </w:rPr>
        <w:t xml:space="preserve">4</w:t>
      </w:r>
      <w:r>
        <w:rPr>
          <w:color w:val="1F2937"/>
          <w:sz w:val="24"/>
          <w:szCs w:val="24"/>
        </w:rPr>
        <w:t xml:space="preserve">   Finance &amp; Accounting</w:t>
      </w:r>
    </w:p>
    <w:p>
      <w:pPr>
        <w:spacing w:after="80"/>
      </w:pPr>
      <w:r>
        <w:rPr>
          <w:b/>
          <w:bCs/>
          <w:color w:val="1F2937"/>
          <w:sz w:val="24"/>
          <w:szCs w:val="24"/>
        </w:rPr>
        <w:t xml:space="preserve">9</w:t>
      </w:r>
      <w:r>
        <w:rPr>
          <w:color w:val="1F2937"/>
          <w:sz w:val="24"/>
          <w:szCs w:val="24"/>
        </w:rPr>
        <w:t xml:space="preserve">   Document Management System</w:t>
      </w:r>
    </w:p>
    <w:p>
      <w:pPr>
        <w:pStyle w:val="Heading2"/>
        <w:pageBreakBefore/>
      </w:pPr>
      <w:r>
        <w:t xml:space="preserve">18.0 Phase 1 build notes</w:t>
      </w:r>
    </w:p>
    <w:p>
      <w:pPr>
        <w:pStyle w:val="ListParagraph"/>
        <w:numPr>
          <w:ilvl w:val="0"/>
          <w:numId w:val="2"/>
        </w:numPr>
      </w:pPr>
      <w:r>
        <w:t xml:space="preserve">Build the platform services first: identity and OTP, tenant and config, workflow and DMN, payment, notification, GIS base, document pipeline, search, audit, adapter hub</w:t>
      </w:r>
    </w:p>
    <w:p>
      <w:pPr>
        <w:pStyle w:val="ListParagraph"/>
        <w:numPr>
          <w:ilvl w:val="0"/>
          <w:numId w:val="2"/>
        </w:numPr>
      </w:pPr>
      <w:r>
        <w:t xml:space="preserve">Interim masters: org hierarchy in tenant-config until hrm-service (Phase 4); ward and road layers in gis-service until tpl-service and eng-service</w:t>
      </w:r>
    </w:p>
    <w:p>
      <w:pPr>
        <w:pStyle w:val="ListParagraph"/>
        <w:numPr>
          <w:ilvl w:val="0"/>
          <w:numId w:val="2"/>
        </w:numPr>
      </w:pPr>
      <w:r>
        <w:t xml:space="preserve">Stub consumers for later providers (Building Permission OC, schemes concessions, Legal) behind the final contracts</w:t>
      </w:r>
    </w:p>
    <w:p>
      <w:pPr>
        <w:pStyle w:val="ListParagraph"/>
        <w:numPr>
          <w:ilvl w:val="0"/>
          <w:numId w:val="2"/>
        </w:numPr>
      </w:pPr>
      <w:r>
        <w:t xml:space="preserve">Adapters needed: CDMA (integrate mode), IGRS, land records, payment gateway and BBPS, banks, PFMS, SMS DLT, WhatsApp, DigiLocker, eSign, Bhashini, blockchain</w:t>
      </w:r>
    </w:p>
    <w:p>
      <w:pPr>
        <w:pStyle w:val="Heading2"/>
        <w:pageBreakBefore/>
      </w:pPr>
      <w:r>
        <w:t xml:space="preserve">18.1 1 Property Tax &amp; Revenue Management (ptx-service)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ptx-service, PostgreSQL schema ptx, base path /ptx/v1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ULPIN, assessment, mutation, demand, collection, state platform sync</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Bill Collector; Cashier; Revenue Inspector; Revenue Officer; GIS cell;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38 (PTX-FR-001 to PTX-FR-038), 33 processes (PTX-*)</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I-05, I-09, I-16, I-17, I-27, I-28, I-33; consumes I-03, I-08, I-20, I-22, I-23, I-24, I-29, I-30, I-32, I-34, I-37, I-40</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parcel</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ulpin (PK, business key), provisional_flag, survey_no, ward_id, locality_id, geom (MultiPolygon, 4326), road_id, road_class, corner_plot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One per land parcel; ULPIN from state registry or provisional</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building</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building_no (ULPIN-Bnn), parcel_id, floors, height_m, footprint geom, dsm_height_m, oc_ref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Height cross-checked with nDSM</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unit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ptin, unit_no (ULPIN-Bnn-Unnnn), building_id, usage, occupancy, plinth_area, carpet_area, legacy_no[]</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Assessable unit; PTIN from state platform</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segment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unit_id, segment_type (ATM, kiosk, tower, hoarding), area_sqm, licence_ref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Part-area use taxed on its own area</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owner_link</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unit_id, party_id, share_pct, from_date, to_date, source (deed, mutation)</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Ownership history; party in citizen master</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assessment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unit_id, type (new, re, back, self, revision), arv, tax_rates_version, effective_from, status, workflow_id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Calculated by rules engine DMN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demand</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unit_id, period (H1/H2 yyyy), head (tax, cess, penalty, interest, arrear), amount, rebate, due_date,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Immutable lines; corrections by adjustment</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receipt / adjustment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receipt_no, payment_ref, lines[{demand_id, amount}], channel, realised_at / adj_type, reason, approver</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Maker-checker on adjustments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notice / petition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notice_type, served_at, served_by, geo_point / petition_no, grounds, lgl_case_ref</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Petitions become Legal cases (I-17)</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/ptx/v1/parcels/{ulpin}</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ULPIN lookup with buildings, units, owners (I-27)</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PTX-P01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/ptx/v1/parcels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Register parcel; provisional ULPIN when state ID absent</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PTX-P01, PTX-P03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/ptx/v1/assessments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Create assessment draft (new, re, back, apartment, vacant land)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PTX-P05, PTX-P07-P09, PTX-P11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/ptx/v1/assessments/self</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Citizen self-assessment with documents and CAPTCHA</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PTX-P06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/ptx/v1/assessments/{id}:submit|approve|reject</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Workflow transitions; approve needs maker-checker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PTX-P05-P13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/ptx/v1/mutations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Mutation by application; auto-mutation via IGRS adapter</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PTX-P14, PTX-P15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/ptx/v1/demand-runs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Start half-yearly demand generation (batch, idempotent by period)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PTX-P18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/ptx/v1/units/{ptin}/dues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Outstanding dues for payment and BBPS fetch</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PTX-P21</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/ptx/v1/adjustments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Bill amendment, rebate, write-off (step-up OTP above threshold)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PTX-P19, PTX-P26, PTX-P27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/ptx/v1/certificates/{type}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No-dues, assessment extract (signed via DMS, QR)</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PTX-P28</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Water &amp; Sewerage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/ptx/v1/units/{ulpin}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Water &amp; Sewerage, 5 Trade Licence, 6 User Charges, 7 Solid Waste, 11 Building Permission, 15 Municipal Property, 18 Fire NOC, 19 Government Schemes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urban.ptx.setback-deviation.referred.v1 / urban.tpl.regularisation.decided.v1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urban.bpm.occupancy-certificate.issued.v1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5 Trade Licence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urban.trl.establishment.changed.v1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19 Government Schemes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/gsc/v1/concessions?ulpin=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/dms/v1/dossiers/{ulpin}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urban.tpl.layout.approved.v1, urban.tpl.door-number.assigned.v1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urban.bpm.rwh-certificate.changed.v1</w:t>
            </w:r>
          </w:p>
        </w:tc>
      </w:tr>
    </w:tbl>
    <w:p>
      <w:pPr>
        <w:spacing w:after="40"/>
      </w:pPr>
    </w:p>
    <w:p>
      <w:pPr>
        <w:pStyle w:val="Heading3"/>
        <w:keepNext/>
      </w:pPr>
      <w:r>
        <w:t xml:space="preserve">State model: Assessment lifecycle</w:t>
      </w:r>
    </w:p>
    <w:p>
      <w:pPr>
        <w:spacing w:after="0" w:before="0" w:line="240" w:lineRule="auto"/>
        <w:jc w:val="center"/>
      </w:pPr>
      <w:r>
        <w:drawing>
          <wp:inline distT="0" distB="0" distL="0" distR="0">
            <wp:extent cx="1914525" cy="5324475"/>
            <wp:effectExtent t="0" r="0" b="0" l="0"/>
            <wp:docPr id="1" name="Figure 9. Property Tax &amp; Revenue Management: assessment lifecycle states" descr="Figure 9. Property Tax &amp; Revenue Management: assessment lifecycle states" title="Figure 9. Property Tax &amp; Revenue Management: assessment lifecycl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914525" cy="5324475"/>
                    </a:xfrm>
                    <a:prstGeom prst="rect">
                      <a:avLst/>
                    </a:prstGeom>
                  </pic:spPr>
                </pic:pic>
              </a:graphicData>
            </a:graphic>
          </wp:inline>
        </w:drawing>
      </w:r>
    </w:p>
    <w:p>
      <w:pPr>
        <w:jc w:val="center"/>
      </w:pPr>
      <w:r>
        <w:rPr>
          <w:i/>
          <w:iCs/>
          <w:color w:val="5B6675"/>
          <w:sz w:val="17"/>
          <w:szCs w:val="17"/>
        </w:rPr>
        <w:t xml:space="preserve">Figure 9. Property Tax &amp; Revenue Management: assessment lifecycle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demand-run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1 April and 1 October 00:30 (per state pack)</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Generate half-yearly demand by ward partitions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interest-accrual</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 1st 01:00</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Penalty and interest per rules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cdma-sync</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Every 5 min</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Two-way sync with state tax platform (integrate mode)</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gis-reconcile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Weekly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Footprint vs assessed area, nDSM height vs floors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Tax method and rates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 decision table (state pack)</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ARV by zone, usage, construction type</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Rebates and penalties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Early payment rebate, interest per month</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 cycle</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Half-yearly, due dates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Thresholds for step-up OTP</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Adjustments above Rs 10,000</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municipal portals (Telangana: CDMA)</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reporting and service catalogues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E-16</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registration department (Telangana: Registration &amp; Stamps / IGRS)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Deed data and mutation fee for auto-mutation (GO Ms No 155) and apartment unit split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E-17</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land records / ULPIN registry</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ULPIN and land parcel data</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E-18</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municipal tax platform adapter (Telangana: CDMA eMunicipal by CGG)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Two-way sync of assessments, state assessment numbers, demand, receipts, mutations where the state platform is system of record</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E-29</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Online accommodation listings and tourism/police registrations (where data sharing exists)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Detect unlicensed or undeclared paying guest, homestay and short-term rental use</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18.2 2 Water, Sewerage &amp; Utility Billing (wtr-service)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wtr-service, PostgreSQL schema wtr, base path /wtr/v1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Connections, metering, billing, NRW, tankers, call for service</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 consumer; Meter reader; Field crew and licensed plumber; Dispatcher; AE (Water); Chemist; Tanker and desludging operators;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35 (WTR-FR-001 to WTR-FR-035), 32 processes (WTR-*)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I-09, I-14, I-16, I-17, I-31, I-33, I-39; consumes I-05, I-08, I-15, I-20, I-23, I-24, I-27, I-29, I-30, I-32, I-34, I-36, I-40</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connection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consumer_no, unit_id (ULPIN), category, pipe_size_mm, status, metered, dma_id, geom point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Water or sewer connection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application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app_no, type (new, transfer, change, disconnect), status, workflow_id, road_cut_ref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One table for all service applications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meter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meter_no, make, size, install_date, last_test, amr_id,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Replacements kept as history</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reading</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connection_id, reading_date, value, source (spot, AMR, estimated), photo_ref,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Spot billing from field app</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bill / bill_line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bill_no, period, consumption_kl, tariff_version, amount, due_date / head, amount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Tariff via DMN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service_request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sr_no, type (leak, no water, tanker, desludging), geom, priority, crew_id, sla_due,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Call for service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dma_balance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dma_id, month, inflow_kl, billed_kl, nrw_pct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NRW by district metered area</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quality_sample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sample_point, taken_at, params jsonb, result, action</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Contamination response</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/wtr/v1/applications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New connection, transfer, change, disconnection</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WTR-W01-W10</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/wtr/v1/applications/{id}:approve|reject</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Workflow transitions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WTR-W01-W10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/wtr/v1/readings:batch</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Upload readings from field app or AMR head-end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WTR-W12, WTR-W13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/wtr/v1/billing-runs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Bill generation per cycle and zone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WTR-W16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/wtr/v1/connections/{consumerNo}/dues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Dues for payment and BBPS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WTR-W19</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/wtr/v1/service-requests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Leak, no-water, tanker, desludging request</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WTR-W27-W30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PATCH /wtr/v1/service-requests/{id}</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Dispatch, update, close with geo-tagged evidence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WTR-W30</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/wtr/v1/hydrants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Hydrants and pressure zones (I-39)</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/wtr/v1/dma/{id}/balance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NRW report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WTR-W23</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I-31</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urban.wtr.road-cut.requested.v1 / urban.eng.road-cut.restored.v1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layer hydrants, GET /wtr/v1/hydrants?bbox=</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/ptx/v1/units/{ulpin}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19 Government Schemes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/gsc/v1/concessions?ulpin=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/dms/v1/dossiers/{ulpin}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urban.uch.event-service-order.issued.v1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urban.bpm.rwh-certificate.changed.v1</w:t>
            </w:r>
          </w:p>
        </w:tc>
      </w:tr>
    </w:tbl>
    <w:p>
      <w:pPr>
        <w:spacing w:after="40"/>
      </w:pPr>
    </w:p>
    <w:p>
      <w:pPr>
        <w:pStyle w:val="Heading3"/>
        <w:keepNext/>
      </w:pPr>
      <w:r>
        <w:t xml:space="preserve">State model: Connection application</w:t>
      </w:r>
    </w:p>
    <w:p>
      <w:pPr>
        <w:spacing w:after="0" w:before="0" w:line="240" w:lineRule="auto"/>
        <w:jc w:val="center"/>
      </w:pPr>
      <w:r>
        <w:drawing>
          <wp:inline distT="0" distB="0" distL="0" distR="0">
            <wp:extent cx="2619375" cy="5334000"/>
            <wp:effectExtent t="0" r="0" b="0" l="0"/>
            <wp:docPr id="1" name="Figure 10. Water, Sewerage &amp; Utility Billing: connection application states" descr="Figure 10. Water, Sewerage &amp; Utility Billing: connection application states" title="Figure 10. Water, Sewerage &amp; Utility Billing: connection appl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19375" cy="5334000"/>
                    </a:xfrm>
                    <a:prstGeom prst="rect">
                      <a:avLst/>
                    </a:prstGeom>
                  </pic:spPr>
                </pic:pic>
              </a:graphicData>
            </a:graphic>
          </wp:inline>
        </w:drawing>
      </w:r>
    </w:p>
    <w:p>
      <w:pPr>
        <w:jc w:val="center"/>
      </w:pPr>
      <w:r>
        <w:rPr>
          <w:i/>
          <w:iCs/>
          <w:color w:val="5B6675"/>
          <w:sz w:val="17"/>
          <w:szCs w:val="17"/>
        </w:rPr>
        <w:t xml:space="preserve">Figure 10. Water, Sewerage &amp; Utility Billing: connection application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billing-run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 cycle and zone</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Generate bills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amr-ingest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Every 15 min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Pull AMR readings and alarms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nrw-balance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DMA water balance</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arrears-notice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Disconnection notices after notice period</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Tariff</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Slabs by category and consumption</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SLA per request type</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Tanker 48 h, desludging 3 days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Average billing rule</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Faulty meter: last 3 cycles</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E-15</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Vehicle GPS / AVLS provider</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Vehicle tracking for SWM fleet, water tankers and desludging vehicles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E-18</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municipal tax platform adapter (Telangana: CDMA eMunicipal by CGG)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Two-way sync of assessments, state assessment numbers, demand, receipts, mutations where the state platform is system of record</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E-19</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Bulk water supplier meters / SCADA (Telangana: Mission Bhagiratha)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Bulk inflow readings per zone or DMA for water balance</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E-20</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AMR / smart water meter head-end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Automatic meter readings and alarms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18.3 3 Citizen Service Desk, Grievance &amp; RTI (grv-service)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grv-service, PostgreSQL schema grv, base path /grv/v1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Grievance on every channel, SLA routing, RTI, happiness index</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Call-centre agent; Social media cell; Ward clerk; GRO and department officers; PIO, APIO and First Appellate Authority; Audit cell; Commissioner and Mayor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30 (GRV-FR-001 to GRV-FR-030), 30 processes (GRV-*)</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I-08, I-16, I-17, I-34; consumes I-20, I-29, I-30, I-33</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service_request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sr_no, channel, category_id, description, geom, ward_id, citizen_id, owner_module, owner_ref, status, sla_due, priority</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Every complaint or request</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category</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code, name_i18n, owner_module, sla_hours, escalation_matrix_id, call_for_service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Taxonomy shared by all modules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assignment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sr_id, org_unit, user_id, assigned_at, transferred_from, reason</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Transfer and reassign history</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evidence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sr_id, stage, document_id, geom, captured_at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Before and after photos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feedback</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sr_id, rating, comment, reopened flag</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Happiness rating</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rti_application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rti_no, applicant, subject, pio_id, due_date, fee_status, status, third_party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 register</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rti_appeal</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rti_id, level (first, second), filed_at, hearing_date, order</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Appeals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channel_message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channel (WhatsApp, IVRS, social, Swachhata, CPGRAMS), external_id, payload, sr_id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Inbound raw messages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/grv/v1/service-requests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Create request from any channel; duplicate check</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GRV-G01-G08, GRV-G10</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/grv/v1/service-requests/{srNo}</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Status for citizen view</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GRV-G25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/grv/v1/service-requests/{id}:route|transfer|resolve|reopen|close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Lifecycle actions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GRV-G11, GRV-G12, GRV-G16, GRV-G18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/grv/v1/service-requests/{id}/feedback</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Citizen confirmation and rating</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GRV-G17</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/grv/v1/rti</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RTI application</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GRV-G20</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/grv/v1/rti/{id}:assign|reply|appeal</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RTI lifecycle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GRV-G21-G23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/grv/v1/channels/{channel}/webhook</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Inbound adapters (WhatsApp, Swachhata, CPGRAMS, social)</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GRV-G01-G06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/grv/v1/dashboards/governance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Good governance and happiness index</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GRV-G29, GRV-G30</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5 Trade Licence, 6 User Charges, 7 Solid Waste, 10 Engineering Projects, 11 Building Permission, 12 Street Lights, 13 Town Planning, 14 Parks &amp; Horticulture, 15 Municipal Property, 18 Fire NOC, 19 Government Schemes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 modules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/dms/v1/dossiers/{ulpin}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All modules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bl>
    <w:p>
      <w:pPr>
        <w:spacing w:after="40"/>
      </w:pPr>
    </w:p>
    <w:p>
      <w:pPr>
        <w:pStyle w:val="Heading3"/>
        <w:keepNext/>
      </w:pPr>
      <w:r>
        <w:t xml:space="preserve">State model: Service request</w:t>
      </w:r>
    </w:p>
    <w:p>
      <w:pPr>
        <w:spacing w:after="0" w:before="0" w:line="240" w:lineRule="auto"/>
        <w:jc w:val="center"/>
      </w:pPr>
      <w:r>
        <w:drawing>
          <wp:inline distT="0" distB="0" distL="0" distR="0">
            <wp:extent cx="3381375" cy="5334000"/>
            <wp:effectExtent t="0" r="0" b="0" l="0"/>
            <wp:docPr id="1" name="Figure 11. Citizen Service Desk, Grievance &amp; RTI: service request states" descr="Figure 11. Citizen Service Desk, Grievance &amp; RTI: service request states" title="Figure 11. Citizen Service Desk, Grievance &amp; RTI: service reques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81375" cy="5334000"/>
                    </a:xfrm>
                    <a:prstGeom prst="rect">
                      <a:avLst/>
                    </a:prstGeom>
                  </pic:spPr>
                </pic:pic>
              </a:graphicData>
            </a:graphic>
          </wp:inline>
        </w:drawing>
      </w:r>
    </w:p>
    <w:p>
      <w:pPr>
        <w:jc w:val="center"/>
      </w:pPr>
      <w:r>
        <w:rPr>
          <w:i/>
          <w:iCs/>
          <w:color w:val="5B6675"/>
          <w:sz w:val="17"/>
          <w:szCs w:val="17"/>
        </w:rPr>
        <w:t xml:space="preserve">Figure 11. Citizen Service Desk, Grievance &amp; RTI: service request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sla-escalation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Every 5 min</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Escalate breached requests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auto-close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Hourly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Close resolved requests after confirmation window</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rti-due-alerts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 08:00</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Alerts 7, 3, 1 days before due</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hotspot-analysis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Cluster complaints by location and category</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Category taxonomy and SLAs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Garbage 12 h, street light 48 h</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Escalation matrix</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Ward officer, AC, Commissioner</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Reopen window</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5 days</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E-07</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municipal portals (Telangana: CDMA)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reporting and service catalogues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MoHUA Swachhata app / SBM-U</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Swachh Bharat complaints in, resolution status and photos out; citizen feedback</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and national grievance portals (Telangana: Prajavani; CPGRAMS)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Inbound grievances, status and action-taken reports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Social media platforms / listening tool</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Mentions and messages in, replies out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RTI portal and State Information Commission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Online RTI applications; appeal and hearing information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E-25</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Call centre telephony and IVRS (Telangana: CDMA call centre, if used)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Caller identification, IVRS, recording, call-backs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Bhashini (National Language Translation Mission) or on-premises Indian language models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Translation, transliteration, speech (IVRS, chatbot) and OCR for Indian languages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18.4 4 Finance &amp; Accounting (fin-service)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fin-service, PostgreSQL schema fin, base path /fin/v1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Ledger, budget, GST, payments, close, audit, bonds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Accountant; Accounts Officer; Cashier; Department bill raisers; Internal auditor; Commissioner; Standing Committee and Council; Rating agency; Merchant banker and debenture trustee</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30 (FIN-FR-001 to FIN-FR-030), 30 processes (FIN-*)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I-16, I-24, I-33; consumes I-09, I-10, I-11, I-12, I-13, I-18, I-19, I-25, I-34, I-42</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account_head</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code (NMAM / state), name, type, function, functionary, fund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Chart of accounts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budget_line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fy, head_id, function, original, revised, committed, actual</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Budget control</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journal / journal_line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voucher_no, date, source_module, source_ref, status / head_id, dr, cr, function, ward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Double entry; source idempotency key</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bill</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bill_no, type (works, supply, salary, advocate, refund), vendor_id, gross, deductions jsonb, net,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Bills with statutory deductions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payment_no, bill_id, mode (PFMS, treasury, bank), utr, paid_at,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 and confirmation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receipt_realisation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receipt_ref, module, bank_txn_id, realised_at, account_head_id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T+1 realisation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bank_statement_line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bank_account, txn_date, amount, ref, matched_to</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Auto reconciliation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gst_invoice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invoice_no, gstin_buyer, taxable, cgst, sgst, igst, irn</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Output tax and e-invoice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fixed_asset_schedule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asset_ref, cost, dep_method, accumulated_dep</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Interim until Module 15</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/fin/v1/postings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Idempotent posting endpoint behind event consumers (I-09, I-10, I-13, I-19, I-42)</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FIN-F07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/fin/v1/commitments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Budget check and commitment (I-11)</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FIN-F05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/fin/v1/bills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Create bill; deductions computed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FIN-F11, FIN-F12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/fin/v1/bills/{id}:pass|pay</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Pass and pay; step-up OTP for payment approval</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FIN-F13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/fin/v1/bank-statements:import</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Import bank feed for reconciliation</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FIN-F22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/fin/v1/periods/{yyyymm}:close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Month-end close with checks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FIN-F23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/fin/v1/reports/{name}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Trial balance, receipts and payments, balance sheet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FIN-F25</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/fin/v1/gst/returns/{period}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Prepare GSTR files via GSP adapter</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FIN-F21</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 2 Water &amp; Sewerage, 5 Trade Licence, 6 User Charges, 15 Municipal Property</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 2 Water &amp; Sewerage, 5 Trade Licence, 6 User Charges, 7 Solid Waste, 15 Municipal Property</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Building Permission, 13 Town Planning, 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urban.&lt;module&gt;.fee.paid.v1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/fin/v1/commitments, POST /fin/v1/bills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urban.hrm.payroll.approved.v1 / urban.fin.payment.confirmed.v1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urban.inv.grn.valued.v1, urban.inv.issue.costed.v1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urban.lgl.payment.ordered.v1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19 Government Schemes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urban.gsc.disbursement.made.v1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12 Street Lights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urban.slm.energy.verified.v1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Municipal Property</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urban.mpm.asset.capitalised.v1, urban.mpm.depreciation.posted.v1</w:t>
            </w:r>
          </w:p>
        </w:tc>
      </w:tr>
    </w:tbl>
    <w:p>
      <w:pPr>
        <w:spacing w:after="40"/>
      </w:pPr>
    </w:p>
    <w:p>
      <w:pPr>
        <w:pStyle w:val="Heading3"/>
        <w:keepNext/>
      </w:pPr>
      <w:r>
        <w:t xml:space="preserve">State model: Bill</w:t>
      </w:r>
    </w:p>
    <w:p>
      <w:pPr>
        <w:spacing w:after="0" w:before="0" w:line="240" w:lineRule="auto"/>
        <w:jc w:val="center"/>
      </w:pPr>
      <w:r>
        <w:drawing>
          <wp:inline distT="0" distB="0" distL="0" distR="0">
            <wp:extent cx="2514600" cy="5343525"/>
            <wp:effectExtent t="0" r="0" b="0" l="0"/>
            <wp:docPr id="1" name="Figure 12. Finance &amp; Accounting: bill states" descr="Figure 12. Finance &amp; Accounting: bill states" title="Figure 12. Finance &amp; Accounting: bill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514600" cy="5343525"/>
                    </a:xfrm>
                    <a:prstGeom prst="rect">
                      <a:avLst/>
                    </a:prstGeom>
                  </pic:spPr>
                </pic:pic>
              </a:graphicData>
            </a:graphic>
          </wp:inline>
        </w:drawing>
      </w:r>
    </w:p>
    <w:p>
      <w:pPr>
        <w:jc w:val="center"/>
      </w:pPr>
      <w:r>
        <w:rPr>
          <w:i/>
          <w:iCs/>
          <w:color w:val="5B6675"/>
          <w:sz w:val="17"/>
          <w:szCs w:val="17"/>
        </w:rPr>
        <w:t xml:space="preserve">Figure 12. Finance &amp; Accounting: bill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daily-control-totals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 23:30</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Compare module totals with ledger (I-09 batch)</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bank-recon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 06:00</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Match bank lines to receipts and payments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gst-tds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GST TDS on supplier payments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period-close-check</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 by 7th</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Unposted and suspense items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Chart of accounts and mappings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 (state pack)</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NMAM codes, module head mapping</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Deduction rules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TDS, GST TDS 2%, BOCW cess 1%, security deposit</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Delegation of financial powers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Approval limits by role</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Banks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Statement feeds for auto-reconciliation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municipal portals (Telangana: CDMA)</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reporting and service catalogues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Treasury, IFMIS, PFMS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Grants, DBT disbursement, treasury reporting</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Electricity distribution company (Telangana: TGNPDCL)</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Energy readings per service connection</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E-26</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GST Network (via GST Suvidha Provider)</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GSTIN validation, e-invoices, GST and GST TDS returns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Income Tax (TRACES / TIN)</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TDS returns, certificates and PAN validation</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Credit rating agencies, stock exchange and debenture trustee</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Rating surveillance, bond listing, disclosures and investor servicing</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E-45</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Building and Other Construction Workers Welfare Board</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Labour cess remittance</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E-54</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Scheme MIS portals (AMRUT 2.0, Smart Cities Mission, SBM-U, PMAY-U, DAY-NULM, Finance Commission grants)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Physical and financial progress and utilisation reporting</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E-56</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Authorised recyclers, RDF buyers, processors and common biomedical waste facilities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Hand-over and sale records for recyclables, RDF, special and biomedical waste</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MSTC / GeM forward auction</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E-auction of surplus, obsolete and scrap items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18.5 9 Document Management System (dms-service)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dms-service, PostgreSQL schema dms, base path /dms/v1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Multilingual OCR, e-File, eSign, blockchain, DigiLocker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All staff; Inward and dispatch clerks; Records clerk; Records officer; Public information officer; Data protection officer; Scanning agency; IT administrator; Citizen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31 (DMS-FR-001 to DMS-FR-031), 30 processes (DMS-*)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I-29, I-33; consumes I-16, I-20, I-30,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document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doc_no, type_id, title, language[], classification, owner_module, owner_ref, ulpin, current_version_id, legal_hold, retention_until</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Metadata only; content in object storage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document_version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document_id, version_no, object_key, sha256, mime, pages, ocr_status, signed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Immutable versions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ocr_text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version_id, page_no, lang, text, confidence, bbox jsonb</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Indexed in OpenSearch</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file (e-File)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file_no, subject, section, current_holder, status, priority</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Noting and approvals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note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file_id, seq, author, text, signed_at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Green sheet notes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batch_id, merkle_root, tx_id, chain, anchored_at; doc_hash -&gt; batch</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Blockchain anchoring</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digilocker_issue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document_id, uri, doc_type, issued_at,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Issuer push records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retention_rule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type_id, years, trigger, disposal_action</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Retention schedule</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/dms/v1/documents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Upload with metadata (multipart or pre-signed URL)</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DMS-D01, DMS-D02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/dms/v1/documents/{id}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Metadata, versions, signed URL to content</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DMS-D10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/dms/v1/search?q=&amp;lang=&amp;within=</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Search across and inside documents with highlights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DMS-D10, DMS-D28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/dms/v1/documents/{id}:sign</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eSign or DSC; then hash anchoring</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DMS-D12, DMS-D29</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/dms/v1/verify/{hash}</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Public verification page (QR)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DMS-D13, DMS-D29</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/dms/v1/documents/{id}:translate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Translated copy in target language, marked unofficial</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DMS-D30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/dms/v1/files, POST /dms/v1/files/{id}/notes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e-File and notes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DMS-D11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/dms/v1/documents/{id}:legal-hold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Set or release legal hold (I-30)</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DMS-D19</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/dms/v1/dossiers/{ulpin}</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Property dossier and ownership chain (I-29)</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DMS-D07</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3 Citizen Desk &amp; RTI, 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/dms/v1/dossiers/{ulpin}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All modules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Document version</w:t>
      </w:r>
    </w:p>
    <w:p>
      <w:pPr>
        <w:spacing w:after="0" w:before="0" w:line="240" w:lineRule="auto"/>
        <w:jc w:val="center"/>
      </w:pPr>
      <w:r>
        <w:drawing>
          <wp:inline distT="0" distB="0" distL="0" distR="0">
            <wp:extent cx="2000250" cy="5334000"/>
            <wp:effectExtent t="0" r="0" b="0" l="0"/>
            <wp:docPr id="1" name="Figure 13. Document Management System: document version states" descr="Figure 13. Document Management System: document version states" title="Figure 13. Document Management System: document vers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00250" cy="5334000"/>
                    </a:xfrm>
                    <a:prstGeom prst="rect">
                      <a:avLst/>
                    </a:prstGeom>
                  </pic:spPr>
                </pic:pic>
              </a:graphicData>
            </a:graphic>
          </wp:inline>
        </w:drawing>
      </w:r>
    </w:p>
    <w:p>
      <w:pPr>
        <w:jc w:val="center"/>
      </w:pPr>
      <w:r>
        <w:rPr>
          <w:i/>
          <w:iCs/>
          <w:color w:val="5B6675"/>
          <w:sz w:val="17"/>
          <w:szCs w:val="17"/>
        </w:rPr>
        <w:t xml:space="preserve">Figure 13. Document Management System: document version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ocr-workers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Continuous (queue)</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OCR with language detection</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anchor-batch</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Every 5 min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Merkle batch to blockchain</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retention-review</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Annual</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Weeding list for approval</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digilocker-sync</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Event driven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Status sync on cancellation</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Document types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Type, classification, retention, issuer doc type</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OCR languages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Per tenant active languages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Anchoring chain</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NBF / hosted Fabric endpoint</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 (issuer, requester, Entity Locker, Meri Pehchaan)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update certificates and licences; fetch citizen and business documents with consent; national login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E-35</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eSign service providers and DSC (CCA-licensed)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Digital signatures, timestamps and validation</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E-36</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or NIC eOffice</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e-File exchange where the state mandates eOffice</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archives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Transfer of records of archival value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Bhashini (National Language Translation Mission) or on-premises Indian language models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Translation, transliteration, speech (IVRS, chatbot) and OCR for Indian languages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sectPr>
          <w:headerReference w:type="default" r:id="rId33"/>
          <w:footerReference w:type="default" r:id="rId34"/>
          <w:pgSz w:w="11906" w:h="16838" w:orient="portrait"/>
          <w:pgMar w:top="1134" w:right="1134" w:bottom="1134" w:left="1134" w:header="708" w:footer="708" w:gutter="0"/>
          <w:pgNumType/>
          <w:docGrid w:linePitch="360"/>
        </w:sectPr>
      </w:pPr>
    </w:p>
    <w:p>
      <w:pPr>
        <w:pageBreakBefore/>
        <w:spacing w:after="240" w:before="2600" w:line="276" w:lineRule="auto"/>
      </w:pPr>
      <w:r>
        <w:rPr>
          <w:b/>
          <w:bCs/>
          <w:color w:val="2E7D32"/>
          <w:sz w:val="22"/>
          <w:szCs w:val="22"/>
        </w:rPr>
        <w:t xml:space="preserve">PART B  |  PHASE 2  |  MONTHS 4 TO 10</w:t>
      </w:r>
    </w:p>
    <w:p>
      <w:pPr>
        <w:pStyle w:val="Heading1"/>
        <w:spacing w:after="240" w:before="0" w:line="300" w:lineRule="auto"/>
      </w:pPr>
      <w:r>
        <w:rPr>
          <w:sz w:val="52"/>
          <w:szCs w:val="52"/>
        </w:rPr>
        <w:t xml:space="preserve">19. Phase 2 LLD: Regulation and licensing</w:t>
      </w:r>
    </w:p>
    <w:p>
      <w:pPr>
        <w:spacing w:after="600"/>
      </w:pPr>
      <w:r>
        <w:rPr>
          <w:color w:val="5B6675"/>
          <w:sz w:val="26"/>
          <w:szCs w:val="26"/>
        </w:rPr>
        <w:t xml:space="preserve">5 services: trl-service, uch-service, bpm-service, tpl-service, fnc-service</w:t>
      </w:r>
    </w:p>
    <w:p>
      <w:pPr>
        <w:spacing w:after="80"/>
      </w:pPr>
      <w:r>
        <w:rPr>
          <w:b/>
          <w:bCs/>
          <w:color w:val="1F2937"/>
          <w:sz w:val="24"/>
          <w:szCs w:val="24"/>
        </w:rPr>
        <w:t xml:space="preserve">5</w:t>
      </w:r>
      <w:r>
        <w:rPr>
          <w:color w:val="1F2937"/>
          <w:sz w:val="24"/>
          <w:szCs w:val="24"/>
        </w:rPr>
        <w:t xml:space="preserve">   Trade Licence Management</w:t>
      </w:r>
    </w:p>
    <w:p>
      <w:pPr>
        <w:spacing w:after="80"/>
      </w:pPr>
      <w:r>
        <w:rPr>
          <w:b/>
          <w:bCs/>
          <w:color w:val="1F2937"/>
          <w:sz w:val="24"/>
          <w:szCs w:val="24"/>
        </w:rPr>
        <w:t xml:space="preserve">6</w:t>
      </w:r>
      <w:r>
        <w:rPr>
          <w:color w:val="1F2937"/>
          <w:sz w:val="24"/>
          <w:szCs w:val="24"/>
        </w:rPr>
        <w:t xml:space="preserve">   User Charges Management</w:t>
      </w:r>
    </w:p>
    <w:p>
      <w:pPr>
        <w:spacing w:after="80"/>
      </w:pPr>
      <w:r>
        <w:rPr>
          <w:b/>
          <w:bCs/>
          <w:color w:val="1F2937"/>
          <w:sz w:val="24"/>
          <w:szCs w:val="24"/>
        </w:rPr>
        <w:t xml:space="preserve">11</w:t>
      </w:r>
      <w:r>
        <w:rPr>
          <w:color w:val="1F2937"/>
          <w:sz w:val="24"/>
          <w:szCs w:val="24"/>
        </w:rPr>
        <w:t xml:space="preserve">   Building Permission Management / Integration</w:t>
      </w:r>
    </w:p>
    <w:p>
      <w:pPr>
        <w:spacing w:after="80"/>
      </w:pPr>
      <w:r>
        <w:rPr>
          <w:b/>
          <w:bCs/>
          <w:color w:val="1F2937"/>
          <w:sz w:val="24"/>
          <w:szCs w:val="24"/>
        </w:rPr>
        <w:t xml:space="preserve">13</w:t>
      </w:r>
      <w:r>
        <w:rPr>
          <w:color w:val="1F2937"/>
          <w:sz w:val="24"/>
          <w:szCs w:val="24"/>
        </w:rPr>
        <w:t xml:space="preserve">   Town Planning</w:t>
      </w:r>
    </w:p>
    <w:p>
      <w:pPr>
        <w:spacing w:after="80"/>
      </w:pPr>
      <w:r>
        <w:rPr>
          <w:b/>
          <w:bCs/>
          <w:color w:val="1F2937"/>
          <w:sz w:val="24"/>
          <w:szCs w:val="24"/>
        </w:rPr>
        <w:t xml:space="preserve">18</w:t>
      </w:r>
      <w:r>
        <w:rPr>
          <w:color w:val="1F2937"/>
          <w:sz w:val="24"/>
          <w:szCs w:val="24"/>
        </w:rPr>
        <w:t xml:space="preserve">   Fire NOC Management</w:t>
      </w:r>
    </w:p>
    <w:p>
      <w:pPr>
        <w:pStyle w:val="Heading2"/>
        <w:pageBreakBefore/>
      </w:pPr>
      <w:r>
        <w:t xml:space="preserve">19.0 Phase 2 build notes</w:t>
      </w:r>
    </w:p>
    <w:p>
      <w:pPr>
        <w:pStyle w:val="ListParagraph"/>
        <w:numPr>
          <w:ilvl w:val="0"/>
          <w:numId w:val="2"/>
        </w:numPr>
      </w:pPr>
      <w:r>
        <w:t xml:space="preserve">Hand over ward and planning layers from gis-service to tpl-service; migrate data and switch I-20 provider</w:t>
      </w:r>
    </w:p>
    <w:p>
      <w:pPr>
        <w:pStyle w:val="ListParagraph"/>
        <w:numPr>
          <w:ilvl w:val="0"/>
          <w:numId w:val="2"/>
        </w:numPr>
      </w:pPr>
      <w:r>
        <w:t xml:space="preserve">Replace the Property Tax OC stub with the real I-03 consumer; reconcile assessments created manually from paper OCs</w:t>
      </w:r>
    </w:p>
    <w:p>
      <w:pPr>
        <w:pStyle w:val="ListParagraph"/>
        <w:numPr>
          <w:ilvl w:val="0"/>
          <w:numId w:val="2"/>
        </w:numPr>
      </w:pPr>
      <w:r>
        <w:t xml:space="preserve">Adapters: TG-bPASS, TG-iPASS, state fire service, KUDA/DTCP, LRS/BRS, AAI NOCAS, RERA, Parivesh, police, VAHAN, PM SVANidhi</w:t>
      </w:r>
    </w:p>
    <w:p>
      <w:pPr>
        <w:pStyle w:val="Heading2"/>
        <w:pageBreakBefore/>
      </w:pPr>
      <w:r>
        <w:t xml:space="preserve">19.1 5 Trade Licence Management (trl-service)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trl-service, PostgreSQL schema trl, base path /trl/v1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Licences, MSME and industry, street vending, food trucks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Trader / operator / host; Entrepreneur; Street vendor; Town Vending Committee; Licensing inspector; Licensing officer (Health Officer); Verification team;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26 (TRL-FR-001 to TRL-FR-026), 26 processes (TRL-*)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I-09, I-16, I-17, I-22, I-33; consumes I-04, I-08, I-20, I-24, I-27, I-30, I-32,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establishment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est_no, name, unit_id, segment_id, area_sqm, trade_category, risk_class, gstin, udyam_no, geom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Published via I-22</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licence_no, est_id, type (permanent, temporary, seasonal, PG, homestay), valid_from, valid_to, fee, status, qr</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Signed and pushed to DigiLocker</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app_no, type (new, renew, change, shift, surrender), status, workflow_id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All licence applications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inspection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est_id, type (risk, drive), checklist jsonb, findings, photos, geom</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Field app</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vendor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vendor_id, survey_ref, category, zone_id, cov_no, id_card_no, svanidhi_ref</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Street vendors and food trucks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vending_zone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zone_id, type (free, restricted, no-vending), capacity, geom, tvc_resolution</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Vending plan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fee_schedule_ref</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rule_version, category, road_class, area_band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Rules live in DMN</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/trl/v1/applications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New, renewal, change, shift, surrender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TRL-T01-T11, TRL-T21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/trl/v1/applications/{id}:approve|reject</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Workflow; checks Fire NOC (I-04) for risk classes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TRL-T01, TRL-T16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/trl/v1/licences/{no}</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Licence and status (verification by QR)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TRL-T18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/trl/v1/inspections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Inspection and drive results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TRL-T12-T14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/trl/v1/vendors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Register surveyed vendor; issue certificate of vending</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TRL-T22-T24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/trl/v1/vending-zones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Zones with capacity for map</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TRL-T23</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 6 User Charges, 7 Solid Waste, 18 Fire NOC</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urban.trl.establishment.changed.v1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18 Fire NOC</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/fnc/v1/nocs/verify?ulpin=&amp;use=</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Licence</w:t>
      </w:r>
    </w:p>
    <w:p>
      <w:pPr>
        <w:spacing w:after="0" w:before="0" w:line="240" w:lineRule="auto"/>
        <w:jc w:val="center"/>
      </w:pPr>
      <w:r>
        <w:drawing>
          <wp:inline distT="0" distB="0" distL="0" distR="0">
            <wp:extent cx="3219450" cy="5334000"/>
            <wp:effectExtent t="0" r="0" b="0" l="0"/>
            <wp:docPr id="1" name="Figure 14. Trade Licence Management: licence states" descr="Figure 14. Trade Licence Management: licence states" title="Figure 14. Trade Licence Management: licenc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19450" cy="5334000"/>
                    </a:xfrm>
                    <a:prstGeom prst="rect">
                      <a:avLst/>
                    </a:prstGeom>
                  </pic:spPr>
                </pic:pic>
              </a:graphicData>
            </a:graphic>
          </wp:inline>
        </w:drawing>
      </w:r>
    </w:p>
    <w:p>
      <w:pPr>
        <w:jc w:val="center"/>
      </w:pPr>
      <w:r>
        <w:rPr>
          <w:i/>
          <w:iCs/>
          <w:color w:val="5B6675"/>
          <w:sz w:val="17"/>
          <w:szCs w:val="17"/>
        </w:rPr>
        <w:t xml:space="preserve">Figure 14. Trade Licence Management: licence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renewal-reminders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Reminders 30 and 7 days before expiry</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expiry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 00:10</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Expire and notify</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unlicensed-detection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Match property usage, GST and complaints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Fee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Category x area band x road class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Risk classes needing NOC</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Dangerous and offensive trades list</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Vending fees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zone and vendor type</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 (issuer, requester, Entity Locker, Meri Pehchaan)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update certificates and licences; fetch citizen and business documents with consent; national login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municipal tax platform adapter (Telangana: CDMA eMunicipal by CGG)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Two-way sync of assessments, state assessment numbers, demand, receipts, mutations where the state platform is system of record</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Online accommodation listings and tourism/police registrations (where data sharing exists)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Detect unlicensed or undeclared paying guest, homestay and short-term rental use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Udyam (MSME) and Startup India recognition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Verify MSME and startup status for concessions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industrial single window (Telangana: TG-iPASS)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Industry applications and status for municipal licences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PM SVANidhi portal</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Street vendor credit and digital-payment status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19.2 6 User Charges Management (uch-service)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uch-service, PostgreSQL schema uch, base path /uch/v1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SWM charges, parking, park bookings, events, processions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 business / organiser; Motorist and fleet operator; Parking contractor; Sanitary inspector; Sanitation staff; Revenue officer;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22 (UCH-FR-001 to UCH-FR-022), 23 processes (UCH-*)</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I-09, I-16, I-17, I-33, I-36; consumes I-06, I-08, I-20, I-22, I-24, I-27, I-30, I-32, I-34, I-35</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charge_account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account_no, payer (unit, establishment, BWG, vendor), category, rate_ref,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One per payer and charge type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charge_demand</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account_id, period, amount, basis (flat, service-linked),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Monthly or combined bill</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booking</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booking_no, venue_ref (park, ground, hall, lot, road stretch), purpose, from_ts, to_ts, fee, deposit,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Parks, grounds, processions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procession_route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booking_id, route geom (LineString), police_noc, traffic_noc, fire_noc</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Religious processions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parking_permit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permit_no, vehicle_no (VAHAN-verified), lot_id, type (daily, monthly), valid_to</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Parking</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service_order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booking_id, module (2, 7, 10, 12), order_type,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I-36</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spot_fine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fine_no, offence, amount, geom, photo, officer</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Spot fines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deposit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booking_id, amount, held_in_fin_ref, refund_status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Refundable deposits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/uch/v1/accounts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Auto-registration from property, licence, BWG events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UCH-U01-U03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/uch/v1/demand-runs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Generate charges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UCH-U05, UCH-U06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/uch/v1/accounts/{no}/dues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Dues for payment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UCH-U08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/uch/v1/bookings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Booking with availability check (I-35) and NOCs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UCH-U19, UCH-U22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/uch/v1/bookings/{id}:confirm|inspect|refund</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Lifecycle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UCH-U19, UCH-U23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/uch/v1/parking-permits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Parking permit with VAHAN check</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UCH-U21</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/uch/v1/spot-fines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Field fine with photo</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UCH-U09</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2 Water &amp; Sewerage, 7 Solid Waste, 10 Engineering Projects, 12 Street Lights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urban.uch.event-service-order.issued.v1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7 Solid Waste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urban.swm.collection.daily-status.v1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5 Trade Licence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urban.trl.establishment.changed.v1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14 Parks &amp; Horticulture, 15 Municipal Property</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/prk/v1/venues/availability, GET /mpm/v1/venues/availability</w:t>
            </w:r>
          </w:p>
        </w:tc>
      </w:tr>
    </w:tbl>
    <w:p>
      <w:pPr>
        <w:spacing w:after="40"/>
      </w:pPr>
    </w:p>
    <w:p>
      <w:pPr>
        <w:pStyle w:val="Heading3"/>
        <w:keepNext/>
      </w:pPr>
      <w:r>
        <w:t xml:space="preserve">State model: Booking</w:t>
      </w:r>
    </w:p>
    <w:p>
      <w:pPr>
        <w:spacing w:after="0" w:before="0" w:line="240" w:lineRule="auto"/>
        <w:jc w:val="center"/>
      </w:pPr>
      <w:r>
        <w:drawing>
          <wp:inline distT="0" distB="0" distL="0" distR="0">
            <wp:extent cx="1304925" cy="5314950"/>
            <wp:effectExtent t="0" r="0" b="0" l="0"/>
            <wp:docPr id="1" name="Figure 15. User Charges Management: booking states" descr="Figure 15. User Charges Management: booking states" title="Figure 15. User Charges Management: book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304925" cy="5314950"/>
                    </a:xfrm>
                    <a:prstGeom prst="rect">
                      <a:avLst/>
                    </a:prstGeom>
                  </pic:spPr>
                </pic:pic>
              </a:graphicData>
            </a:graphic>
          </wp:inline>
        </w:drawing>
      </w:r>
    </w:p>
    <w:p>
      <w:pPr>
        <w:jc w:val="center"/>
      </w:pPr>
      <w:r>
        <w:rPr>
          <w:i/>
          <w:iCs/>
          <w:color w:val="5B6675"/>
          <w:sz w:val="17"/>
          <w:szCs w:val="17"/>
        </w:rPr>
        <w:t xml:space="preserve">Figure 15. User Charges Management: booking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demand-run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Service-linked and flat charges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swm-status-ingest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Nightly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Consume I-06 batch</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deposit-refund</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Refund after clean inspection</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Charge rates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category, generator type, waste quantity</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Venue rules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Capacity, blackout dates, festival windows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Parking tariffs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lot, vehicle type, duration</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 (issuer, requester, Entity Locker, Meri Pehchaan)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update certificates and licences; fetch citizen and business documents with consent; national login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PM SVANidhi portal</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Street vendor credit and digital-payment status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VAHAN vehicle registry and traffic police e-challan / towing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 details for parking passes and fines; towing and clamping records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Police permission and NOC systems (Telangana: TSCOP / police portal)</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Police, traffic and fire NOCs for processions, festivals and gatherings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19.3 11 Building Permission Management / Integration (bpm-service)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bpm-service, PostgreSQL schema bpm, base path /bpm/v1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eDCR, buffer-zone NOCs, permits, RWH, occupancy</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Applicant / owner; Licensed technical person (architect, engineer); Building overseer; Third-party inspector; Town Planning Officer; Commissioner; NOC agencies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25 (BPM-FR-001 to BPM-FR-025), 22 processes (BPM-*)</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I-02, I-03, I-10, I-16, I-17, I-21, I-33, I-40, I-41; consumes I-01, I-08, I-20, I-27, I-30, I-32, I-34, I-43</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app_no, ulpin, category (registration, instant, single window, high-rise), plot_area, height_m, floors, status, mode (full, integrate), state_ref</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TG-bPASS reference in integrate mode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drawing_set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app_id, version, dxf_object_key, edcr_report jsonb, result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eDCR scrutiny</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noc_request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app_id, authority (fire, lake, airport, forest, heritage, groundwater, railways), status, ref_no, decided_at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Parallel NOCs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fee_line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app_id, head (permit, betterment, cess, impact, TDR), amount, paid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Fees and cess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mortgage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app_id, unit_ref (10% built-up), deed_ref, released_at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Release at OC</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inspection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app_id, stage (pre, plinth, slab, completion), findings, photos, geom</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Field app</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permit_no, app_id, valid_to, deemed flag, conditions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Signed and anchored</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rwh_certificate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app_id, capacity, inspected_at, status (issued, lapsed, failed)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I-40</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occupancy_certificate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oc_no, app_id, units jsonb, issued_at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Triggers I-03</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/bpm/v1/pre-checks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Pre-application check and fee estimate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BPM-B02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/bpm/v1/applications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Submit application with drawings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BPM-B03, BPM-B04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/bpm/v1/applications/{id}/drawings:scrutinise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Run eDCR scrutiny</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BPM-B05</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/bpm/v1/applications/{id}/nocs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Raise parallel NOC requests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BPM-B06, BPM-B21, BPM-B22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/bpm/v1/applications/{id}:approve|shortfall|reject</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Decision; deemed approval timer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BPM-B10, BPM-B11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/bpm/v1/applications/{id}/inspections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Stage inspections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BPM-B08, BPM-B12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/bpm/v1/applications/{id}/occupancy</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OC; publishes I-03</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BPM-B15, BPM-B16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/bpm/v1/applications/{id}/rwh-certificate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RWH certificate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BPM-B20</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urban.bpm.fire-noc.requested.v1 / urban.fnc.noc.decided.v1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urban.bpm.occupancy-certificate.issued.v1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urban.&lt;module&gt;.fee.paid.v1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urban.bpm.unauthorised-construction.detected.v1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 2 Water &amp; Sewerage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urban.bpm.rwh-certificate.changed.v1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I-41</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Solid Waste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urban.bpm.cnd-plan.approved.v1, urban.eng.cnd-plan.approved.v1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/tpl/v1/plots/{ulpin}/development-control</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19 Government Schemes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urban.gsc.housing-permission.requested.v1 / urban.bpm.permit.issued.v1</w:t>
            </w:r>
          </w:p>
        </w:tc>
      </w:tr>
    </w:tbl>
    <w:p>
      <w:pPr>
        <w:spacing w:after="40"/>
      </w:pPr>
    </w:p>
    <w:p>
      <w:pPr>
        <w:pStyle w:val="Heading3"/>
        <w:keepNext/>
      </w:pPr>
      <w:r>
        <w:t xml:space="preserve">State model: Building permission application</w:t>
      </w:r>
    </w:p>
    <w:p>
      <w:pPr>
        <w:spacing w:after="0" w:before="0" w:line="240" w:lineRule="auto"/>
        <w:jc w:val="center"/>
      </w:pPr>
      <w:r>
        <w:drawing>
          <wp:inline distT="0" distB="0" distL="0" distR="0">
            <wp:extent cx="2324100" cy="5343525"/>
            <wp:effectExtent t="0" r="0" b="0" l="0"/>
            <wp:docPr id="1" name="Figure 16. Building Permission Management / Integration: building permission application states" descr="Figure 16. Building Permission Management / Integration: building permission application states" title="Figure 16. Building Permission Management / Integration: building permission appl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324100" cy="5343525"/>
                    </a:xfrm>
                    <a:prstGeom prst="rect">
                      <a:avLst/>
                    </a:prstGeom>
                  </pic:spPr>
                </pic:pic>
              </a:graphicData>
            </a:graphic>
          </wp:inline>
        </w:drawing>
      </w:r>
    </w:p>
    <w:p>
      <w:pPr>
        <w:jc w:val="center"/>
      </w:pPr>
      <w:r>
        <w:rPr>
          <w:i/>
          <w:iCs/>
          <w:color w:val="5B6675"/>
          <w:sz w:val="17"/>
          <w:szCs w:val="17"/>
        </w:rPr>
        <w:t xml:space="preserve">Figure 16. Building Permission Management / Integration: building permission application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deemed-approval-timer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Hourly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Flag and issue deemed approvals per state rule</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tgbpass-sync</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Every 5 min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Integrate mode sync</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imagery-change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 survey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Compare imagery with permits (I-21)</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Category thresholds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 (state pack)</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75 sq yd, 600 sq yd / 10 m, high-rise</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Development control rules for eDCR</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Rule set</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Setbacks, FAR, parking, height</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Fee and cess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Permit fee, BOCW cess 1%</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 (issuer, requester, Entity Locker, Meri Pehchaan)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update certificates and licences; fetch citizen and business documents with consent; national login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E-05</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building permission system (Telangana: TG-bPASS)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Building permission data or workflow</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industrial single window (Telangana: TG-iPASS)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Industry applications and status for municipal licences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Urban development authority and state town planning department (Telangana: KUDA, DTCP)</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Master plan layers, variations and layout or permission referrals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E-43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Airports Authority of India NOCAS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Height clearance near airports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RERA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Project registration and permit details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E-45</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Building and Other Construction Workers Welfare Board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Labour cess remittance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E-46</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Parivesh / SEIAA environmental clearance</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Clearance status for large projects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E-47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Council of Architecture and state engineer registers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Licensed professional verification</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irrigation, revenue and water resources departments / lake protection authority / wetland authority (Telangana: Irrigation &amp; CAD; HYDRAA in Hyderabad)</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Certified FTL, river, drain, wetland and flood zone boundaries; NOCs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forest department and tree authority (Telangana: Forest Department; WALTA)</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Forest, urban forest park and eco-sensitive zone boundaries; tree felling permissions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Central Ground Water Authority / state groundwater department</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Groundwater NOCs for large projects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Other buffer-zone authorities (railways, NHAI and state roads, power utilities, pipeline operators, Local Military Authority, pollution control board)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Zone boundaries and NOCs for plots in their buffers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19.4 13 Town Planning (tpl-service)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tpl-service, PostgreSQL schema tpl, base path /tpl/v1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Zoning, layouts, LRS and BRS, TDR, enforcement</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Town Planning Officer; Building overseer / enforcement team; GIS cell; Developer and licensed technical person; Applicant / owner; Advertising agency; Telecom operator; Council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24 (TPL-FR-001 to TPL-FR-024), 23 processes (TPL-*)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I-01, I-10, I-16, I-17, I-20, I-33, I-37, I-38; consumes I-08, I-21, I-28, I-30, I-32,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plan_layer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layer_code (master plan, zoning, buffer), version, effective_from, source_go, geom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Versioned planning layers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dc_rule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rule_set_version, zone, use, parameter, value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Development control rules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layout_no, applicant, area, plots_count, status, geom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 permissions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plot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layout_id, plot_no, area, use, geom, ulpin_ref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Published via I-37</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open_space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layout_id, area, deed_ref, handed_to (14, 15), geom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I-38</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enforcement_case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case_no, ulpin, violation, detected_by, notice_at, status, lgl_case_ref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Unauthorised construction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regularisation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 (LRS, BRS), app_no, ulpin, penalty,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LRS and BRS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tdr_certificate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tdr_no, origin_ulpin, area, utilised jsonb, balance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TDR bank</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hoarding / tower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permit_no, location geom, size, fee, valid_to</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Advertisements and towers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/tpl/v1/plots/{ulpin}/development-control</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Zoning, buffers, widening line, TDR for scrutiny (I-01)</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TPL-P03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/tpl/v1/land-use-certificates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Zoning check and certificate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TPL-P03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/tpl/v1/layouts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Layout application</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TPL-P07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/tpl/v1/layouts/{id}:approve|final-approve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Approval; final approval publishes I-37, I-38</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TPL-P07-P09</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/tpl/v1/enforcement-cases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Open case from imagery, complaint or referral</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TPL-P13, TPL-P14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/tpl/v1/regularisations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LRS or BRS application</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TPL-P11, TPL-P12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/tpl/v1/tdr</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utilise TDR</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TPL-P15</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I-01</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/tpl/v1/plots/{ulpin}/development-control</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urban.&lt;module&gt;.fee.paid.v1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3 Citizen Desk &amp; RTI, 5 Trade Licence, 6 User Charges, 7 Solid Waste, 9 Document Management, 10 Engineering Projects, 11 Building Permission, 12 Street Lights, 14 Parks &amp; Horticulture, 15 Municipal Property, 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urban.tpl.layout.approved.v1, urban.tpl.door-number.assigned.v1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14 Parks &amp; Horticulture, 15 Municipal Property</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urban.tpl.open-space.handed-over.v1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urban.bpm.unauthorised-construction.detected.v1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urban.ptx.setback-deviation.referred.v1 / urban.tpl.regularisation.decided.v1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Enforcement case</w:t>
      </w:r>
    </w:p>
    <w:p>
      <w:pPr>
        <w:spacing w:after="0" w:before="0" w:line="240" w:lineRule="auto"/>
        <w:jc w:val="center"/>
      </w:pPr>
      <w:r>
        <w:drawing>
          <wp:inline distT="0" distB="0" distL="0" distR="0">
            <wp:extent cx="3333750" cy="5334000"/>
            <wp:effectExtent t="0" r="0" b="0" l="0"/>
            <wp:docPr id="1" name="Figure 17. Town Planning: enforcement case states" descr="Figure 17. Town Planning: enforcement case states" title="Figure 17. Town Planning: enforcement cas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33750" cy="5334000"/>
                    </a:xfrm>
                    <a:prstGeom prst="rect">
                      <a:avLst/>
                    </a:prstGeom>
                  </pic:spPr>
                </pic:pic>
              </a:graphicData>
            </a:graphic>
          </wp:inline>
        </w:drawing>
      </w:r>
    </w:p>
    <w:p>
      <w:pPr>
        <w:jc w:val="center"/>
      </w:pPr>
      <w:r>
        <w:rPr>
          <w:i/>
          <w:iCs/>
          <w:color w:val="5B6675"/>
          <w:sz w:val="17"/>
          <w:szCs w:val="17"/>
        </w:rPr>
        <w:t xml:space="preserve">Figure 17. Town Planning: enforcement case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layer-publish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On approval</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Publish layers to GeoServer</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buffer-recompute</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 layer change</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Recompute buffer polygons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notice-timer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Notice due within 7 days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DC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Rule set (state pack)</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Telangana building rules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Buffer catalogue</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FTL 30 m / 9 m, rivers 50 m, nalas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Charges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Development, impact, open space charges</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land records / ULPIN registry</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ULPIN and land parcel data</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Urban development authority and state town planning department (Telangana: KUDA, DTCP)</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Master plan layers, variations and layout or permission referrals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E-41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GatiShakti Sanchar (telecom right-of-way portal)</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Tower, pole and cable right-of-way applications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layout and building regularisation portal (Telangana: LRS / BRS)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Regularisation applications and registration intimations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E-50</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irrigation, revenue and water resources departments / lake protection authority / wetland authority (Telangana: Irrigation &amp; CAD; HYDRAA in Hyderabad)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Certified FTL, river, drain, wetland and flood zone boundaries; NOCs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forest department and tree authority (Telangana: Forest Department; WALTA)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Forest, urban forest park and eco-sensitive zone boundaries; tree felling permissions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Other buffer-zone authorities (railways, NHAI and state roads, power utilities, pipeline operators, Local Military Authority, pollution control board)</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Zone boundaries and NOCs for plots in their buffers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19.5 18 Fire NOC Management (fnc-service)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fnc-service, PostgreSQL schema fnc, base path /fnc/v1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Provisional and final NOC, audits, fire-risk map</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Applicant / owner / RWA; Architect and fire consultant; Inspection committee; Fire officer (DFO, RFO, DG); Empanelled auditor; Organiser or trader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18 (FNC-FR-001 to FNC-FR-018), 17 processes (FNC-*)</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I-04, I-10, I-16, I-17, I-33; consumes I-02, I-08, I-20, I-22, I-27, I-30, I-32, I-34, I-39</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noc_application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app_no, type (provisional, final, renewal, establishment, temporary), ulpin, height_m, occupancy_class, status, state_ref</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Integrate mode with state fire service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applicability_rule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version, occupancy, height_from, area_from, required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Telangana residential from 24 m</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inspection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app_id, checklist jsonb, deficiencies jsonb, inspector, geom, photos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Checklist by occupancy</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noc</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noc_no, app_id, valid_to, conditions,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Register and verification (I-04)</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audit_report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noc_id, auditor, date, findings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Third-party audits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iot_device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noc_id, device_type, last_seen,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Optional IoT monitoring</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incident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incident_no, ulpin, date, cause, loss, review</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Fire incidents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/fnc/v1/applications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 application (from BPM event or direct)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FNC-N03-N06, FNC-N12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/fnc/v1/applicability?height=&amp;use=&amp;area=</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Applicability check</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FNC-N02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/fnc/v1/applications/{id}/inspections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Inspection with checklist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FNC-N07, FNC-N08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/fnc/v1/applications/{id}:issue|reject</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Issue or reject NOC</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FNC-N04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/fnc/v1/nocs/verify</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Verification for Trade Licence (I-04)</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FNC-N14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/fnc/v1/risk-map</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Fire-risk layer</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FNC-N15</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5 Trade Licence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/fnc/v1/nocs/verify?ulpin=&amp;use=</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urban.&lt;module&gt;.fee.paid.v1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urban.bpm.fire-noc.requested.v1 / urban.fnc.noc.decided.v1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5 Trade Licence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urban.trl.establishment.changed.v1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Water &amp; Sewerage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layer hydrants, GET /wtr/v1/hydrants?bbox=</w:t>
            </w:r>
          </w:p>
        </w:tc>
      </w:tr>
    </w:tbl>
    <w:p>
      <w:pPr>
        <w:spacing w:after="40"/>
      </w:pPr>
    </w:p>
    <w:p>
      <w:pPr>
        <w:pStyle w:val="Heading3"/>
        <w:keepNext/>
      </w:pPr>
      <w:r>
        <w:t xml:space="preserve">State model: Fire NOC application</w:t>
      </w:r>
    </w:p>
    <w:p>
      <w:pPr>
        <w:spacing w:after="0" w:before="0" w:line="240" w:lineRule="auto"/>
        <w:jc w:val="center"/>
      </w:pPr>
      <w:r>
        <w:drawing>
          <wp:inline distT="0" distB="0" distL="0" distR="0">
            <wp:extent cx="3495675" cy="5343525"/>
            <wp:effectExtent t="0" r="0" b="0" l="0"/>
            <wp:docPr id="1" name="Figure 18. Fire NOC Management: fire noc application states" descr="Figure 18. Fire NOC Management: fire noc application states" title="Figure 18. Fire NOC Management: fire noc appl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495675" cy="5343525"/>
                    </a:xfrm>
                    <a:prstGeom prst="rect">
                      <a:avLst/>
                    </a:prstGeom>
                  </pic:spPr>
                </pic:pic>
              </a:graphicData>
            </a:graphic>
          </wp:inline>
        </w:drawing>
      </w:r>
    </w:p>
    <w:p>
      <w:pPr>
        <w:jc w:val="center"/>
      </w:pPr>
      <w:r>
        <w:rPr>
          <w:i/>
          <w:iCs/>
          <w:color w:val="5B6675"/>
          <w:sz w:val="17"/>
          <w:szCs w:val="17"/>
        </w:rPr>
        <w:t xml:space="preserve">Figure 18. Fire NOC Management: fire noc application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renewal-due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Renewal notices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risk-map-refresh</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Weekly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Recompute risk with hydrants (I-39)</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state-sync</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Every 5 min</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Integrate mode sync</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Applicability</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 (state pack)</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Height and occupancy thresholds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Checklists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By occupancy class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Fees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area and height</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E-02</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DigiLocker (issuer, requester, Entity Locker, Meri Pehchaan)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Issue and update certificates and licences; fetch citizen and business documents with consent; national login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E-06</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fire services (Telangana Fire Services)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NOC processing and records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industrial single window (Telangana: TG-iPASS)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Industry applications and status for municipal licences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E-34</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Police permission and NOC systems (Telangana: TSCOP / police portal)</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Police, traffic and fire NOCs for processions, festivals and gatherings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E-39</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Permissioned blockchain (National Blockchain Framework / Vishvasya on NIC, state ledger, or product-hosted)</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Anchoring and verification of document and record hashes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E-48</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PESO and district explosives licensing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Firecracker and explosives licences for temporary stalls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E-49</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Fire command centre and building IoT monitoring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Fire pump, tank and generator status from monitored buildings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sectPr>
          <w:headerReference w:type="default" r:id="rId35"/>
          <w:footerReference w:type="default" r:id="rId36"/>
          <w:pgSz w:w="11906" w:h="16838" w:orient="portrait"/>
          <w:pgMar w:top="1134" w:right="1134" w:bottom="1134" w:left="1134" w:header="708" w:footer="708" w:gutter="0"/>
          <w:pgNumType/>
          <w:docGrid w:linePitch="360"/>
        </w:sectPr>
      </w:pPr>
    </w:p>
    <w:p>
      <w:pPr>
        <w:pageBreakBefore/>
        <w:spacing w:after="240" w:before="2600" w:line="276" w:lineRule="auto"/>
      </w:pPr>
      <w:r>
        <w:rPr>
          <w:b/>
          <w:bCs/>
          <w:color w:val="2E7D32"/>
          <w:sz w:val="22"/>
          <w:szCs w:val="22"/>
        </w:rPr>
        <w:t xml:space="preserve">PART B  |  PHASE 3  |  MONTHS 8 TO 14</w:t>
      </w:r>
    </w:p>
    <w:p>
      <w:pPr>
        <w:pStyle w:val="Heading1"/>
        <w:spacing w:after="240" w:before="0" w:line="300" w:lineRule="auto"/>
      </w:pPr>
      <w:r>
        <w:rPr>
          <w:sz w:val="52"/>
          <w:szCs w:val="52"/>
        </w:rPr>
        <w:t xml:space="preserve">20. Phase 3 LLD: Field operations</w:t>
      </w:r>
    </w:p>
    <w:p>
      <w:pPr>
        <w:spacing w:after="600"/>
      </w:pPr>
      <w:r>
        <w:rPr>
          <w:color w:val="5B6675"/>
          <w:sz w:val="26"/>
          <w:szCs w:val="26"/>
        </w:rPr>
        <w:t xml:space="preserve">5 services: swm-service, eng-service, slm-service, prk-service, inv-service</w:t>
      </w:r>
    </w:p>
    <w:p>
      <w:pPr>
        <w:spacing w:after="80"/>
      </w:pPr>
      <w:r>
        <w:rPr>
          <w:b/>
          <w:bCs/>
          <w:color w:val="1F2937"/>
          <w:sz w:val="24"/>
          <w:szCs w:val="24"/>
        </w:rPr>
        <w:t xml:space="preserve">7</w:t>
      </w:r>
      <w:r>
        <w:rPr>
          <w:color w:val="1F2937"/>
          <w:sz w:val="24"/>
          <w:szCs w:val="24"/>
        </w:rPr>
        <w:t xml:space="preserve">   Solid Waste Management</w:t>
      </w:r>
    </w:p>
    <w:p>
      <w:pPr>
        <w:spacing w:after="80"/>
      </w:pPr>
      <w:r>
        <w:rPr>
          <w:b/>
          <w:bCs/>
          <w:color w:val="1F2937"/>
          <w:sz w:val="24"/>
          <w:szCs w:val="24"/>
        </w:rPr>
        <w:t xml:space="preserve">10</w:t>
      </w:r>
      <w:r>
        <w:rPr>
          <w:color w:val="1F2937"/>
          <w:sz w:val="24"/>
          <w:szCs w:val="24"/>
        </w:rPr>
        <w:t xml:space="preserve">   Engineering Project Management System</w:t>
      </w:r>
    </w:p>
    <w:p>
      <w:pPr>
        <w:spacing w:after="80"/>
      </w:pPr>
      <w:r>
        <w:rPr>
          <w:b/>
          <w:bCs/>
          <w:color w:val="1F2937"/>
          <w:sz w:val="24"/>
          <w:szCs w:val="24"/>
        </w:rPr>
        <w:t xml:space="preserve">12</w:t>
      </w:r>
      <w:r>
        <w:rPr>
          <w:color w:val="1F2937"/>
          <w:sz w:val="24"/>
          <w:szCs w:val="24"/>
        </w:rPr>
        <w:t xml:space="preserve">   Street Light Management</w:t>
      </w:r>
    </w:p>
    <w:p>
      <w:pPr>
        <w:spacing w:after="80"/>
      </w:pPr>
      <w:r>
        <w:rPr>
          <w:b/>
          <w:bCs/>
          <w:color w:val="1F2937"/>
          <w:sz w:val="24"/>
          <w:szCs w:val="24"/>
        </w:rPr>
        <w:t xml:space="preserve">14</w:t>
      </w:r>
      <w:r>
        <w:rPr>
          <w:color w:val="1F2937"/>
          <w:sz w:val="24"/>
          <w:szCs w:val="24"/>
        </w:rPr>
        <w:t xml:space="preserve">   Parks &amp; Horticulture Management</w:t>
      </w:r>
    </w:p>
    <w:p>
      <w:pPr>
        <w:spacing w:after="80"/>
      </w:pPr>
      <w:r>
        <w:rPr>
          <w:b/>
          <w:bCs/>
          <w:color w:val="1F2937"/>
          <w:sz w:val="24"/>
          <w:szCs w:val="24"/>
        </w:rPr>
        <w:t xml:space="preserve">17</w:t>
      </w:r>
      <w:r>
        <w:rPr>
          <w:color w:val="1F2937"/>
          <w:sz w:val="24"/>
          <w:szCs w:val="24"/>
        </w:rPr>
        <w:t xml:space="preserve">   Inventory &amp; Stores Management</w:t>
      </w:r>
    </w:p>
    <w:p>
      <w:pPr>
        <w:pStyle w:val="Heading2"/>
        <w:pageBreakBefore/>
      </w:pPr>
      <w:r>
        <w:t xml:space="preserve">20.0 Phase 3 build notes</w:t>
      </w:r>
    </w:p>
    <w:p>
      <w:pPr>
        <w:pStyle w:val="ListParagraph"/>
        <w:numPr>
          <w:ilvl w:val="0"/>
          <w:numId w:val="2"/>
        </w:numPr>
      </w:pPr>
      <w:r>
        <w:t xml:space="preserve">Field app plug-ins for SWM gate scans, e-MB, pole repairs, tree inspections; offline sync load tested</w:t>
      </w:r>
    </w:p>
    <w:p>
      <w:pPr>
        <w:pStyle w:val="ListParagraph"/>
        <w:numPr>
          <w:ilvl w:val="0"/>
          <w:numId w:val="2"/>
        </w:numPr>
      </w:pPr>
      <w:r>
        <w:t xml:space="preserve">Road register moves from gis-service to eng-service (I-32); park availability from the uch calendar to prk-service (I-35)</w:t>
      </w:r>
    </w:p>
    <w:p>
      <w:pPr>
        <w:pStyle w:val="ListParagraph"/>
        <w:numPr>
          <w:ilvl w:val="0"/>
          <w:numId w:val="2"/>
        </w:numPr>
      </w:pPr>
      <w:r>
        <w:t xml:space="preserve">Adapters: AVLS/GPS, CCMS, DISCOM, CPCB portals, GeM, e-procurement, MSTC</w:t>
      </w:r>
    </w:p>
    <w:p>
      <w:pPr>
        <w:pStyle w:val="Heading2"/>
        <w:pageBreakBefore/>
      </w:pPr>
      <w:r>
        <w:t xml:space="preserve">20.1 7 Solid Waste Management (swm-service)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swm-service, PostgreSQL schema swm, base path /swm/v1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Four streams, collection, processing, C&amp;D, star rating</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Sanitary Inspector; Collection crew and driver; Sanitation worker and supervisor; Transfer station and plant operators; Environmental engineer; Health Officer; Partner agencies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19 (SWM-FR-001 to SWM-FR-019), 17 processes (SWM-*)</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I-06, I-09, I-14, I-16, I-17, I-33; consumes I-08, I-15, I-20, I-22, I-27, I-30, I-32, I-34, I-36, I-41</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generator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gen_no, type (household, BWG, commercial, institution), unit_or_est ref, qr_tag, ebwgr_ref</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Registered generators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route / beat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route_no, vehicle_id, ward_id, geom, schedule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Collection routes and sweeping beats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collection_event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gen_id, route_id, scanned_at, segregated (wet, dry, sanitary, special), geom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Gate scans; daily status to I-06</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vehicle_trip</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vehicle_id, trip_no, start, end, gps_track ref, weighbridge_in, weighbridge_out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From AVLS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facility</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facility_id, type (compost, biogas, MRF, C&amp;D, landfill), capacity_tpd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Processing facilities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facility_ledger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facility_id, date, inflow_t, processed_t, rejects_t, outputs jsonb</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Mass balance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gvp</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point_id, geom, status, last_cleared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Garbage vulnerable points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enforcement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fine_no, gen_id, offence, amount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Spot fines and compensation</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/swm/v1/generators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Register generator and BWG</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SWM-S01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/swm/v1/collection-events:batch</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Gate scans from field app</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SWM-S02, SWM-S03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/swm/v1/routes/{id}/live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Live route progress (AVLS)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SWM-S06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/swm/v1/facilities/{id}/ledger</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Weighbridge and processing entries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SWM-S07-S09</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/swm/v1/enforcement</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Spot fine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SWM-S14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/swm/v1/reports/cpcb/{period}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CPCB return pack</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SWM-S15</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urban.swm.collection.daily-status.v1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5 Trade Licence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urban.trl.establishment.changed.v1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urban.uch.event-service-order.issued.v1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10 Engineering Projects, 11 Building Permission</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urban.bpm.cnd-plan.approved.v1, urban.eng.cnd-plan.approved.v1</w:t>
            </w:r>
          </w:p>
        </w:tc>
      </w:tr>
    </w:tbl>
    <w:p>
      <w:pPr>
        <w:spacing w:after="40"/>
      </w:pPr>
    </w:p>
    <w:p>
      <w:pPr>
        <w:pStyle w:val="Heading3"/>
        <w:keepNext/>
      </w:pPr>
      <w:r>
        <w:t xml:space="preserve">State model: Collection status per generator per day</w:t>
      </w:r>
    </w:p>
    <w:p>
      <w:pPr>
        <w:spacing w:after="0" w:before="0" w:line="240" w:lineRule="auto"/>
        <w:jc w:val="center"/>
      </w:pPr>
      <w:r>
        <w:drawing>
          <wp:inline distT="0" distB="0" distL="0" distR="0">
            <wp:extent cx="4000500" cy="3476625"/>
            <wp:effectExtent t="0" r="0" b="0" l="0"/>
            <wp:docPr id="1" name="Figure 19. Solid Waste Management: collection status per generator per day states" descr="Figure 19. Solid Waste Management: collection status per generator per day states" title="Figure 19. Solid Waste Management: collection status per generator per day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3476625"/>
                    </a:xfrm>
                    <a:prstGeom prst="rect">
                      <a:avLst/>
                    </a:prstGeom>
                  </pic:spPr>
                </pic:pic>
              </a:graphicData>
            </a:graphic>
          </wp:inline>
        </w:drawing>
      </w:r>
    </w:p>
    <w:p>
      <w:pPr>
        <w:jc w:val="center"/>
      </w:pPr>
      <w:r>
        <w:rPr>
          <w:i/>
          <w:iCs/>
          <w:color w:val="5B6675"/>
          <w:sz w:val="17"/>
          <w:szCs w:val="17"/>
        </w:rPr>
        <w:t xml:space="preserve">Figure 19. Solid Waste Management: collection status per generator per day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daily-status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Nightly 23:00</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Publish I-06 batch</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avls-ingest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Every 1 min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Vehicle positions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mass-balance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Facility balance and alerts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Streams and colours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Four streams per SWM Rules 2026</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BWG thresholds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20,000 sq m / 40,000 L / 100 kg per day</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Fines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offence and repeat count</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E-15</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 GPS / AVLS provider</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 tracking for SWM fleet, water tankers and desludging vehicles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E-21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MoHUA Swachhata app / SBM-U</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Swachh Bharat complaints in, resolution status and photos out; citizen feedback</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E-54</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Scheme MIS portals (AMRUT 2.0, Smart Cities Mission, SBM-U, PMAY-U, DAY-NULM, Finance Commission grants)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Physical and financial progress and utilisation reporting</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E-55</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CPCB centralised portals (SWM returns, C&amp;D and plastic EPR)</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Waste returns and EPR records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E-56</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Authorised recyclers, RDF buyers, processors and common biomedical waste facilities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Hand-over and sale records for recyclables, RDF, special and biomedical waste</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20.2 10 Engineering Project Management System (eng-service)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eng-service, PostgreSQL schema eng, base path /eng/v1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Works, tendering, e-MB, bills, road register, drains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Assistant Engineer; Deputy Executive Engineer; Executive Engineer; Superintending Engineer; Quality control wing; Contractor; Accounts officer;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21 (ENG-FR-001 to ENG-FR-021), 20 processes (ENG-*)</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I-07, I-11, I-14, I-16, I-32, I-33, I-41; consumes I-08, I-20, I-31, I-34, I-36</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work_no, title, ward_id, scheme_ref, type, geom, status, estimate_amount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Works register</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estimate / estimate_item</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work_id, sor_version, items[{sor_code, qty, rate}], dem_derived flag</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SoR estimates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sanction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work_id, type (AS, TS), authority, amount, date</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Per delegation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tender / contract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tender_ref (e-proc), bidder, contract_no, value, dates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e-Procurement adapter</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measurement (e-MB)</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work_id, item, qty, measured_by, checked_by, geom, photos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Test checks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ra_bill</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work_id, bill_no, gross, deductions, net, fin_bill_ref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I-11</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road_segment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road_id, name, class, width_m, row_m, geom, pci</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register (I-32)</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drain_segment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drain_id, type, size, geom, last_desilted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Storm water drains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/eng/v1/works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Create work from demand or grievance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ENG-E01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/eng/v1/works/{id}/estimates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Estimate from SoR, elevation-assisted quantities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ENG-E02</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/eng/v1/works/{id}/sanctions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 and TS; budget commitment I-11</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ENG-E03, ENG-E04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/eng/v1/works/{id}/measurements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e-MB entries from field app</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ENG-E08</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/eng/v1/works/{id}/bills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RA bill to Finance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ENG-E12</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/eng/v1/works/{id}:complete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Completion; publishes I-07</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ENG-E14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/eng/v1/roads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Road register by bbox (I-32)</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ENG-E16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/eng/v1/road-cuts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Road-cut permission (I-31)</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ENG-E11</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15 Municipal Property</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urban.eng.work.completed.v1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/fin/v1/commitments, POST /fin/v1/bills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5 Trade Licence, 6 User Charges, 7 Solid Waste, 11 Building Permission, 12 Street Lights, 13 Town Planning, 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I-41</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7 Solid Waste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urban.bpm.cnd-plan.approved.v1, urban.eng.cnd-plan.approved.v1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I-31</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Water &amp; Sewerage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urban.wtr.road-cut.requested.v1 / urban.eng.road-cut.restored.v1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urban.uch.event-service-order.issued.v1</w:t>
            </w:r>
          </w:p>
        </w:tc>
      </w:tr>
    </w:tbl>
    <w:p>
      <w:pPr>
        <w:spacing w:after="40"/>
      </w:pPr>
    </w:p>
    <w:p>
      <w:pPr>
        <w:pStyle w:val="Heading3"/>
        <w:keepNext/>
      </w:pPr>
      <w:r>
        <w:t xml:space="preserve">State model: Work</w:t>
      </w:r>
    </w:p>
    <w:p>
      <w:pPr>
        <w:spacing w:after="0" w:before="0" w:line="240" w:lineRule="auto"/>
        <w:jc w:val="center"/>
      </w:pPr>
      <w:r>
        <w:drawing>
          <wp:inline distT="0" distB="0" distL="0" distR="0">
            <wp:extent cx="866775" cy="5314950"/>
            <wp:effectExtent t="0" r="0" b="0" l="0"/>
            <wp:docPr id="1" name="Figure 20. Engineering Project Management System: work states" descr="Figure 20. Engineering Project Management System: work states" title="Figure 20. Engineering Project Management System: work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66775" cy="5314950"/>
                    </a:xfrm>
                    <a:prstGeom prst="rect">
                      <a:avLst/>
                    </a:prstGeom>
                  </pic:spPr>
                </pic:pic>
              </a:graphicData>
            </a:graphic>
          </wp:inline>
        </w:drawing>
      </w:r>
    </w:p>
    <w:p>
      <w:pPr>
        <w:jc w:val="center"/>
      </w:pPr>
      <w:r>
        <w:rPr>
          <w:i/>
          <w:iCs/>
          <w:color w:val="5B6675"/>
          <w:sz w:val="17"/>
          <w:szCs w:val="17"/>
        </w:rPr>
        <w:t xml:space="preserve">Figure 20. Engineering Project Management System: work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eproc-sync</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Hourly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Tender status from e-procurement</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progress-alerts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Weekly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Delayed works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pci-recompute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Yearly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Pavement condition index</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Schedule of Rates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Versioned table</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SoR per year</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Delegation</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AS/TS limits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Deductions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GST TDS 2%, BOCW 1%, security</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GeM / e-procurement</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Procurement and tendering</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E-11</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Bhuvan (incl. CartoDEM), Survey of India (incl. high-resolution DEM), drone and LiDAR surveys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Base maps, imagery, elevation models and survey data</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 MIS portals (AMRUT 2.0, Smart Cities Mission, SBM-U, PMAY-U, DAY-NULM, Finance Commission grants)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Physical and financial progress and utilisation reporting</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20.3 12 Street Light Management (slm-service)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slm-service, PostgreSQL schema slm, base path /slm/v1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Poles, CCMS, faults, dark spots, energy checks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Lineman / contractor technician; Supervisor; Assistant Engineer (Electrical); Executive Engineer; Contractor or ESCO</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13 (SLM-FR-001 to SLM-FR-013), 12 processes (SLM-*)</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I-14, I-16, I-25, I-26, I-33; consumes I-08, I-15, I-20, I-32, I-34, I-36</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pole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pole_no, geom, road_id, fixture_type, wattage, panel_id,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 inventory</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panel</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panel_id, service_connection_no, ccms_id, geom</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Feeder panels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fault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fault_no, pole_id, source (CCMS, complaint, patrol), reported_at, sla_due,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Faults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repair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fault_id, crew_id, materials jsonb, closed_at, photo</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Photo-proof closure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burning_log</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panel_id, date, on_hours, energy_kwh</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From CCMS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energy_bill_check</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service_connection_no, month, discom_kwh, ccms_kwh, variance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I-25</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esco_sla</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contract_id, month, uptime_pct, penalty</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Contract SLA</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/slm/v1/faults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Fault from CCMS, citizen or patrol; nearest pole match</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SLM-L03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PATCH /slm/v1/faults/{id}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Dispatch, repair, close with photo</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SLM-L04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/slm/v1/ccms/webhook</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CCMS events and readings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SLM-L06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/slm/v1/dark-spots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Dark spots by ward</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SLM-L07</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/slm/v1/poles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New poles; publishes I-26</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SLM-L01, SLM-L10</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urban.slm.energy.verified.v1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15 Municipal Property</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urban.slm.pole.changed.v1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/eng/v1/roads?bbox=, OGC layer roads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urban.uch.event-service-order.issued.v1</w:t>
            </w:r>
          </w:p>
        </w:tc>
      </w:tr>
    </w:tbl>
    <w:p>
      <w:pPr>
        <w:spacing w:after="40"/>
      </w:pPr>
    </w:p>
    <w:p>
      <w:pPr>
        <w:pStyle w:val="Heading3"/>
        <w:keepNext/>
      </w:pPr>
      <w:r>
        <w:t xml:space="preserve">State model: Street light fault</w:t>
      </w:r>
    </w:p>
    <w:p>
      <w:pPr>
        <w:spacing w:after="0" w:before="0" w:line="240" w:lineRule="auto"/>
        <w:jc w:val="center"/>
      </w:pPr>
      <w:r>
        <w:drawing>
          <wp:inline distT="0" distB="0" distL="0" distR="0">
            <wp:extent cx="3114675" cy="5334000"/>
            <wp:effectExtent t="0" r="0" b="0" l="0"/>
            <wp:docPr id="1" name="Figure 21. Street Light Management: street light fault states" descr="Figure 21. Street Light Management: street light fault states" title="Figure 21. Street Light Management: street light faul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14675" cy="5334000"/>
                    </a:xfrm>
                    <a:prstGeom prst="rect">
                      <a:avLst/>
                    </a:prstGeom>
                  </pic:spPr>
                </pic:pic>
              </a:graphicData>
            </a:graphic>
          </wp:inline>
        </w:drawing>
      </w:r>
    </w:p>
    <w:p>
      <w:pPr>
        <w:jc w:val="center"/>
      </w:pPr>
      <w:r>
        <w:rPr>
          <w:i/>
          <w:iCs/>
          <w:color w:val="5B6675"/>
          <w:sz w:val="17"/>
          <w:szCs w:val="17"/>
        </w:rPr>
        <w:t xml:space="preserve">Figure 21. Street Light Management: street light fault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burning-report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 08:00</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Burning hours and dark spots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energy-verify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Compare DISCOM and CCMS kWh</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sla-penalty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ESCO penalties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Lux standards by road class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IS 1944</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SLA</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Light out 48 h</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Penalty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 contract</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E-13</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Electricity distribution company (Telangana: TGNPDCL)</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Energy readings per service connection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E-14</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CCMS (smart street-light controllers)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Panel status, faults, energy</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20.4 14 Parks &amp; Horticulture Management (prk-service)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prk-service, PostgreSQL schema prk, base path /prk/v1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Tree census, plantation, tree cutting, green budget</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Horticulture Officer; Supervisor; Gardener; Nursery supervisor; Emergency crew; Ward members and volunteers; Adopting RWA or company; Citizen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18 (PRK-FR-001 to PRK-FR-018), 18 processes (PRK-*)</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I-14, I-16, I-33, I-35; consumes I-08, I-15, I-20, I-34, I-38</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park_id, name, type, area, geom, amenities jsonb, bookable flag</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Parks and open spaces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tree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tree_id, species, girth_cm, height_m, heritage flag, geom, health</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Tree census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plantation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drive_id, site geom, count, species mix, planted_at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Plantation drives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survival_audit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drive_id, month (3, 6, 12), alive_count, pct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85% survival target</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tree_request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req_no, type (prune, cut, transplant, fallen), tree_id, applicant, fee, deposit, permission_ref,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Tree services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nursery_stock</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nursery_id, species, qty</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Nurseries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green_budget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fy, allocated, spent, pct_of_budget</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10% green budget</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/prk/v1/tree-requests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Tree service request</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PRK-K12, PRK-K13, PRK-K15</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/prk/v1/tree-requests/{id}:inspect|approve|execute</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Lifecycle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PRK-K13, PRK-K15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/prk/v1/plantations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Plantation drive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PRK-K04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/prk/v1/plantations/{id}/audits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Survival audit</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PRK-K04</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/prk/v1/venues/availability</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Park availability for bookings (I-35)</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PRK-K10</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/prk/v1/trees?bbox=</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Tree census layer</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PRK-K02</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17 Inventory &amp; Stores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/prk/v1/venues/availability, GET /mpm/v1/venues/availability</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urban.tpl.open-space.handed-over.v1</w:t>
            </w:r>
          </w:p>
        </w:tc>
      </w:tr>
    </w:tbl>
    <w:p>
      <w:pPr>
        <w:spacing w:after="40"/>
      </w:pPr>
    </w:p>
    <w:p>
      <w:pPr>
        <w:pStyle w:val="Heading3"/>
        <w:keepNext/>
      </w:pPr>
      <w:r>
        <w:t xml:space="preserve">State model: Tree cutting request</w:t>
      </w:r>
    </w:p>
    <w:p>
      <w:pPr>
        <w:spacing w:after="0" w:before="0" w:line="240" w:lineRule="auto"/>
        <w:jc w:val="center"/>
      </w:pPr>
      <w:r>
        <w:drawing>
          <wp:inline distT="0" distB="0" distL="0" distR="0">
            <wp:extent cx="1876425" cy="5324475"/>
            <wp:effectExtent t="0" r="0" b="0" l="0"/>
            <wp:docPr id="1" name="Figure 22. Parks &amp; Horticulture Management: tree cutting request states" descr="Figure 22. Parks &amp; Horticulture Management: tree cutting request states" title="Figure 22. Parks &amp; Horticulture Management: tree cutting reques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76425" cy="5324475"/>
                    </a:xfrm>
                    <a:prstGeom prst="rect">
                      <a:avLst/>
                    </a:prstGeom>
                  </pic:spPr>
                </pic:pic>
              </a:graphicData>
            </a:graphic>
          </wp:inline>
        </w:drawing>
      </w:r>
    </w:p>
    <w:p>
      <w:pPr>
        <w:jc w:val="center"/>
      </w:pPr>
      <w:r>
        <w:rPr>
          <w:i/>
          <w:iCs/>
          <w:color w:val="5B6675"/>
          <w:sz w:val="17"/>
          <w:szCs w:val="17"/>
        </w:rPr>
        <w:t xml:space="preserve">Figure 22. Parks &amp; Horticulture Management: tree cutting request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survival-audit-due</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Audits at 3, 6, 12 months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hazard-survey</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Yearly pre-monsoon</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Hazardous tree tasks</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green-budget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Spend vs 10% target</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Tree fees and deposits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girth and species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Protected species</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list</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SLA</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Fallen tree 4 h</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State forest department and tree authority (Telangana: Forest Department; WALTA)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Forest, urban forest park and eco-sensitive zone boundaries; tree felling permissions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20.5 17 Inventory &amp; Stores Management (inv-service)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inv-service, PostgreSQL schema inv, base path /inv/v1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Indents, GeM, GRN, issues, fuel, scrap</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Stores officer; Storekeeper; Indenting and approving officers; Purchase committee; Inspection officer; Verification team; Condemnation board; Transport officer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17 (INV-FR-001 to INV-FR-017), 17 processes (INV-*)</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I-13, I-16, I-33; consumes I-14, I-15,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item</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item_code, name, uom, category, shelf_life_days, reorder_level</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Item master</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store / bin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store_id, location, bins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Stores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indent_no, module, requester, items jsonb,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I-14</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purchase_order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po_no, route (GeM, tender, RC, direct), vendor_id, items, value, gem_ref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Purchase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grn_no, po_id, received jsonb, inspected_by, accepted_qty, rejected_qty</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Three-way match</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stock_ledger</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item_id, store_id, txn_type, qty, rate, value, balance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Weighted average</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fuel_issue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vehicle_id, litres, odometer, gps_km</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Fuel against GPS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disposal</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lot_no, items, mstc_ref, proceeds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e-Auction</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/inv/v1/indents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Indent from modules (I-14)</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INV-V04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/inv/v1/purchase-orders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 after route selection</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INV-V05, INV-V06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/inv/v1/grns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Goods receipt and inspection</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INV-V07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/inv/v1/issues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Issue against indent; costing to Finance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INV-V08, INV-V10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/inv/v1/fuel-issues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Fuel issue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INV-V11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/inv/v1/disposals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Disposal lots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INV-V15</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urban.inv.grn.valued.v1, urban.inv.issue.costed.v1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Water &amp; Sewerage, 7 Solid Waste, 10 Engineering Projects, 12 Street Lights, 14 Parks &amp; Horticulture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/inv/v1/indents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8 Payroll &amp; HR</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Indent</w:t>
      </w:r>
    </w:p>
    <w:p>
      <w:pPr>
        <w:spacing w:after="0" w:before="0" w:line="240" w:lineRule="auto"/>
        <w:jc w:val="center"/>
      </w:pPr>
      <w:r>
        <w:drawing>
          <wp:inline distT="0" distB="0" distL="0" distR="0">
            <wp:extent cx="1543050" cy="5343525"/>
            <wp:effectExtent t="0" r="0" b="0" l="0"/>
            <wp:docPr id="1" name="Figure 23. Inventory &amp; Stores Management: indent states" descr="Figure 23. Inventory &amp; Stores Management: indent states" title="Figure 23. Inventory &amp; Stores Management: inden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43050" cy="5343525"/>
                    </a:xfrm>
                    <a:prstGeom prst="rect">
                      <a:avLst/>
                    </a:prstGeom>
                  </pic:spPr>
                </pic:pic>
              </a:graphicData>
            </a:graphic>
          </wp:inline>
        </w:drawing>
      </w:r>
    </w:p>
    <w:p>
      <w:pPr>
        <w:jc w:val="center"/>
      </w:pPr>
      <w:r>
        <w:rPr>
          <w:i/>
          <w:iCs/>
          <w:color w:val="5B6675"/>
          <w:sz w:val="17"/>
          <w:szCs w:val="17"/>
        </w:rPr>
        <w:t xml:space="preserve">Figure 23. Inventory &amp; Stores Management: indent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reorder</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Reorder suggestions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expiry-alerts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60 days before expiry</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gem-sync</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Hourly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GeM order status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Purchase route limits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 (state rules)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GFR limits as amended, state overrides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Valuation</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Weighted average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PPE entitlements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role</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E-10</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GeM / e-procurement</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Procurement and tendering</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E-15</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 GPS / AVLS provider</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Vehicle tracking for SWM fleet, water tankers and desludging vehicles</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E-57</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MSTC / GeM forward auction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E-auction of surplus, obsolete and scrap items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sectPr>
          <w:headerReference w:type="default" r:id="rId37"/>
          <w:footerReference w:type="default" r:id="rId38"/>
          <w:pgSz w:w="11906" w:h="16838" w:orient="portrait"/>
          <w:pgMar w:top="1134" w:right="1134" w:bottom="1134" w:left="1134" w:header="708" w:footer="708" w:gutter="0"/>
          <w:pgNumType/>
          <w:docGrid w:linePitch="360"/>
        </w:sectPr>
      </w:pPr>
    </w:p>
    <w:p>
      <w:pPr>
        <w:pageBreakBefore/>
        <w:spacing w:after="240" w:before="2600" w:line="276" w:lineRule="auto"/>
      </w:pPr>
      <w:r>
        <w:rPr>
          <w:b/>
          <w:bCs/>
          <w:color w:val="2E7D32"/>
          <w:sz w:val="22"/>
          <w:szCs w:val="22"/>
        </w:rPr>
        <w:t xml:space="preserve">PART B  |  PHASE 4  |  MONTHS 12 TO 18</w:t>
      </w:r>
    </w:p>
    <w:p>
      <w:pPr>
        <w:pStyle w:val="Heading1"/>
        <w:spacing w:after="240" w:before="0" w:line="300" w:lineRule="auto"/>
      </w:pPr>
      <w:r>
        <w:rPr>
          <w:sz w:val="52"/>
          <w:szCs w:val="52"/>
        </w:rPr>
        <w:t xml:space="preserve">21. Phase 4 LLD: Administration and welfare</w:t>
      </w:r>
    </w:p>
    <w:p>
      <w:pPr>
        <w:spacing w:after="600"/>
      </w:pPr>
      <w:r>
        <w:rPr>
          <w:color w:val="5B6675"/>
          <w:sz w:val="26"/>
          <w:szCs w:val="26"/>
        </w:rPr>
        <w:t xml:space="preserve">4 services: hrm-service, mpm-service, lgl-service, gsc-service</w:t>
      </w:r>
    </w:p>
    <w:p>
      <w:pPr>
        <w:spacing w:after="80"/>
      </w:pPr>
      <w:r>
        <w:rPr>
          <w:b/>
          <w:bCs/>
          <w:color w:val="1F2937"/>
          <w:sz w:val="24"/>
          <w:szCs w:val="24"/>
        </w:rPr>
        <w:t xml:space="preserve">8</w:t>
      </w:r>
      <w:r>
        <w:rPr>
          <w:color w:val="1F2937"/>
          <w:sz w:val="24"/>
          <w:szCs w:val="24"/>
        </w:rPr>
        <w:t xml:space="preserve">   Payroll &amp; HR Management</w:t>
      </w:r>
    </w:p>
    <w:p>
      <w:pPr>
        <w:spacing w:after="80"/>
      </w:pPr>
      <w:r>
        <w:rPr>
          <w:b/>
          <w:bCs/>
          <w:color w:val="1F2937"/>
          <w:sz w:val="24"/>
          <w:szCs w:val="24"/>
        </w:rPr>
        <w:t xml:space="preserve">15</w:t>
      </w:r>
      <w:r>
        <w:rPr>
          <w:color w:val="1F2937"/>
          <w:sz w:val="24"/>
          <w:szCs w:val="24"/>
        </w:rPr>
        <w:t xml:space="preserve">   Municipal Property Management</w:t>
      </w:r>
    </w:p>
    <w:p>
      <w:pPr>
        <w:spacing w:after="80"/>
      </w:pPr>
      <w:r>
        <w:rPr>
          <w:b/>
          <w:bCs/>
          <w:color w:val="1F2937"/>
          <w:sz w:val="24"/>
          <w:szCs w:val="24"/>
        </w:rPr>
        <w:t xml:space="preserve">16</w:t>
      </w:r>
      <w:r>
        <w:rPr>
          <w:color w:val="1F2937"/>
          <w:sz w:val="24"/>
          <w:szCs w:val="24"/>
        </w:rPr>
        <w:t xml:space="preserve">   Legal Case Management</w:t>
      </w:r>
    </w:p>
    <w:p>
      <w:pPr>
        <w:spacing w:after="80"/>
      </w:pPr>
      <w:r>
        <w:rPr>
          <w:b/>
          <w:bCs/>
          <w:color w:val="1F2937"/>
          <w:sz w:val="24"/>
          <w:szCs w:val="24"/>
        </w:rPr>
        <w:t xml:space="preserve">19</w:t>
      </w:r>
      <w:r>
        <w:rPr>
          <w:color w:val="1F2937"/>
          <w:sz w:val="24"/>
          <w:szCs w:val="24"/>
        </w:rPr>
        <w:t xml:space="preserve">   Government Schemes Management</w:t>
      </w:r>
    </w:p>
    <w:p>
      <w:pPr>
        <w:pStyle w:val="Heading2"/>
        <w:pageBreakBefore/>
      </w:pPr>
      <w:r>
        <w:t xml:space="preserve">21.0 Phase 4 build notes</w:t>
      </w:r>
    </w:p>
    <w:p>
      <w:pPr>
        <w:pStyle w:val="ListParagraph"/>
        <w:numPr>
          <w:ilvl w:val="0"/>
          <w:numId w:val="2"/>
        </w:numPr>
      </w:pPr>
      <w:r>
        <w:t xml:space="preserve">Org hierarchy migrates from tenant-config to hrm-service; workflow approver lookup switches provider</w:t>
      </w:r>
    </w:p>
    <w:p>
      <w:pPr>
        <w:pStyle w:val="ListParagraph"/>
        <w:numPr>
          <w:ilvl w:val="0"/>
          <w:numId w:val="2"/>
        </w:numPr>
      </w:pPr>
      <w:r>
        <w:t xml:space="preserve">Open legal items held in modules (petitions, notices) migrate into lgl-service; I-30 consumers already live</w:t>
      </w:r>
    </w:p>
    <w:p>
      <w:pPr>
        <w:pStyle w:val="ListParagraph"/>
        <w:numPr>
          <w:ilvl w:val="0"/>
          <w:numId w:val="2"/>
        </w:numPr>
      </w:pPr>
      <w:r>
        <w:t xml:space="preserve">Finance fixed asset schedule loads into mpm-service; I-42 switches provider</w:t>
      </w:r>
    </w:p>
    <w:p>
      <w:pPr>
        <w:pStyle w:val="ListParagraph"/>
        <w:numPr>
          <w:ilvl w:val="0"/>
          <w:numId w:val="2"/>
        </w:numPr>
      </w:pPr>
      <w:r>
        <w:t xml:space="preserve">Adapters: eCourts, EPFO, ESIC, NPS CRA, treasury pay bills, scheme portals, state family database</w:t>
      </w:r>
    </w:p>
    <w:p>
      <w:pPr>
        <w:pStyle w:val="Heading2"/>
        <w:pageBreakBefore/>
      </w:pPr>
      <w:r>
        <w:t xml:space="preserve">21.1 8 Payroll &amp; HR Management (hrm-service)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hrm-service, PostgreSQL schema hrm, base path /hrm/v1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Service register, face attendance, payroll, pension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Employee; Establishment section; Payroll clerk; Accounts officer; Reporting and approving officers; Supervisor; Outsourcing agency;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19 (HRM-FR-001 to HRM-FR-019), 19 processes (HRM-*)</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I-12, I-15, I-16, I-17, I-33; consumes I-30,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org_unit / post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unit_id, parent_id, type / post_id, cadre, sanctioned, filled</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Drives workflow routing</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employee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emp_no, category (regular, contract, outsourced), name, aadhaar_ref (vault), bank, pran</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Employee master</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service_event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emp_id, type (appointment, increment, transfer, promotion, penalty), order_doc_id, effective</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e-Service register</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attendance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emp_id, date, in_ts, out_ts, method (face, biometric), geom, liveness_score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Face recognition with liveness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roster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unit_id, date, shift, assignments jsonb</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Published via I-15</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payroll_run / payslip</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period, status / emp_id, earnings jsonb, deductions jsonb, net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Monthly payroll</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leave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emp_id, type, from, to,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Leave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agency_compliance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agency_id, month, epf_paid, esi_paid, min_wage_ok</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Outsourced workers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/hrm/v1/employees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Onboard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HRM-H02, HRM-H03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/hrm/v1/attendance:batch</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Attendance from app or devices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HRM-H05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/hrm/v1/rosters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Publish roster (I-15)</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HRM-H05</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/hrm/v1/payroll-runs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Compute payroll</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HRM-H09</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/hrm/v1/payroll-runs/{id}:approve</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Approve with step-up OTP; journal I-12</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HRM-H09</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/hrm/v1/org-units/{id}/approvers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Approver lookup for workflow engine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HRM-H01</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I-12</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urban.hrm.payroll.approved.v1 / urban.fin.payment.confirmed.v1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I-15</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2 Water &amp; Sewerage, 7 Solid Waste, 12 Street Lights, 14 Parks &amp; Horticulture, 17 Inventory &amp; Stores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urban.hrm.roster.published.v1 / urban.&lt;module&gt;.attendance.captured.v1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Payroll run</w:t>
      </w:r>
    </w:p>
    <w:p>
      <w:pPr>
        <w:spacing w:after="0" w:before="0" w:line="240" w:lineRule="auto"/>
        <w:jc w:val="center"/>
      </w:pPr>
      <w:r>
        <w:drawing>
          <wp:inline distT="0" distB="0" distL="0" distR="0">
            <wp:extent cx="1085850" cy="5353050"/>
            <wp:effectExtent t="0" r="0" b="0" l="0"/>
            <wp:docPr id="1" name="Figure 24. Payroll &amp; HR Management: payroll run states" descr="Figure 24. Payroll &amp; HR Management: payroll run states" title="Figure 24. Payroll &amp; HR Management: payroll ru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085850" cy="5353050"/>
                    </a:xfrm>
                    <a:prstGeom prst="rect">
                      <a:avLst/>
                    </a:prstGeom>
                  </pic:spPr>
                </pic:pic>
              </a:graphicData>
            </a:graphic>
          </wp:inline>
        </w:drawing>
      </w:r>
    </w:p>
    <w:p>
      <w:pPr>
        <w:jc w:val="center"/>
      </w:pPr>
      <w:r>
        <w:rPr>
          <w:i/>
          <w:iCs/>
          <w:color w:val="5B6675"/>
          <w:sz w:val="17"/>
          <w:szCs w:val="17"/>
        </w:rPr>
        <w:t xml:space="preserve">Figure 24. Payroll &amp; HR Management: payroll run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attendance-lock</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 last day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Lock attendance</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retirement-alerts</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12 months ahead</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statutory-returns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 / quarterly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TDS, PT, EPF, ESI, NPS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Pay matrix and DA</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Versioned table</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pay commission</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Professional tax</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DMN (state pack)</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Telangana slabs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Leave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State leave rules</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Aadhaar eKYC / OTP (UIDAI via authorised ASA)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Identity verification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E-27</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Income Tax (TRACES / TIN)</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TDS returns, certificates and PAN validation</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E-58</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EPFO and ESIC portals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Contributions and returns for eligible staff and agency compliance checks</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E-59</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NPS CRA and state pension authority / Accountant General</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NPS contributions and exits; pension papers and authorisations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21.2 15 Municipal Property Management (mpm-service)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mpm-service, PostgreSQL schema mpm, base path /mpm/v1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Asset register, leases, land bank, encroachments</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Estates officer; Accounts officer; GIS cell; Auction committee; Hall and crematorium in-charge; Verification team; Lessee; Commissioner; Council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15 (MPM-FR-001 to MPM-FR-015), 15 processes (MPM-*)</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I-09, I-16, I-17, I-33, I-35, I-42; consumes I-07, I-08, I-20, I-24, I-26, I-27, I-30, I-34, I-38</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asset_no, class (land, building, market, plant, movable), ulpin, geom, cost, source_fund,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Immovable and movable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asset_component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asset_id, component, cost, life_years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Component capitalisation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title_document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asset_id, doc_id, type (deed, gift deed, handover)</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In DMS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lease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lease_no, asset_id, lessee, rent, gst, from, to, auction_ref, deposit</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Shops, stalls, spaces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rent_demand</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lease_id, month, amount, gst,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Monthly rent</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verification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asset_id, year, condition, photo, geom</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Annual verification</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encroachment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asset_id, geom, detected_by,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Protection</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depreciation_run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period, total, status</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I-42</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/mpm/v1/assets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Asset intake (from I-07, I-26, I-38, purchases)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MPM-M01-M03</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/mpm/v1/leases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Lease after e-auction</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MPM-M06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/mpm/v1/rent-runs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Monthly rent demand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MPM-M07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/mpm/v1/depreciation-runs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Depreciation posting (I-42)</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MPM-M03</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/mpm/v1/venues/availability</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Halls and lots availability (I-35)</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MPM-M08</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/mpm/v1/assets/{id}/verifications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Physical verification</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MPM-M05</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I-09</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urban.&lt;module&gt;.demand.raised.v1, urban.&lt;module&gt;.receipt.created.v1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I-35</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6 User Charges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/prk/v1/venues/availability, GET /mpm/v1/venues/availability</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I-42</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urban.mpm.asset.capitalised.v1, urban.mpm.depreciation.posted.v1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I-07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10 Engineering Projects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urban.eng.work.completed.v1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OGC WMS/WFS/Vector tiles /gis/ows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urban.fin.receipt.realised.v1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12 Street Lights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urban.slm.pole.changed.v1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16 Legal Cases</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I-38</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13 Town Planning</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urban.tpl.open-space.handed-over.v1</w:t>
            </w:r>
          </w:p>
        </w:tc>
      </w:tr>
    </w:tbl>
    <w:p>
      <w:pPr>
        <w:spacing w:after="40"/>
      </w:pPr>
    </w:p>
    <w:p>
      <w:pPr>
        <w:pStyle w:val="Heading3"/>
        <w:keepNext/>
      </w:pPr>
      <w:r>
        <w:t xml:space="preserve">State model: Lease</w:t>
      </w:r>
    </w:p>
    <w:p>
      <w:pPr>
        <w:spacing w:after="0" w:before="0" w:line="240" w:lineRule="auto"/>
        <w:jc w:val="center"/>
      </w:pPr>
      <w:r>
        <w:drawing>
          <wp:inline distT="0" distB="0" distL="0" distR="0">
            <wp:extent cx="3686175" cy="5334000"/>
            <wp:effectExtent t="0" r="0" b="0" l="0"/>
            <wp:docPr id="1" name="Figure 25. Municipal Property Management: lease states" descr="Figure 25. Municipal Property Management: lease states" title="Figure 25. Municipal Property Management: leas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686175" cy="5334000"/>
                    </a:xfrm>
                    <a:prstGeom prst="rect">
                      <a:avLst/>
                    </a:prstGeom>
                  </pic:spPr>
                </pic:pic>
              </a:graphicData>
            </a:graphic>
          </wp:inline>
        </w:drawing>
      </w:r>
    </w:p>
    <w:p>
      <w:pPr>
        <w:jc w:val="center"/>
      </w:pPr>
      <w:r>
        <w:rPr>
          <w:i/>
          <w:iCs/>
          <w:color w:val="5B6675"/>
          <w:sz w:val="17"/>
          <w:szCs w:val="17"/>
        </w:rPr>
        <w:t xml:space="preserve">Figure 25. Municipal Property Management: lease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rent-run</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Rent with GST</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depreciation</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Monthly / yearly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Post to Finance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lease-expiry</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Expiry alerts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Depreciation rates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 (manual)</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asset class</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Rent enhancement</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 (state rules)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On renewal</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Capitalisation threshold</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Rs 5,000</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E-03</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Payment gateway, UPI, BBPS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Online payments and bill presentment</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21.3 16 Legal Case Management (lgl-service)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lgl-service, PostgreSQL schema lgl, base path /lgl/v1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Cases, limitation, hearing calendar, contempt</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Legal officer; Standing counsel and panel advocates; Department nodal officers; Commissioner; Council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17 (LGL-FR-001 to LGL-FR-017), 17 processes (LGL-*)</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I-16, I-18, I-30, I-33; consumes I-17, I-29,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case_no, cnr, court, type, subject, originating_module, originating_ref, risk, amount_at_stake,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register</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hearing</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case_id, date, purpose, outcome, next_date</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From eCourts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deadline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case_id, type (counter, compliance, limitation), due_date, owner,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Limitation engine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document_requirement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hearing_id, doc_type, owner, due, ready flag, doc_id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Hearing checklist (J17)</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order</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case_id, date, doc_id, summary, directions jsonb</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Orders and directions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counsel_assignment</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case_id, advocate_id, from, to</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Counsel</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fee_bill</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case_id, advocate_id, stage, amount,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Advocate bills (I-18)</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/lgl/v1/cases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Create case from module (I-17) or inward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LGL-J01</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/lgl/v1/cases/{id}/hearings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Hearing and outcome</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LGL-J06</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/lgl/v1/calendar?officer=&amp;from=&amp;to=</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Officer hearing calendar with document readiness; ICS feed</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LGL-J17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/lgl/v1/cases/{id}/orders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Order with directions; publishes I-30</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LGL-J08, LGL-J11</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/lgl/v1/cases/{id}/deadlines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Limitation and compliance deadlines</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LGL-J07</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/lgl/v1/fee-bills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Advocate bill</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LGL-J12</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urban.lgl.payment.ordered.v1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I-30</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3 Citizen Desk &amp; RTI, 5 Trade Licence, 6 User Charges, 7 Solid Waste, 8 Payroll &amp; HR, 9 Document Management, 11 Building Permission, 13 Town Planning, 15 Municipal Property, 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urban.lgl.case.status-changed.v1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 3 Citizen Desk &amp; RTI, 5 Trade Licence, 6 User Charges, 7 Solid Waste, 8 Payroll &amp; HR, 11 Building Permission, 13 Town Planning, 15 Municipal Property, 18 Fire NOC</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/lgl/v1/cases</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I-29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GET /dms/v1/dossiers/{ulpin}</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Case</w:t>
      </w:r>
    </w:p>
    <w:p>
      <w:pPr>
        <w:spacing w:after="0" w:before="0" w:line="240" w:lineRule="auto"/>
        <w:jc w:val="center"/>
      </w:pPr>
      <w:r>
        <w:drawing>
          <wp:inline distT="0" distB="0" distL="0" distR="0">
            <wp:extent cx="3895725" cy="5324475"/>
            <wp:effectExtent t="0" r="0" b="0" l="0"/>
            <wp:docPr id="1" name="Figure 26. Legal Case Management: case states" descr="Figure 26. Legal Case Management: case states" title="Figure 26. Legal Case Management: cas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895725" cy="5324475"/>
                    </a:xfrm>
                    <a:prstGeom prst="rect">
                      <a:avLst/>
                    </a:prstGeom>
                  </pic:spPr>
                </pic:pic>
              </a:graphicData>
            </a:graphic>
          </wp:inline>
        </w:drawing>
      </w:r>
    </w:p>
    <w:p>
      <w:pPr>
        <w:jc w:val="center"/>
      </w:pPr>
      <w:r>
        <w:rPr>
          <w:i/>
          <w:iCs/>
          <w:color w:val="5B6675"/>
          <w:sz w:val="17"/>
          <w:szCs w:val="17"/>
        </w:rPr>
        <w:t xml:space="preserve">Figure 26. Legal Case Management: case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ecourts-sync</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 05:00</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Status, cause list, orders by CNR</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morning-digest</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Daily 07:30</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Officer digest with documents due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limitation-alerts</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Daily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Escalate as expiry nears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Limitation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Period per remedy</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Alert schedule</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7, 3, 1 days</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Advocate fee schedule</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By court and stage</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E-09</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eCourts services (CNR), High Court and tribunal case portals, NJDG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Case status, hearing dates, cause lists and orders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pStyle w:val="Heading2"/>
        <w:pageBreakBefore/>
      </w:pPr>
      <w:r>
        <w:t xml:space="preserve">21.4 19 Government Schemes Management (gsc-service)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771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Design</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Service and schema</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gsc-service, PostgreSQL schema gsc, base path /gsc/v1</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Scope</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PMAY-U, SHGs, PM SVANidhi, DBT, convergence</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Primary users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Citizen / applicant; Community organiser; Field verifier; Welfare officer; ULB or state committee; Accounts officer; Commissioner</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Requirements realised</w:t>
            </w:r>
          </w:p>
        </w:tc>
        <w:tc>
          <w:tcPr>
            <w:tcW w:type="dxa" w:w="771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b w:val="false"/>
                <w:bCs w:val="false"/>
                <w:color w:val="1F2937"/>
                <w:sz w:val="17"/>
                <w:szCs w:val="17"/>
              </w:rPr>
              <w:t xml:space="preserve">14 (GSC-FR-001 to GSC-FR-014), 14 processes (GSC-*)</w:t>
            </w:r>
          </w:p>
        </w:tc>
      </w:tr>
      <w:tr>
        <w:trPr>
          <w:cantSplit/>
          <w:tblHeader w:val="false"/>
        </w:trPr>
        <w:tc>
          <w:tcPr>
            <w:tcW w:type="dxa" w:w="1927"/>
            <w:tcBorders>
              <w:top w:val="single" w:color="C9D2DE" w:sz="4"/>
              <w:left w:val="single" w:color="C9D2DE" w:sz="4"/>
              <w:bottom w:val="single" w:color="C9D2DE" w:sz="4"/>
              <w:right w:val="single" w:color="C9D2DE" w:sz="4"/>
            </w:tcBorders>
            <w:shd w:fill="DCE5F0" w:color="auto" w:val="clear"/>
            <w:tcMar>
              <w:top w:type="dxa" w:w="50"/>
              <w:left w:type="dxa" w:w="80"/>
              <w:bottom w:type="dxa" w:w="50"/>
              <w:right w:type="dxa" w:w="80"/>
            </w:tcMar>
          </w:tcPr>
          <w:p>
            <w:pPr>
              <w:spacing w:after="0" w:before="0"/>
              <w:jc w:val="left"/>
            </w:pPr>
            <w:r>
              <w:rPr>
                <w:b/>
                <w:bCs/>
                <w:color w:val="1F2937"/>
                <w:sz w:val="17"/>
                <w:szCs w:val="17"/>
              </w:rPr>
              <w:t xml:space="preserve">Interfaces</w:t>
            </w:r>
          </w:p>
        </w:tc>
        <w:tc>
          <w:tcPr>
            <w:tcW w:type="dxa" w:w="771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b w:val="false"/>
                <w:bCs w:val="false"/>
                <w:color w:val="1F2937"/>
                <w:sz w:val="17"/>
                <w:szCs w:val="17"/>
              </w:rPr>
              <w:t xml:space="preserve">Provides I-16, I-19, I-23, I-33, I-43; consumes I-08, I-27, I-34</w:t>
            </w:r>
          </w:p>
        </w:tc>
      </w:tr>
    </w:tbl>
    <w:p>
      <w:pPr>
        <w:spacing w:after="40"/>
      </w:pPr>
    </w:p>
    <w:p>
      <w:pPr>
        <w:pStyle w:val="Heading3"/>
        <w:keepNext/>
      </w:pPr>
      <w:r>
        <w:t xml:space="preserve">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2"/>
        <w:gridCol w:w="5507"/>
        <w:gridCol w:w="2449"/>
      </w:tblGrid>
      <w:tr>
        <w:trPr>
          <w:cantSplit/>
          <w:tblHeader/>
        </w:trPr>
        <w:tc>
          <w:tcPr>
            <w:tcW w:type="dxa" w:w="168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Table</w:t>
            </w:r>
          </w:p>
        </w:tc>
        <w:tc>
          <w:tcPr>
            <w:tcW w:type="dxa" w:w="5507"/>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Key columns</w:t>
            </w:r>
          </w:p>
        </w:tc>
        <w:tc>
          <w:tcPr>
            <w:tcW w:type="dxa" w:w="2449"/>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Notes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code, sponsor, shares jsonb, eligibility_rule_ref, benefit, dbt_mode, portal</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 catalogue</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beneficiary</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ben_id, household_id, aadhaar_ref (vault), bank, category, family_db_ref</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De-duplicated register</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app_no, scheme_id, ben_id, status, eligibility_result jsonb</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Applications</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housing_stage</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app_id, stage, photo, geom, bhuvan_ref, verified</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Geo-tagged stages</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disbursement</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app_id, instalment, amount, pfms_ref, status</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DBT (I-19)</w:t>
            </w:r>
          </w:p>
        </w:tc>
      </w:tr>
      <w:tr>
        <w:trPr>
          <w:cantSplit/>
          <w:tblHeader w:val="false"/>
        </w:trPr>
        <w:tc>
          <w:tcPr>
            <w:tcW w:type="dxa" w:w="168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concession</w:t>
            </w:r>
          </w:p>
        </w:tc>
        <w:tc>
          <w:tcPr>
            <w:tcW w:type="dxa" w:w="5507"/>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ben_id, ulpin, type, valid_to</w:t>
            </w:r>
          </w:p>
        </w:tc>
        <w:tc>
          <w:tcPr>
            <w:tcW w:type="dxa" w:w="2449"/>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I-23</w:t>
            </w:r>
          </w:p>
        </w:tc>
      </w:tr>
      <w:tr>
        <w:trPr>
          <w:cantSplit/>
          <w:tblHeader w:val="false"/>
        </w:trPr>
        <w:tc>
          <w:tcPr>
            <w:tcW w:type="dxa" w:w="168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shg</w:t>
            </w:r>
          </w:p>
        </w:tc>
        <w:tc>
          <w:tcPr>
            <w:tcW w:type="dxa" w:w="5507"/>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shg_id, members, bank_link, loans jsonb</w:t>
            </w:r>
          </w:p>
        </w:tc>
        <w:tc>
          <w:tcPr>
            <w:tcW w:type="dxa" w:w="2449"/>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Livelihoods</w:t>
            </w:r>
          </w:p>
        </w:tc>
      </w:tr>
    </w:tbl>
    <w:p>
      <w:pPr>
        <w:spacing w:after="40"/>
      </w:pPr>
    </w:p>
    <w:p>
      <w:pPr>
        <w:pStyle w:val="Heading3"/>
        <w:keepNext/>
      </w:pPr>
      <w:r>
        <w:t xml:space="preserve">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4283"/>
        <w:gridCol w:w="1684"/>
      </w:tblGrid>
      <w:tr>
        <w:trPr>
          <w:cantSplit/>
          <w:tblHeader/>
        </w:trPr>
        <w:tc>
          <w:tcPr>
            <w:tcW w:type="dxa" w:w="367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Endpoint</w:t>
            </w:r>
          </w:p>
        </w:tc>
        <w:tc>
          <w:tcPr>
            <w:tcW w:type="dxa" w:w="428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c>
          <w:tcPr>
            <w:tcW w:type="dxa" w:w="168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Processes</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/gsc/v1/applications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Apply; eligibility via rules; ownership check I-27</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GSC-C04</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/gsc/v1/applications/{id}:verify|approve|reject</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Verification and approval</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GSC-C05</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POST /gsc/v1/applications/{id}/stages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Housing stage evidence</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GSC-C06</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POST /gsc/v1/disbursements</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DBT batch to PFMS</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GSC-C10</w:t>
            </w:r>
          </w:p>
        </w:tc>
      </w:tr>
      <w:tr>
        <w:trPr>
          <w:cantSplit/>
          <w:tblHeader w:val="false"/>
        </w:trPr>
        <w:tc>
          <w:tcPr>
            <w:tcW w:type="dxa" w:w="367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GET /gsc/v1/concessions</w:t>
            </w:r>
          </w:p>
        </w:tc>
        <w:tc>
          <w:tcPr>
            <w:tcW w:type="dxa" w:w="428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Concessions for PTX and WTR (I-23)</w:t>
            </w:r>
          </w:p>
        </w:tc>
        <w:tc>
          <w:tcPr>
            <w:tcW w:type="dxa" w:w="168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GSC-C09</w:t>
            </w:r>
          </w:p>
        </w:tc>
      </w:tr>
      <w:tr>
        <w:trPr>
          <w:cantSplit/>
          <w:tblHeader w:val="false"/>
        </w:trPr>
        <w:tc>
          <w:tcPr>
            <w:tcW w:type="dxa" w:w="367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GET /gsc/v1/households/{id}</w:t>
            </w:r>
          </w:p>
        </w:tc>
        <w:tc>
          <w:tcPr>
            <w:tcW w:type="dxa" w:w="428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Household convergence view</w:t>
            </w:r>
          </w:p>
        </w:tc>
        <w:tc>
          <w:tcPr>
            <w:tcW w:type="dxa" w:w="168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GSC-C13</w:t>
            </w:r>
          </w:p>
        </w:tc>
      </w:tr>
    </w:tbl>
    <w:p>
      <w:pPr>
        <w:spacing w:after="40"/>
      </w:pPr>
    </w:p>
    <w:p>
      <w:pPr>
        <w:pStyle w:val="Heading3"/>
        <w:keepNext/>
      </w:pPr>
      <w:r>
        <w:t xml:space="preserve">Events and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903"/>
        <w:gridCol w:w="3313"/>
        <w:gridCol w:w="4218"/>
      </w:tblGrid>
      <w:tr>
        <w:trPr>
          <w:cantSplit/>
          <w:tblHeader/>
        </w:trPr>
        <w:tc>
          <w:tcPr>
            <w:tcW w:type="dxa" w:w="120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Direction</w:t>
            </w:r>
          </w:p>
        </w:tc>
        <w:tc>
          <w:tcPr>
            <w:tcW w:type="dxa" w:w="90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Interface</w:t>
            </w:r>
          </w:p>
        </w:tc>
        <w:tc>
          <w:tcPr>
            <w:tcW w:type="dxa" w:w="33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Counterpart</w:t>
            </w:r>
          </w:p>
        </w:tc>
        <w:tc>
          <w:tcPr>
            <w:tcW w:type="dxa" w:w="421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4"/>
                <w:szCs w:val="14"/>
              </w:rPr>
              <w:t xml:space="preserve">Topic or endpoint</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I-16</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9 Document Management</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POST /dms/v1/documents, GET /dms/v1/documents/{id}</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I-19</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4 Finance &amp; Accounting</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urban.gsc.disbursement.made.v1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 2 Water &amp; Sewerage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/gsc/v1/concessions?ulpin=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I-33</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urban.&lt;module&gt;.service-event.v1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Provides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I-43</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11 Building Permission</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urban.gsc.housing-permission.requested.v1 / urban.bpm.permit.issued.v1</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I-08</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urban.grv.service-request.routed.v1 / urban.&lt;module&gt;.service-request.updated.v1</w:t>
            </w:r>
          </w:p>
        </w:tc>
      </w:tr>
      <w:tr>
        <w:trPr>
          <w:cantSplit/>
          <w:tblHeader w:val="false"/>
        </w:trPr>
        <w:tc>
          <w:tcPr>
            <w:tcW w:type="dxa" w:w="120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I-27</w:t>
            </w:r>
          </w:p>
        </w:tc>
        <w:tc>
          <w:tcPr>
            <w:tcW w:type="dxa" w:w="33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1 Property Tax &amp; Revenue</w:t>
            </w:r>
          </w:p>
        </w:tc>
        <w:tc>
          <w:tcPr>
            <w:tcW w:type="dxa" w:w="421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4"/>
                <w:szCs w:val="14"/>
              </w:rPr>
              <w:t xml:space="preserve">GET /ptx/v1/parcels/{ulpin}</w:t>
            </w:r>
          </w:p>
        </w:tc>
      </w:tr>
      <w:tr>
        <w:trPr>
          <w:cantSplit/>
          <w:tblHeader w:val="false"/>
        </w:trPr>
        <w:tc>
          <w:tcPr>
            <w:tcW w:type="dxa" w:w="120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Consumes</w:t>
            </w:r>
          </w:p>
        </w:tc>
        <w:tc>
          <w:tcPr>
            <w:tcW w:type="dxa" w:w="90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I-34</w:t>
            </w:r>
          </w:p>
        </w:tc>
        <w:tc>
          <w:tcPr>
            <w:tcW w:type="dxa" w:w="33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3 Citizen Desk &amp; RTI</w:t>
            </w:r>
          </w:p>
        </w:tc>
        <w:tc>
          <w:tcPr>
            <w:tcW w:type="dxa" w:w="421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4"/>
                <w:szCs w:val="14"/>
              </w:rPr>
              <w:t xml:space="preserve">urban.grv.rti.requested.v1 / urban.&lt;module&gt;.rti.replied.v1</w:t>
            </w:r>
          </w:p>
        </w:tc>
      </w:tr>
    </w:tbl>
    <w:p>
      <w:pPr>
        <w:spacing w:after="40"/>
      </w:pPr>
    </w:p>
    <w:p>
      <w:pPr>
        <w:pStyle w:val="Heading3"/>
        <w:keepNext/>
      </w:pPr>
      <w:r>
        <w:t xml:space="preserve">State model: Scheme application</w:t>
      </w:r>
    </w:p>
    <w:p>
      <w:pPr>
        <w:spacing w:after="0" w:before="0" w:line="240" w:lineRule="auto"/>
        <w:jc w:val="center"/>
      </w:pPr>
      <w:r>
        <w:drawing>
          <wp:inline distT="0" distB="0" distL="0" distR="0">
            <wp:extent cx="2247900" cy="5324475"/>
            <wp:effectExtent t="0" r="0" b="0" l="0"/>
            <wp:docPr id="1" name="Figure 27. Government Schemes Management: scheme application states" descr="Figure 27. Government Schemes Management: scheme application states" title="Figure 27. Government Schemes Management: scheme appl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247900" cy="5324475"/>
                    </a:xfrm>
                    <a:prstGeom prst="rect">
                      <a:avLst/>
                    </a:prstGeom>
                  </pic:spPr>
                </pic:pic>
              </a:graphicData>
            </a:graphic>
          </wp:inline>
        </w:drawing>
      </w:r>
    </w:p>
    <w:p>
      <w:pPr>
        <w:jc w:val="center"/>
      </w:pPr>
      <w:r>
        <w:rPr>
          <w:i/>
          <w:iCs/>
          <w:color w:val="5B6675"/>
          <w:sz w:val="17"/>
          <w:szCs w:val="17"/>
        </w:rPr>
        <w:t xml:space="preserve">Figure 27. Government Schemes Management: scheme application states</w:t>
      </w:r>
    </w:p>
    <w:p>
      <w:pPr>
        <w:pStyle w:val="Heading3"/>
        <w:keepNext/>
      </w:pPr>
      <w:r>
        <w:t xml:space="preserve">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613"/>
        <w:gridCol w:w="4902"/>
      </w:tblGrid>
      <w:tr>
        <w:trPr>
          <w:cantSplit/>
          <w:tblHeader/>
        </w:trPr>
        <w:tc>
          <w:tcPr>
            <w:tcW w:type="dxa" w:w="212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Job</w:t>
            </w:r>
          </w:p>
        </w:tc>
        <w:tc>
          <w:tcPr>
            <w:tcW w:type="dxa" w:w="261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Schedule</w:t>
            </w:r>
          </w:p>
        </w:tc>
        <w:tc>
          <w:tcPr>
            <w:tcW w:type="dxa" w:w="490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Purpose</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dbt-batch</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Per payment cycle</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PFMS files and status</w:t>
            </w:r>
          </w:p>
        </w:tc>
      </w:tr>
      <w:tr>
        <w:trPr>
          <w:cantSplit/>
          <w:tblHeader w:val="false"/>
        </w:trPr>
        <w:tc>
          <w:tcPr>
            <w:tcW w:type="dxa" w:w="212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dedup</w:t>
            </w:r>
          </w:p>
        </w:tc>
        <w:tc>
          <w:tcPr>
            <w:tcW w:type="dxa" w:w="261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Nightly</w:t>
            </w:r>
          </w:p>
        </w:tc>
        <w:tc>
          <w:tcPr>
            <w:tcW w:type="dxa" w:w="490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Cross-scheme duplicate check</w:t>
            </w:r>
          </w:p>
        </w:tc>
      </w:tr>
      <w:tr>
        <w:trPr>
          <w:cantSplit/>
          <w:tblHeader w:val="false"/>
        </w:trPr>
        <w:tc>
          <w:tcPr>
            <w:tcW w:type="dxa" w:w="212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portal-report</w:t>
            </w:r>
          </w:p>
        </w:tc>
        <w:tc>
          <w:tcPr>
            <w:tcW w:type="dxa" w:w="261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Monthly</w:t>
            </w:r>
          </w:p>
        </w:tc>
        <w:tc>
          <w:tcPr>
            <w:tcW w:type="dxa" w:w="490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Scheme MIS uploads</w:t>
            </w:r>
          </w:p>
        </w:tc>
      </w:tr>
    </w:tbl>
    <w:p>
      <w:pPr>
        <w:spacing w:after="40"/>
      </w:pPr>
    </w:p>
    <w:p>
      <w:pPr>
        <w:pStyle w:val="Heading3"/>
        <w:keepNext/>
      </w:pPr>
      <w:r>
        <w:t xml:space="preserve">Configuration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Item</w:t>
            </w:r>
          </w:p>
        </w:tc>
        <w:tc>
          <w:tcPr>
            <w:tcW w:type="dxa" w:w="237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Mechanism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Example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Eligibility rules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PMAY-U income bands, no pucca house</w:t>
            </w:r>
          </w:p>
        </w:tc>
      </w:tr>
      <w:tr>
        <w:trPr>
          <w:cantSplit/>
          <w:tblHeader w:val="false"/>
        </w:trPr>
        <w:tc>
          <w:tcPr>
            <w:tcW w:type="dxa" w:w="252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Instalment schedule</w:t>
            </w:r>
          </w:p>
        </w:tc>
        <w:tc>
          <w:tcPr>
            <w:tcW w:type="dxa" w:w="237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By scheme and stage</w:t>
            </w:r>
          </w:p>
        </w:tc>
      </w:tr>
      <w:tr>
        <w:trPr>
          <w:cantSplit/>
          <w:tblHeader w:val="false"/>
        </w:trPr>
        <w:tc>
          <w:tcPr>
            <w:tcW w:type="dxa" w:w="252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Concession types</w:t>
            </w:r>
          </w:p>
        </w:tc>
        <w:tc>
          <w:tcPr>
            <w:tcW w:type="dxa" w:w="237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Config</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Tax and water</w:t>
            </w:r>
          </w:p>
        </w:tc>
      </w:tr>
    </w:tbl>
    <w:p>
      <w:pPr>
        <w:spacing w:after="40"/>
      </w:pPr>
    </w:p>
    <w:p>
      <w:pPr>
        <w:pStyle w:val="Heading3"/>
        <w:keepNext/>
      </w:pPr>
      <w:r>
        <w:t xml:space="preserve">External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4108"/>
        <w:gridCol w:w="4740"/>
      </w:tblGrid>
      <w:tr>
        <w:trPr>
          <w:cantSplit/>
          <w:tblHeader/>
        </w:trPr>
        <w:tc>
          <w:tcPr>
            <w:tcW w:type="dxa" w:w="79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ID</w:t>
            </w:r>
          </w:p>
        </w:tc>
        <w:tc>
          <w:tcPr>
            <w:tcW w:type="dxa" w:w="41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System</w:t>
            </w:r>
          </w:p>
        </w:tc>
        <w:tc>
          <w:tcPr>
            <w:tcW w:type="dxa" w:w="474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5"/>
                <w:szCs w:val="15"/>
              </w:rPr>
              <w:t xml:space="preserve">Purpose</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E-01</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Aadhaar eKYC / OTP (UIDAI via authorised ASA)</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Identity verification</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E-08</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Treasury, IFMIS, PFMS</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Grants, DBT disbursement, treasury reporting</w:t>
            </w:r>
          </w:p>
        </w:tc>
      </w:tr>
      <w:tr>
        <w:trPr>
          <w:cantSplit/>
          <w:tblHeader w:val="false"/>
        </w:trPr>
        <w:tc>
          <w:tcPr>
            <w:tcW w:type="dxa" w:w="79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E-54</w:t>
            </w:r>
          </w:p>
        </w:tc>
        <w:tc>
          <w:tcPr>
            <w:tcW w:type="dxa" w:w="41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Scheme MIS portals (AMRUT 2.0, Smart Cities Mission, SBM-U, PMAY-U, DAY-NULM, Finance Commission grants)</w:t>
            </w:r>
          </w:p>
        </w:tc>
        <w:tc>
          <w:tcPr>
            <w:tcW w:type="dxa" w:w="474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5"/>
                <w:szCs w:val="15"/>
              </w:rPr>
              <w:t xml:space="preserve">Physical and financial progress and utilisation reporting</w:t>
            </w:r>
          </w:p>
        </w:tc>
      </w:tr>
      <w:tr>
        <w:trPr>
          <w:cantSplit/>
          <w:tblHeader w:val="false"/>
        </w:trPr>
        <w:tc>
          <w:tcPr>
            <w:tcW w:type="dxa" w:w="79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E-60</w:t>
            </w:r>
          </w:p>
        </w:tc>
        <w:tc>
          <w:tcPr>
            <w:tcW w:type="dxa" w:w="41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State family / beneficiary database (e.g. Telangana family digital card) [confirm]</w:t>
            </w:r>
          </w:p>
        </w:tc>
        <w:tc>
          <w:tcPr>
            <w:tcW w:type="dxa" w:w="474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5"/>
                <w:szCs w:val="15"/>
              </w:rPr>
              <w:t xml:space="preserve">Household verification and de-duplication of benefits</w:t>
            </w:r>
          </w:p>
        </w:tc>
      </w:tr>
    </w:tbl>
    <w:p>
      <w:pPr>
        <w:spacing w:after="40"/>
      </w:pPr>
    </w:p>
    <w:p>
      <w:r>
        <w:rPr>
          <w:b/>
          <w:bCs/>
        </w:rPr>
        <w:t xml:space="preserve">Security notes:</w:t>
      </w:r>
      <w:r>
        <w:t xml:space="preserve"> all endpoints require a tenant-scoped token. Ward scope is applied to staff queries. Money, demand and master changes need maker-checker, and step-up OTP above the configured thresholds. Personal data fields are masked in list views and logs.</w:t>
      </w:r>
    </w:p>
    <w:p>
      <w:pPr>
        <w:sectPr>
          <w:headerReference w:type="default" r:id="rId39"/>
          <w:footerReference w:type="default" r:id="rId40"/>
          <w:pgSz w:w="11906" w:h="16838" w:orient="portrait"/>
          <w:pgMar w:top="1134" w:right="1134" w:bottom="1134" w:left="1134" w:header="708" w:footer="708" w:gutter="0"/>
          <w:pgNumType/>
          <w:docGrid w:linePitch="360"/>
        </w:sectPr>
      </w:pPr>
    </w:p>
    <w:p>
      <w:pPr>
        <w:pStyle w:val="Heading1"/>
        <w:pageBreakBefore/>
      </w:pPr>
      <w:r>
        <w:t xml:space="preserve">Appendix A. Interface realisation</w:t>
      </w:r>
    </w:p>
    <w:p>
      <w:r>
        <w:t xml:space="preserve">How each SRS interface is implemented: event topic, synchronous endpoint or both.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1"/>
        <w:gridCol w:w="2308"/>
        <w:gridCol w:w="3173"/>
        <w:gridCol w:w="1442"/>
        <w:gridCol w:w="3750"/>
        <w:gridCol w:w="3176"/>
      </w:tblGrid>
      <w:tr>
        <w:trPr>
          <w:cantSplit/>
          <w:tblHeader/>
        </w:trPr>
        <w:tc>
          <w:tcPr>
            <w:tcW w:type="dxa" w:w="721"/>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ID</w:t>
            </w:r>
          </w:p>
        </w:tc>
        <w:tc>
          <w:tcPr>
            <w:tcW w:type="dxa" w:w="2308"/>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Provider</w:t>
            </w:r>
          </w:p>
        </w:tc>
        <w:tc>
          <w:tcPr>
            <w:tcW w:type="dxa" w:w="3173"/>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Consumer</w:t>
            </w:r>
          </w:p>
        </w:tc>
        <w:tc>
          <w:tcPr>
            <w:tcW w:type="dxa" w:w="1442"/>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SRS mode</w:t>
            </w:r>
          </w:p>
        </w:tc>
        <w:tc>
          <w:tcPr>
            <w:tcW w:type="dxa" w:w="3750"/>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Topic</w:t>
            </w:r>
          </w:p>
        </w:tc>
        <w:tc>
          <w:tcPr>
            <w:tcW w:type="dxa" w:w="317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3"/>
                <w:szCs w:val="13"/>
              </w:rPr>
              <w:t xml:space="preserve">Endpoint</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I-01</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/tpl/v1/plots/{ulpin}/development-control</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I-02</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18 Fire NOC</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urban.bpm.fire-noc.requested.v1 / urban.fnc.noc.decided.v1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I-03</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urban.bpm.occupancy-certificate.issued.v1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I-04</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18 Fire NOC</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5 Trade Licence</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GET /fnc/v1/nocs/verify?ulpin=&amp;use=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I-05</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 Water &amp; Sewerage</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/ptx/v1/units/{ulpin}</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I-06</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6 User Charges</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Batch (daily)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urban.swm.collection.daily-status.v1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I-07</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 Projects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15 Municipal Property</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urban.eng.work.completed.v1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I-08</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3 Citizen Desk &amp; RTI</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 5 Trade Licence, 6 User Charges, 7 Solid Waste, 10 Engineering Projects, 11 Building Permission, 12 Street Lights, 13 Town Planning, 14 Parks &amp; Horticulture, 15 Municipal Property, 18 Fire NOC, 19 Government Schemes</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urban.grv.service-request.routed.v1 / urban.&lt;module&gt;.service-request.updated.v1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I-09</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 2 Water &amp; Sewerage, 5 Trade Licence, 6 User Charges, 7 Solid Waste, 15 Municipal Property</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 + daily batch</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urban.&lt;module&gt;.demand.raised.v1, urban.&lt;module&gt;.receipt.created.v1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I-10</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11 Building Permission, 13 Town Planning, 18 Fire NOC</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urban.&lt;module&gt;.fee.paid.v1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I-11</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 Projects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POST /fin/v1/commitments, POST /fin/v1/bills</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I-12</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8 Payroll &amp; HR</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Batch (monthly, two-way)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urban.hrm.payroll.approved.v1 / urban.fin.payment.confirmed.v1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I-13</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17 Inventory &amp; Stores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urban.inv.grn.valued.v1, urban.inv.issue.costed.v1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I-14</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2 Water &amp; Sewerage, 7 Solid Waste, 10 Engineering Projects, 12 Street Lights, 14 Parks &amp; Horticulture</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17 Inventory &amp; Stores</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POST /inv/v1/indents</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I-15</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8 Payroll &amp; HR</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 Water &amp; Sewerage, 7 Solid Waste, 12 Street Lights, 14 Parks &amp; Horticulture, 17 Inventory &amp; Stores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Batch (daily, two-way)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urban.hrm.roster.published.v1 / urban.&lt;module&gt;.attendance.captured.v1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I-16</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All modules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9 Document Management</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POST /dms/v1/documents, GET /dms/v1/documents/{id}</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I-17</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 2 Water &amp; Sewerage, 3 Citizen Desk &amp; RTI, 5 Trade Licence, 6 User Charges, 7 Solid Waste, 8 Payroll &amp; HR, 11 Building Permission, 13 Town Planning, 15 Municipal Property, 18 Fire NOC</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16 Legal Cases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POST /lgl/v1/cases</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I-18</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16 Legal Cases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urban.lgl.payment.ordered.v1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I-19</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19 Government Schemes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Batch</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urban.gsc.disbursement.made.v1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I-20</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 3 Citizen Desk &amp; RTI, 5 Trade Licence, 6 User Charges, 7 Solid Waste, 9 Document Management, 10 Engineering Projects, 11 Building Permission, 12 Street Lights, 14 Parks &amp; Horticulture, 15 Municipal Property, 18 Fire NOC</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GIS service</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OGC WMS/WFS/Vector tiles /gis/ows</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I-21</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Batch</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urban.bpm.unauthorised-construction.detected.v1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I-22</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5 Trade Licence</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6 User Charges, 7 Solid Waste, 18 Fire NOC</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urban.trl.establishment.changed.v1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I-23</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19 Government Schemes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 2 Water &amp; Sewerage</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/gsc/v1/concessions?ulpin=</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I-24</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 5 Trade Licence, 6 User Charges, 15 Municipal Property</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urban.fin.receipt.realised.v1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I-25</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12 Street Lights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Batch (monthly)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urban.slm.energy.verified.v1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I-26</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12 Street Lights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15 Municipal Property</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urban.slm.pole.changed.v1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I-27</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 Water &amp; Sewerage, 5 Trade Licence, 6 User Charges, 7 Solid Waste, 11 Building Permission, 15 Municipal Property, 18 Fire NOC, 19 Government Schemes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 + 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/ptx/v1/parcels/{ulpin}</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I-28</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urban.ptx.setback-deviation.referred.v1 / urban.tpl.regularisation.decided.v1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I-29</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9 Document Management</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 2 Water &amp; Sewerage, 3 Citizen Desk &amp; RTI, 16 Legal Cases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/dms/v1/dossiers/{ulpin}</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I-30</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16 Legal Cases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 3 Citizen Desk &amp; RTI, 5 Trade Licence, 6 User Charges, 7 Solid Waste, 8 Payroll &amp; HR, 9 Document Management, 11 Building Permission, 13 Town Planning, 15 Municipal Property, 18 Fire NOC</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urban.lgl.case.status-changed.v1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I-31</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 Water &amp; Sewerage</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 Projects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urban.wtr.road-cut.requested.v1 / urban.eng.road-cut.restored.v1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I-32</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10 Engineering Projects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 5 Trade Licence, 6 User Charges, 7 Solid Waste, 11 Building Permission, 12 Street Lights, 13 Town Planning, 18 Fire NOC</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GIS service + 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GET /eng/v1/roads?bbox=, OGC layer roads</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I-33</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All modules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3 Citizen Desk &amp; RTI</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 + sync API</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urban.&lt;module&gt;.service-event.v1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I-34</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3 Citizen Desk &amp; RTI</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All modules</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urban.grv.rti.requested.v1 / urban.&lt;module&gt;.rti.replied.v1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I-35</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14 Parks &amp; Horticulture, 15 Municipal Property</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6 User Charges</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Sync API + event (two-way)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GET /prk/v1/venues/availability, GET /mpm/v1/venues/availability</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I-36</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6 User Charges</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2 Water &amp; Sewerage, 7 Solid Waste, 10 Engineering Projects, 12 Street Lights</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urban.uch.event-service-order.issued.v1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I-37</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 Property Tax &amp; Revenue</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urban.tpl.layout.approved.v1, urban.tpl.door-number.assigned.v1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I-38</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13 Town Planning</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14 Parks &amp; Horticulture, 15 Municipal Property</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urban.tpl.open-space.handed-over.v1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I-39</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2 Water &amp; Sewerage</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18 Fire NOC</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GIS service</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OGC layer hydrants, GET /wtr/v1/hydrants?bbox=</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I-40</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 Property Tax &amp; Revenue, 2 Water &amp; Sewerage</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urban.bpm.rwh-certificate.changed.v1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I-41</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10 Engineering Projects, 11 Building Permission</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7 Solid Waste</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urban.bpm.cnd-plan.approved.v1, urban.eng.cnd-plan.approved.v1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I-42</w:t>
            </w:r>
          </w:p>
        </w:tc>
        <w:tc>
          <w:tcPr>
            <w:tcW w:type="dxa" w:w="2308"/>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15 Municipal Property</w:t>
            </w:r>
          </w:p>
        </w:tc>
        <w:tc>
          <w:tcPr>
            <w:tcW w:type="dxa" w:w="3173"/>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4 Finance &amp; Accounting</w:t>
            </w:r>
          </w:p>
        </w:tc>
        <w:tc>
          <w:tcPr>
            <w:tcW w:type="dxa" w:w="1442"/>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Event + monthly batch</w:t>
            </w:r>
          </w:p>
        </w:tc>
        <w:tc>
          <w:tcPr>
            <w:tcW w:type="dxa" w:w="3750"/>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urban.mpm.asset.capitalised.v1, urban.mpm.depreciation.posted.v1</w:t>
            </w:r>
          </w:p>
        </w:tc>
        <w:tc>
          <w:tcPr>
            <w:tcW w:type="dxa" w:w="317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3"/>
                <w:szCs w:val="13"/>
              </w:rPr>
              <w:t xml:space="preserve">-</w:t>
            </w:r>
          </w:p>
        </w:tc>
      </w:tr>
      <w:tr>
        <w:trPr>
          <w:cantSplit/>
          <w:tblHeader w:val="false"/>
        </w:trPr>
        <w:tc>
          <w:tcPr>
            <w:tcW w:type="dxa" w:w="721"/>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I-43</w:t>
            </w:r>
          </w:p>
        </w:tc>
        <w:tc>
          <w:tcPr>
            <w:tcW w:type="dxa" w:w="2308"/>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19 Government Schemes</w:t>
            </w:r>
          </w:p>
        </w:tc>
        <w:tc>
          <w:tcPr>
            <w:tcW w:type="dxa" w:w="3173"/>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11 Building Permission</w:t>
            </w:r>
          </w:p>
        </w:tc>
        <w:tc>
          <w:tcPr>
            <w:tcW w:type="dxa" w:w="1442"/>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Event (two-way)</w:t>
            </w:r>
          </w:p>
        </w:tc>
        <w:tc>
          <w:tcPr>
            <w:tcW w:type="dxa" w:w="3750"/>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urban.gsc.housing-permission.requested.v1 / urban.bpm.permit.issued.v1</w:t>
            </w:r>
          </w:p>
        </w:tc>
        <w:tc>
          <w:tcPr>
            <w:tcW w:type="dxa" w:w="317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3"/>
                <w:szCs w:val="13"/>
              </w:rPr>
              <w:t xml:space="preserve">-</w:t>
            </w:r>
          </w:p>
        </w:tc>
      </w:tr>
    </w:tbl>
    <w:p>
      <w:pPr>
        <w:spacing w:after="40"/>
      </w:pPr>
    </w:p>
    <w:p>
      <w:pPr>
        <w:pStyle w:val="Heading1"/>
        <w:pageBreakBefore/>
      </w:pPr>
      <w:r>
        <w:t xml:space="preserve">Appendix B. Glossary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4"/>
        <w:gridCol w:w="11656"/>
      </w:tblGrid>
      <w:tr>
        <w:trPr>
          <w:cantSplit/>
          <w:tblHeader/>
        </w:trPr>
        <w:tc>
          <w:tcPr>
            <w:tcW w:type="dxa" w:w="2914"/>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Term</w:t>
            </w:r>
          </w:p>
        </w:tc>
        <w:tc>
          <w:tcPr>
            <w:tcW w:type="dxa" w:w="11656"/>
            <w:tcBorders>
              <w:top w:val="single" w:color="C9D2DE" w:sz="4"/>
              <w:left w:val="single" w:color="C9D2DE" w:sz="4"/>
              <w:bottom w:val="single" w:color="C9D2DE" w:sz="4"/>
              <w:right w:val="single" w:color="C9D2DE" w:sz="4"/>
            </w:tcBorders>
            <w:shd w:fill="14325C" w:color="auto" w:val="clear"/>
            <w:tcMar>
              <w:top w:type="dxa" w:w="50"/>
              <w:left w:type="dxa" w:w="80"/>
              <w:bottom w:type="dxa" w:w="50"/>
              <w:right w:type="dxa" w:w="80"/>
            </w:tcMar>
          </w:tcPr>
          <w:p>
            <w:pPr>
              <w:spacing w:after="0" w:before="0"/>
              <w:jc w:val="left"/>
            </w:pPr>
            <w:r>
              <w:rPr>
                <w:b/>
                <w:bCs/>
                <w:color w:val="FFFFFF"/>
                <w:sz w:val="17"/>
                <w:szCs w:val="17"/>
              </w:rPr>
              <w:t xml:space="preserve">Meaning</w:t>
            </w:r>
          </w:p>
        </w:tc>
      </w:tr>
      <w:tr>
        <w:trPr>
          <w:cantSplit/>
          <w:tblHeader w:val="false"/>
        </w:trPr>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ULPIN</w:t>
            </w:r>
          </w:p>
        </w:tc>
        <w:tc>
          <w:tcPr>
            <w:tcW w:type="dxa" w:w="1165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Unique Land Parcel Identification Number; spine of the property model (parcel, building, unit, segment)</w:t>
            </w:r>
          </w:p>
        </w:tc>
      </w:tr>
      <w:tr>
        <w:trPr>
          <w:cantSplit/>
          <w:tblHeader w:val="false"/>
        </w:trPr>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PTIN</w:t>
            </w:r>
          </w:p>
        </w:tc>
        <w:tc>
          <w:tcPr>
            <w:tcW w:type="dxa" w:w="1165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State property tax identification number (Telangana CDMA)</w:t>
            </w:r>
          </w:p>
        </w:tc>
      </w:tr>
      <w:tr>
        <w:trPr>
          <w:cantSplit/>
          <w:tblHeader w:val="false"/>
        </w:trPr>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BFF</w:t>
            </w:r>
          </w:p>
        </w:tc>
        <w:tc>
          <w:tcPr>
            <w:tcW w:type="dxa" w:w="1165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Backend for frontend: channel-specific API layer</w:t>
            </w:r>
          </w:p>
        </w:tc>
      </w:tr>
      <w:tr>
        <w:trPr>
          <w:cantSplit/>
          <w:tblHeader w:val="false"/>
        </w:trPr>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Outbox / inbox</w:t>
            </w:r>
          </w:p>
        </w:tc>
        <w:tc>
          <w:tcPr>
            <w:tcW w:type="dxa" w:w="1165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Tables that make event publishing and consumption reliable and idempotent</w:t>
            </w:r>
          </w:p>
        </w:tc>
      </w:tr>
      <w:tr>
        <w:trPr>
          <w:cantSplit/>
          <w:tblHeader w:val="false"/>
        </w:trPr>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DMN</w:t>
            </w:r>
          </w:p>
        </w:tc>
        <w:tc>
          <w:tcPr>
            <w:tcW w:type="dxa" w:w="1165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Decision Model and Notation; decision tables for fees, taxes, eligibility</w:t>
            </w:r>
          </w:p>
        </w:tc>
      </w:tr>
      <w:tr>
        <w:trPr>
          <w:cantSplit/>
          <w:tblHeader w:val="false"/>
        </w:trPr>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BPMN</w:t>
            </w:r>
          </w:p>
        </w:tc>
        <w:tc>
          <w:tcPr>
            <w:tcW w:type="dxa" w:w="1165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Business Process Model and Notation; executable workflows</w:t>
            </w:r>
          </w:p>
        </w:tc>
      </w:tr>
      <w:tr>
        <w:trPr>
          <w:cantSplit/>
          <w:tblHeader w:val="false"/>
        </w:trPr>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RLS</w:t>
            </w:r>
          </w:p>
        </w:tc>
        <w:tc>
          <w:tcPr>
            <w:tcW w:type="dxa" w:w="1165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PostgreSQL row-level security used for tenant isolation</w:t>
            </w:r>
          </w:p>
        </w:tc>
      </w:tr>
      <w:tr>
        <w:trPr>
          <w:cantSplit/>
          <w:tblHeader w:val="false"/>
        </w:trPr>
        <w:tc>
          <w:tcPr>
            <w:tcW w:type="dxa" w:w="2914"/>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Integrate mode</w:t>
            </w:r>
          </w:p>
        </w:tc>
        <w:tc>
          <w:tcPr>
            <w:tcW w:type="dxa" w:w="11656"/>
            <w:tcBorders>
              <w:top w:val="single" w:color="C9D2DE" w:sz="4"/>
              <w:left w:val="single" w:color="C9D2DE" w:sz="4"/>
              <w:bottom w:val="single" w:color="C9D2DE" w:sz="4"/>
              <w:right w:val="single" w:color="C9D2DE" w:sz="4"/>
            </w:tcBorders>
            <w:shd w:fill="EEF2F7" w:color="auto" w:val="clear"/>
            <w:tcMar>
              <w:top w:type="dxa" w:w="50"/>
              <w:left w:type="dxa" w:w="80"/>
              <w:bottom w:type="dxa" w:w="50"/>
              <w:right w:type="dxa" w:w="80"/>
            </w:tcMar>
          </w:tcPr>
          <w:p>
            <w:pPr>
              <w:spacing w:after="0" w:before="0"/>
              <w:jc w:val="left"/>
            </w:pPr>
            <w:r>
              <w:rPr>
                <w:color w:val="1F2937"/>
                <w:sz w:val="17"/>
                <w:szCs w:val="17"/>
              </w:rPr>
              <w:t xml:space="preserve">Module connected to an existing state system instead of running the Urban module as system of record</w:t>
            </w:r>
          </w:p>
        </w:tc>
      </w:tr>
      <w:tr>
        <w:trPr>
          <w:cantSplit/>
          <w:tblHeader w:val="false"/>
        </w:trPr>
        <w:tc>
          <w:tcPr>
            <w:tcW w:type="dxa" w:w="2914"/>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Step-up OTP</w:t>
            </w:r>
          </w:p>
        </w:tc>
        <w:tc>
          <w:tcPr>
            <w:tcW w:type="dxa" w:w="11656"/>
            <w:tcBorders>
              <w:top w:val="single" w:color="C9D2DE" w:sz="4"/>
              <w:left w:val="single" w:color="C9D2DE" w:sz="4"/>
              <w:bottom w:val="single" w:color="C9D2DE" w:sz="4"/>
              <w:right w:val="single" w:color="C9D2DE" w:sz="4"/>
            </w:tcBorders>
            <w:tcMar>
              <w:top w:type="dxa" w:w="50"/>
              <w:left w:type="dxa" w:w="80"/>
              <w:bottom w:type="dxa" w:w="50"/>
              <w:right w:type="dxa" w:w="80"/>
            </w:tcMar>
          </w:tcPr>
          <w:p>
            <w:pPr>
              <w:spacing w:after="0" w:before="0"/>
              <w:jc w:val="left"/>
            </w:pPr>
            <w:r>
              <w:rPr>
                <w:color w:val="1F2937"/>
                <w:sz w:val="17"/>
                <w:szCs w:val="17"/>
              </w:rPr>
              <w:t xml:space="preserve">Extra transaction-bound verification before a high-risk action</w:t>
            </w:r>
          </w:p>
        </w:tc>
      </w:tr>
    </w:tbl>
    <w:p>
      <w:pPr>
        <w:spacing w:after="40"/>
      </w:pPr>
    </w:p>
    <w:sectPr>
      <w:headerReference w:type="default" r:id="rId41"/>
      <w:footerReference w:type="default" r:id="rId42"/>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5"/>
        <w:sz w:val="16"/>
        <w:szCs w:val="16"/>
      </w:rPr>
      <w:t xml:space="preserve">Hake Technologies · Confidential · Page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Urban  |  Technical Architecture (HLD and LLD)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4325C"/>
      <w:sz w:val="34"/>
      <w:szCs w:val="34"/>
    </w:rPr>
  </w:style>
  <w:style w:type="paragraph" w:styleId="Heading2">
    <w:name w:val="Heading 2"/>
    <w:basedOn w:val="Normal"/>
    <w:next w:val="Normal"/>
    <w:qFormat/>
    <w:pPr>
      <w:keepNext/>
      <w:spacing w:after="120" w:before="280"/>
      <w:outlineLvl w:val="1"/>
    </w:pPr>
    <w:rPr>
      <w:b/>
      <w:bCs/>
      <w:color w:val="14325C"/>
      <w:sz w:val="26"/>
      <w:szCs w:val="26"/>
    </w:rPr>
  </w:style>
  <w:style w:type="paragraph" w:styleId="Heading3">
    <w:name w:val="Heading 3"/>
    <w:basedOn w:val="Normal"/>
    <w:next w:val="Normal"/>
    <w:qFormat/>
    <w:pPr>
      <w:keepNext/>
      <w:spacing w:after="80" w:before="180"/>
      <w:outlineLvl w:val="2"/>
    </w:pPr>
    <w:rPr>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image" Target="media/e0c1e61b55ae9c04adbdc65b456698dfdcc9b587.png"/><Relationship Id="rId44" Type="http://schemas.openxmlformats.org/officeDocument/2006/relationships/image" Target="media/ecd5f01b46d364da1ea42492bd6d6024f4609c40.png"/><Relationship Id="rId45" Type="http://schemas.openxmlformats.org/officeDocument/2006/relationships/image" Target="media/3d243ca9f7aaf57281a1ac5070e948545601d01f.png"/><Relationship Id="rId46" Type="http://schemas.openxmlformats.org/officeDocument/2006/relationships/image" Target="media/a5196229d54f086156494cbb3885bee6ade144f4.png"/><Relationship Id="rId47" Type="http://schemas.openxmlformats.org/officeDocument/2006/relationships/image" Target="media/565b9ef8e96add67c64f545f5631edf0a465ddbd.png"/><Relationship Id="rId48" Type="http://schemas.openxmlformats.org/officeDocument/2006/relationships/image" Target="media/e5ff9c42f65fde64d67fd1db915d4fb4687d2672.png"/><Relationship Id="rId49" Type="http://schemas.openxmlformats.org/officeDocument/2006/relationships/image" Target="media/67028169830b66f175715805abcbe89a037c0977.png"/><Relationship Id="rId50" Type="http://schemas.openxmlformats.org/officeDocument/2006/relationships/image" Target="media/e90b1890926eb6aa57c96ea5fa27c1f23fd4cdf6.png"/><Relationship Id="rId51" Type="http://schemas.openxmlformats.org/officeDocument/2006/relationships/image" Target="media/90473261de7f4dc8094af318280b0a54fb8aa86f.png"/><Relationship Id="rId52" Type="http://schemas.openxmlformats.org/officeDocument/2006/relationships/image" Target="media/b360771079fd82e80f76e07f6876882075615050.png"/><Relationship Id="rId53" Type="http://schemas.openxmlformats.org/officeDocument/2006/relationships/image" Target="media/3715564cb2155909b2194ffca72b6d7c977f0d7a.png"/><Relationship Id="rId54" Type="http://schemas.openxmlformats.org/officeDocument/2006/relationships/image" Target="media/592421226d2721a1e67231eba28fbdaf523cf331.png"/><Relationship Id="rId55" Type="http://schemas.openxmlformats.org/officeDocument/2006/relationships/image" Target="media/94f66ed134873edb8efff10ef1b20e2ee61b310b.png"/><Relationship Id="rId56" Type="http://schemas.openxmlformats.org/officeDocument/2006/relationships/image" Target="media/6e2ec6e27d565fe6a686fa9aff1e2fae43345d79.png"/><Relationship Id="rId57" Type="http://schemas.openxmlformats.org/officeDocument/2006/relationships/image" Target="media/69f7f6089f33e8b8dad08fd371c1967c66b93bb5.png"/><Relationship Id="rId58" Type="http://schemas.openxmlformats.org/officeDocument/2006/relationships/image" Target="media/d2bf00aa62bb1ff0fd0251b8d5c04f1f07d1a784.png"/><Relationship Id="rId59" Type="http://schemas.openxmlformats.org/officeDocument/2006/relationships/image" Target="media/cdae040554fab1114b66af05b0785247b3cea68e.png"/><Relationship Id="rId60" Type="http://schemas.openxmlformats.org/officeDocument/2006/relationships/image" Target="media/46079096c520224edc049fbd65c1381ca165ac9d.png"/><Relationship Id="rId61" Type="http://schemas.openxmlformats.org/officeDocument/2006/relationships/image" Target="media/57e8d75e899aaeccae66503f978910067dd4968e.png"/><Relationship Id="rId62" Type="http://schemas.openxmlformats.org/officeDocument/2006/relationships/image" Target="media/948e217915b74048a4baabc81f31fb6e6b0b83e0.png"/><Relationship Id="rId63" Type="http://schemas.openxmlformats.org/officeDocument/2006/relationships/image" Target="media/dcc1a6bb0fd0c0c97341b91dc18f379bf548a085.png"/><Relationship Id="rId64" Type="http://schemas.openxmlformats.org/officeDocument/2006/relationships/image" Target="media/e328148fe517a4979b8878dff3c34cb8288882fb.png"/><Relationship Id="rId65" Type="http://schemas.openxmlformats.org/officeDocument/2006/relationships/image" Target="media/080a76fb7c4b24945481a29a862a0208d423d3b9.png"/><Relationship Id="rId66" Type="http://schemas.openxmlformats.org/officeDocument/2006/relationships/image" Target="media/7083c6d5daa3c4bc84b0732736bdcb06af7622fc.png"/><Relationship Id="rId67" Type="http://schemas.openxmlformats.org/officeDocument/2006/relationships/image" Target="media/b5291c7c07322736699b8241eff1b4d738059859.png"/><Relationship Id="rId68" Type="http://schemas.openxmlformats.org/officeDocument/2006/relationships/image" Target="media/cd592c5c428332e968b582fecfea8f5b515eeedf.png"/><Relationship Id="rId69" Type="http://schemas.openxmlformats.org/officeDocument/2006/relationships/image" Target="media/c1c37f67703566c85b6a8b1142c4d9c3623b48f0.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dc:title>
  <dc:creator>Hake Technologies</dc:creator>
  <cp:lastModifiedBy>Un-named</cp:lastModifiedBy>
  <cp:revision>1</cp:revision>
  <dcterms:created xsi:type="dcterms:W3CDTF">2026-10-23T02:04:02.373Z</dcterms:created>
  <dcterms:modified xsi:type="dcterms:W3CDTF">2026-10-23T02:04:02.381Z</dcterms:modified>
</cp:coreProperties>
</file>

<file path=docProps/custom.xml><?xml version="1.0" encoding="utf-8"?>
<Properties xmlns="http://schemas.openxmlformats.org/officeDocument/2006/custom-properties" xmlns:vt="http://schemas.openxmlformats.org/officeDocument/2006/docPropsVTypes"/>
</file>