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­Data Collection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Identifying  problem – classification or Regression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Finding Important variables to be taken into algorithm for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Data Cleaning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line="480" w:lineRule="auto"/>
        <w:ind w:left="144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Outliers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line="480" w:lineRule="auto"/>
        <w:ind w:left="144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Missing values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line="480" w:lineRule="auto"/>
        <w:ind w:left="144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Dummy variables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line="480" w:lineRule="auto"/>
        <w:ind w:left="144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Making data more structured- into desired formats as per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problem statement – scaling, conversions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Identifying algo to use – Supervised Ml approach or Unsupervised ML Algo to be used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Importing the Algorithm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Dividing our data into train test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Training our model on X_TRAIN , Y_TRAIN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Making predictions on X_TEST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Checking the prediction results for both X_test and X_train to see overfitting and underfitting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Making predictions by taking the model performance into consideration</w:t>
      </w:r>
    </w:p>
    <w:p w:rsidR="00000000" w:rsidDel="00000000" w:rsidP="00000000" w:rsidRDefault="00000000" w:rsidRPr="00000000" w14:paraId="00000010">
      <w:pPr>
        <w:spacing w:after="200" w:before="0" w:line="48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48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48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48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5yVPAVGNR2DmvPyLt8/f6NBaXw==">AMUW2mVszpeqGHF0w0aZQuVHHmHOmUiapENjN18hu1b/BFI8kFoOK4nBr5WPLedjD9AZXdZhE/iWD6jbo7u+rupPNQuB3ij9dhbVuxCmzL4b5IcyhJ0rL7k=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