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E57B" w14:textId="283D7E18" w:rsidR="00D30432" w:rsidRPr="00D30432" w:rsidRDefault="00D30432" w:rsidP="00D30432">
      <w:pPr>
        <w:pStyle w:val="Heading1"/>
      </w:pPr>
      <w:r>
        <w:t>K-mode Clustering:</w:t>
      </w:r>
    </w:p>
    <w:p w14:paraId="1E81E11D" w14:textId="77777777" w:rsidR="00D30432" w:rsidRDefault="00D30432"/>
    <w:p w14:paraId="30425110" w14:textId="2C7A563D" w:rsidR="00D30432" w:rsidRDefault="00D30432">
      <w:pPr>
        <w:rPr>
          <w:color w:val="091E42"/>
          <w:sz w:val="27"/>
          <w:szCs w:val="27"/>
          <w:shd w:val="clear" w:color="auto" w:fill="F4F5F7"/>
        </w:rPr>
      </w:pPr>
      <w:r>
        <w:rPr>
          <w:color w:val="091E42"/>
          <w:sz w:val="27"/>
          <w:szCs w:val="27"/>
          <w:shd w:val="clear" w:color="auto" w:fill="F4F5F7"/>
        </w:rPr>
        <w:t xml:space="preserve">The K-Means clustering algorithm is undoubtedly one of the most widely used partitional algorithms </w:t>
      </w:r>
      <w:r w:rsidRPr="00D30432">
        <w:rPr>
          <w:b/>
          <w:bCs/>
          <w:color w:val="091E42"/>
          <w:sz w:val="27"/>
          <w:szCs w:val="27"/>
          <w:shd w:val="clear" w:color="auto" w:fill="F4F5F7"/>
        </w:rPr>
        <w:t>for numerical data or continuous data</w:t>
      </w:r>
      <w:r>
        <w:rPr>
          <w:color w:val="091E42"/>
          <w:sz w:val="27"/>
          <w:szCs w:val="27"/>
          <w:shd w:val="clear" w:color="auto" w:fill="F4F5F7"/>
        </w:rPr>
        <w:t xml:space="preserve">, but K-Means </w:t>
      </w:r>
      <w:proofErr w:type="gramStart"/>
      <w:r w:rsidRPr="00D30432">
        <w:rPr>
          <w:b/>
          <w:bCs/>
          <w:color w:val="091E42"/>
          <w:sz w:val="27"/>
          <w:szCs w:val="27"/>
          <w:shd w:val="clear" w:color="auto" w:fill="F4F5F7"/>
        </w:rPr>
        <w:t>can't</w:t>
      </w:r>
      <w:proofErr w:type="gramEnd"/>
      <w:r w:rsidRPr="00D30432">
        <w:rPr>
          <w:b/>
          <w:bCs/>
          <w:color w:val="091E42"/>
          <w:sz w:val="27"/>
          <w:szCs w:val="27"/>
          <w:shd w:val="clear" w:color="auto" w:fill="F4F5F7"/>
        </w:rPr>
        <w:t xml:space="preserve"> handle categorical data</w:t>
      </w:r>
      <w:r>
        <w:rPr>
          <w:color w:val="091E42"/>
          <w:sz w:val="27"/>
          <w:szCs w:val="27"/>
          <w:shd w:val="clear" w:color="auto" w:fill="F4F5F7"/>
        </w:rPr>
        <w:t>, and the reason is that of the difference in the dissimilarity measure the K-Means uses.</w:t>
      </w:r>
    </w:p>
    <w:p w14:paraId="4B208FC1" w14:textId="19A1D8C4" w:rsidR="00F14E7C" w:rsidRDefault="00F14E7C">
      <w:pPr>
        <w:rPr>
          <w:color w:val="091E42"/>
          <w:sz w:val="27"/>
          <w:szCs w:val="27"/>
          <w:shd w:val="clear" w:color="auto" w:fill="F4F5F7"/>
        </w:rPr>
      </w:pPr>
      <w:r>
        <w:rPr>
          <w:color w:val="091E42"/>
          <w:sz w:val="27"/>
          <w:szCs w:val="27"/>
          <w:shd w:val="clear" w:color="auto" w:fill="F4F5F7"/>
        </w:rPr>
        <w:t xml:space="preserve">The </w:t>
      </w:r>
      <w:r w:rsidRPr="00F14E7C">
        <w:rPr>
          <w:b/>
          <w:bCs/>
          <w:color w:val="091E42"/>
          <w:sz w:val="27"/>
          <w:szCs w:val="27"/>
          <w:shd w:val="clear" w:color="auto" w:fill="F4F5F7"/>
        </w:rPr>
        <w:t>K-modes clustering algorithm is based on K-means paradigm but removes the numeric data limitation while preserving its efficiency</w:t>
      </w:r>
      <w:r>
        <w:rPr>
          <w:color w:val="091E42"/>
          <w:sz w:val="27"/>
          <w:szCs w:val="27"/>
          <w:shd w:val="clear" w:color="auto" w:fill="F4F5F7"/>
        </w:rPr>
        <w:t>.</w:t>
      </w:r>
    </w:p>
    <w:p w14:paraId="7ECDEE0C" w14:textId="77777777" w:rsidR="00F14E7C" w:rsidRDefault="00F14E7C">
      <w:pPr>
        <w:rPr>
          <w:color w:val="091E42"/>
          <w:sz w:val="27"/>
          <w:szCs w:val="27"/>
          <w:shd w:val="clear" w:color="auto" w:fill="F4F5F7"/>
        </w:rPr>
      </w:pPr>
    </w:p>
    <w:p w14:paraId="4E4CC7BF" w14:textId="045E48C6" w:rsidR="00F14E7C" w:rsidRDefault="00BC4ABA">
      <w:r w:rsidRPr="00BC4ABA">
        <w:drawing>
          <wp:inline distT="0" distB="0" distL="0" distR="0" wp14:anchorId="301A7EB7" wp14:editId="72961BCC">
            <wp:extent cx="5943600" cy="2391410"/>
            <wp:effectExtent l="0" t="0" r="0" b="8890"/>
            <wp:docPr id="9339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0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20F" w14:textId="77777777" w:rsidR="0014239B" w:rsidRDefault="0014239B"/>
    <w:p w14:paraId="10FEC1F0" w14:textId="77777777" w:rsidR="0014239B" w:rsidRPr="0014239B" w:rsidRDefault="0014239B" w:rsidP="0014239B">
      <w:pPr>
        <w:pStyle w:val="Heading1"/>
      </w:pPr>
      <w:r w:rsidRPr="0014239B">
        <w:t>K-Prototype in Python</w:t>
      </w:r>
    </w:p>
    <w:p w14:paraId="5E36AF46" w14:textId="77777777" w:rsidR="0014239B" w:rsidRDefault="0014239B"/>
    <w:p w14:paraId="20843714" w14:textId="49E677AB" w:rsidR="0014239B" w:rsidRDefault="0014239B">
      <w:pPr>
        <w:rPr>
          <w:color w:val="091E42"/>
          <w:sz w:val="27"/>
          <w:szCs w:val="27"/>
          <w:shd w:val="clear" w:color="auto" w:fill="F4F5F7"/>
        </w:rPr>
      </w:pPr>
      <w:r>
        <w:rPr>
          <w:color w:val="091E42"/>
          <w:sz w:val="27"/>
          <w:szCs w:val="27"/>
          <w:shd w:val="clear" w:color="auto" w:fill="F4F5F7"/>
        </w:rPr>
        <w:t>K-Prototype clustering is an algorithm to combine K-Means and K-Modes. K-Prototype can handle both continuous and categorical data to create clusters.</w:t>
      </w:r>
    </w:p>
    <w:p w14:paraId="22D32837" w14:textId="29435090" w:rsidR="00392FF4" w:rsidRDefault="00392FF4">
      <w:r>
        <w:br w:type="page"/>
      </w:r>
    </w:p>
    <w:p w14:paraId="16765C70" w14:textId="52C8BC47" w:rsidR="00017163" w:rsidRDefault="00392FF4">
      <w:r>
        <w:lastRenderedPageBreak/>
        <w:t>DB scan Clustering:</w:t>
      </w:r>
    </w:p>
    <w:p w14:paraId="64D9E693" w14:textId="77777777" w:rsidR="00392FF4" w:rsidRDefault="00392FF4"/>
    <w:p w14:paraId="4EF6CD92" w14:textId="0E816717" w:rsidR="00392FF4" w:rsidRDefault="00E66A0C">
      <w:pPr>
        <w:rPr>
          <w:color w:val="091E42"/>
          <w:sz w:val="27"/>
          <w:szCs w:val="27"/>
          <w:shd w:val="clear" w:color="auto" w:fill="F4F5F7"/>
        </w:rPr>
      </w:pPr>
      <w:r>
        <w:rPr>
          <w:color w:val="091E42"/>
          <w:sz w:val="27"/>
          <w:szCs w:val="27"/>
          <w:shd w:val="clear" w:color="auto" w:fill="F4F5F7"/>
        </w:rPr>
        <w:t>DBSCAN is a density-based clustering algorithm that divides a data set into subgroups of high-density regions. DBSCAN groups together point that are close to each other based on a distance measurement (usually Euclidean distance) and a minimum number of points. It also marks as outliers the points that are in low-density regions.</w:t>
      </w:r>
    </w:p>
    <w:p w14:paraId="1D1E56AE" w14:textId="77777777" w:rsidR="00E66A0C" w:rsidRDefault="00E66A0C">
      <w:pPr>
        <w:rPr>
          <w:color w:val="091E42"/>
          <w:sz w:val="27"/>
          <w:szCs w:val="27"/>
          <w:shd w:val="clear" w:color="auto" w:fill="F4F5F7"/>
        </w:rPr>
      </w:pPr>
    </w:p>
    <w:p w14:paraId="04C75586" w14:textId="77777777" w:rsidR="00E66A0C" w:rsidRPr="00E66A0C" w:rsidRDefault="00E66A0C" w:rsidP="00E66A0C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14:ligatures w14:val="none"/>
        </w:rPr>
      </w:pPr>
      <w:r w:rsidRPr="00E66A0C">
        <w:rPr>
          <w:rFonts w:ascii="Times New Roman" w:eastAsia="Times New Roman" w:hAnsi="Times New Roman" w:cs="Times New Roman"/>
          <w:color w:val="091E42"/>
          <w:kern w:val="0"/>
          <w:sz w:val="27"/>
          <w:szCs w:val="27"/>
          <w14:ligatures w14:val="none"/>
        </w:rPr>
        <w:t>DBSCAN algorithm requires 2 parameters:</w:t>
      </w:r>
    </w:p>
    <w:p w14:paraId="6E28A69B" w14:textId="77777777" w:rsidR="00E66A0C" w:rsidRPr="00E66A0C" w:rsidRDefault="00E66A0C" w:rsidP="00E66A0C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</w:pPr>
      <w:r w:rsidRPr="00E66A0C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  <w:t>Epsom or EPS</w:t>
      </w:r>
    </w:p>
    <w:p w14:paraId="288C799A" w14:textId="77777777" w:rsidR="00E66A0C" w:rsidRPr="00E66A0C" w:rsidRDefault="00E66A0C" w:rsidP="00E66A0C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</w:pPr>
      <w:proofErr w:type="spellStart"/>
      <w:r w:rsidRPr="00E66A0C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  <w:t>MinPoints</w:t>
      </w:r>
      <w:proofErr w:type="spellEnd"/>
      <w:r w:rsidRPr="00E66A0C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  <w:t xml:space="preserve"> or </w:t>
      </w:r>
      <w:proofErr w:type="spellStart"/>
      <w:r w:rsidRPr="00E66A0C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  <w:t>MinSamples</w:t>
      </w:r>
      <w:proofErr w:type="spellEnd"/>
      <w:r w:rsidRPr="00E66A0C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14:ligatures w14:val="none"/>
        </w:rPr>
        <w:t>.</w:t>
      </w:r>
    </w:p>
    <w:p w14:paraId="2843AAD7" w14:textId="77777777" w:rsidR="00E66A0C" w:rsidRDefault="00E66A0C"/>
    <w:p w14:paraId="4D5C18F2" w14:textId="77777777" w:rsidR="00267DBE" w:rsidRDefault="00267DBE"/>
    <w:p w14:paraId="347361CA" w14:textId="4C5FFA28" w:rsidR="00643D0B" w:rsidRDefault="00C22AF3">
      <w:r w:rsidRPr="00C22AF3">
        <w:drawing>
          <wp:inline distT="0" distB="0" distL="0" distR="0" wp14:anchorId="153D729E" wp14:editId="0DB7AA92">
            <wp:extent cx="5943600" cy="4574540"/>
            <wp:effectExtent l="0" t="0" r="0" b="0"/>
            <wp:docPr id="129849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9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9DEF" w14:textId="77777777" w:rsidR="00643D0B" w:rsidRDefault="00643D0B">
      <w:r>
        <w:lastRenderedPageBreak/>
        <w:br w:type="page"/>
      </w:r>
    </w:p>
    <w:p w14:paraId="31708B72" w14:textId="77777777" w:rsidR="00643D0B" w:rsidRDefault="00643D0B" w:rsidP="00643D0B">
      <w:pPr>
        <w:pStyle w:val="Heading1"/>
        <w:shd w:val="clear" w:color="auto" w:fill="F4F5F7"/>
        <w:spacing w:before="150" w:after="225" w:line="885" w:lineRule="atLeast"/>
        <w:rPr>
          <w:rFonts w:ascii="Segoe UI" w:hAnsi="Segoe UI" w:cs="Segoe UI"/>
          <w:color w:val="091E42"/>
          <w:spacing w:val="-4"/>
          <w:sz w:val="72"/>
          <w:szCs w:val="72"/>
        </w:rPr>
      </w:pPr>
      <w:r>
        <w:rPr>
          <w:rFonts w:ascii="Segoe UI" w:hAnsi="Segoe UI" w:cs="Segoe UI"/>
          <w:color w:val="091E42"/>
          <w:spacing w:val="-4"/>
          <w:sz w:val="72"/>
          <w:szCs w:val="72"/>
        </w:rPr>
        <w:lastRenderedPageBreak/>
        <w:t>Summary</w:t>
      </w:r>
    </w:p>
    <w:p w14:paraId="45A2712D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this session, we covered in detail about two algorithms namely K-Mode and K-Prototype clustering.</w:t>
      </w:r>
    </w:p>
    <w:p w14:paraId="03DCA03F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41FC3CA5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To </w:t>
      </w:r>
      <w:proofErr w:type="spellStart"/>
      <w:r>
        <w:rPr>
          <w:color w:val="091E42"/>
          <w:sz w:val="27"/>
          <w:szCs w:val="27"/>
        </w:rPr>
        <w:t>summarise</w:t>
      </w:r>
      <w:proofErr w:type="spellEnd"/>
      <w:r>
        <w:rPr>
          <w:color w:val="091E42"/>
          <w:sz w:val="27"/>
          <w:szCs w:val="27"/>
        </w:rPr>
        <w:t>, The K-modes clustering algorithm is based on K-means paradigm but removes the numeric data limitation while preserving its efficiency.</w:t>
      </w:r>
    </w:p>
    <w:p w14:paraId="04AF62C8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576D4827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K-modes Algorithm uses modes instead of means to form clusters of categorical data.</w:t>
      </w:r>
    </w:p>
    <w:p w14:paraId="1675F489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4632E29E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Steps of the algorithm.</w:t>
      </w:r>
    </w:p>
    <w:p w14:paraId="292C9FBE" w14:textId="77777777" w:rsidR="00643D0B" w:rsidRDefault="00643D0B" w:rsidP="00643D0B">
      <w:pPr>
        <w:numPr>
          <w:ilvl w:val="0"/>
          <w:numId w:val="2"/>
        </w:numPr>
        <w:shd w:val="clear" w:color="auto" w:fill="F4F5F7"/>
        <w:spacing w:after="0" w:line="480" w:lineRule="atLeast"/>
        <w:rPr>
          <w:color w:val="091E42"/>
          <w:sz w:val="24"/>
          <w:szCs w:val="24"/>
        </w:rPr>
      </w:pPr>
      <w:r>
        <w:rPr>
          <w:color w:val="091E42"/>
        </w:rPr>
        <w:t>Randomly assign “K” number of modes.</w:t>
      </w:r>
    </w:p>
    <w:p w14:paraId="2FF8F56B" w14:textId="77777777" w:rsidR="00643D0B" w:rsidRDefault="00643D0B" w:rsidP="00643D0B">
      <w:pPr>
        <w:numPr>
          <w:ilvl w:val="0"/>
          <w:numId w:val="2"/>
        </w:numPr>
        <w:shd w:val="clear" w:color="auto" w:fill="F4F5F7"/>
        <w:spacing w:after="0" w:line="480" w:lineRule="atLeast"/>
        <w:rPr>
          <w:color w:val="091E42"/>
        </w:rPr>
      </w:pPr>
      <w:r>
        <w:rPr>
          <w:color w:val="091E42"/>
        </w:rPr>
        <w:t>Calculate the dissimilarity score between each of the remaining data points from the “K” number of chosen modes.</w:t>
      </w:r>
    </w:p>
    <w:p w14:paraId="7CEBE8F4" w14:textId="77777777" w:rsidR="00643D0B" w:rsidRDefault="00643D0B" w:rsidP="00643D0B">
      <w:pPr>
        <w:numPr>
          <w:ilvl w:val="0"/>
          <w:numId w:val="2"/>
        </w:numPr>
        <w:shd w:val="clear" w:color="auto" w:fill="F4F5F7"/>
        <w:spacing w:after="0" w:line="480" w:lineRule="atLeast"/>
        <w:rPr>
          <w:color w:val="091E42"/>
        </w:rPr>
      </w:pPr>
      <w:r>
        <w:rPr>
          <w:color w:val="091E42"/>
        </w:rPr>
        <w:t>Associate the data points to the mode whose score is minimum.</w:t>
      </w:r>
    </w:p>
    <w:p w14:paraId="0154C5BE" w14:textId="77777777" w:rsidR="00643D0B" w:rsidRDefault="00643D0B" w:rsidP="00643D0B">
      <w:pPr>
        <w:numPr>
          <w:ilvl w:val="0"/>
          <w:numId w:val="2"/>
        </w:numPr>
        <w:shd w:val="clear" w:color="auto" w:fill="F4F5F7"/>
        <w:spacing w:after="0" w:line="480" w:lineRule="atLeast"/>
        <w:rPr>
          <w:color w:val="091E42"/>
        </w:rPr>
      </w:pPr>
      <w:r>
        <w:rPr>
          <w:color w:val="091E42"/>
        </w:rPr>
        <w:t>Repeat from step 2 until there is no reassignment of clusters or when cost function is minimized.</w:t>
      </w:r>
    </w:p>
    <w:p w14:paraId="2C32A91F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2E8ECC5A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For K-Prototype clustering, we combine K-means and K-Mode to handle both continuous and categorical data. For K-Prototype the distance function is as follows,</w:t>
      </w:r>
    </w:p>
    <w:p w14:paraId="37425F9E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085AF41A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jc w:val="center"/>
        <w:rPr>
          <w:color w:val="091E42"/>
          <w:sz w:val="27"/>
          <w:szCs w:val="27"/>
        </w:rPr>
      </w:pPr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d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(</w:t>
      </w:r>
      <w:proofErr w:type="spellStart"/>
      <w:proofErr w:type="gramStart"/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y</w:t>
      </w:r>
      <w:proofErr w:type="spellEnd"/>
      <w:proofErr w:type="gramEnd"/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)=</w:t>
      </w:r>
      <w:r>
        <w:rPr>
          <w:rStyle w:val="mjx-char"/>
          <w:rFonts w:ascii="MJXc-TeX-size1-Rw" w:hAnsi="MJXc-TeX-size1-Rw"/>
          <w:color w:val="091E42"/>
          <w:sz w:val="34"/>
          <w:szCs w:val="34"/>
          <w:bdr w:val="none" w:sz="0" w:space="0" w:color="auto" w:frame="1"/>
        </w:rPr>
        <w:t>∑</w:t>
      </w:r>
      <w:proofErr w:type="spellStart"/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pj</w:t>
      </w:r>
      <w:proofErr w:type="spellEnd"/>
      <w:r>
        <w:rPr>
          <w:rStyle w:val="mjx-char"/>
          <w:rFonts w:ascii="MJXc-TeX-main-Rw" w:hAnsi="MJXc-TeX-main-Rw"/>
          <w:color w:val="091E42"/>
          <w:bdr w:val="none" w:sz="0" w:space="0" w:color="auto" w:frame="1"/>
        </w:rPr>
        <w:t>=1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X</w:t>
      </w:r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Y</w:t>
      </w:r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j</w:t>
      </w:r>
      <w:proofErr w:type="spellEnd"/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)</w:t>
      </w:r>
      <w:r>
        <w:rPr>
          <w:rStyle w:val="mjx-char"/>
          <w:rFonts w:ascii="MJXc-TeX-main-Rw" w:hAnsi="MJXc-TeX-main-Rw"/>
          <w:color w:val="091E42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γ</w:t>
      </w:r>
      <w:r>
        <w:rPr>
          <w:rStyle w:val="mjx-char"/>
          <w:rFonts w:ascii="MJXc-TeX-size1-Rw" w:hAnsi="MJXc-TeX-size1-Rw"/>
          <w:color w:val="091E42"/>
          <w:sz w:val="34"/>
          <w:szCs w:val="34"/>
          <w:bdr w:val="none" w:sz="0" w:space="0" w:color="auto" w:frame="1"/>
        </w:rPr>
        <w:t>∑</w:t>
      </w:r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Mj</w:t>
      </w:r>
      <w:r>
        <w:rPr>
          <w:rStyle w:val="mjx-char"/>
          <w:rFonts w:ascii="MJXc-TeX-main-Rw" w:hAnsi="MJXc-TeX-main-Rw"/>
          <w:color w:val="091E42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p</w:t>
      </w:r>
      <w:r>
        <w:rPr>
          <w:rStyle w:val="mjx-char"/>
          <w:rFonts w:ascii="MJXc-TeX-main-Rw" w:hAnsi="MJXc-TeX-main-Rw"/>
          <w:color w:val="091E42"/>
          <w:bdr w:val="none" w:sz="0" w:space="0" w:color="auto" w:frame="1"/>
        </w:rPr>
        <w:t>+1</w:t>
      </w:r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δ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X</w:t>
      </w:r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j</w:t>
      </w:r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091E42"/>
          <w:sz w:val="34"/>
          <w:szCs w:val="34"/>
          <w:bdr w:val="none" w:sz="0" w:space="0" w:color="auto" w:frame="1"/>
        </w:rPr>
        <w:t>Y</w:t>
      </w:r>
      <w:r>
        <w:rPr>
          <w:rStyle w:val="mjx-char"/>
          <w:rFonts w:ascii="MJXc-TeX-math-Iw" w:hAnsi="MJXc-TeX-math-Iw"/>
          <w:color w:val="091E42"/>
          <w:bdr w:val="none" w:sz="0" w:space="0" w:color="auto" w:frame="1"/>
        </w:rPr>
        <w:t>j</w:t>
      </w:r>
      <w:proofErr w:type="spellEnd"/>
      <w:r>
        <w:rPr>
          <w:rStyle w:val="mjx-char"/>
          <w:rFonts w:ascii="MJXc-TeX-main-Rw" w:hAnsi="MJXc-TeX-main-Rw"/>
          <w:color w:val="091E42"/>
          <w:sz w:val="34"/>
          <w:szCs w:val="34"/>
          <w:bdr w:val="none" w:sz="0" w:space="0" w:color="auto" w:frame="1"/>
        </w:rPr>
        <w:t>)</w:t>
      </w:r>
    </w:p>
    <w:p w14:paraId="24532E03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jc w:val="center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2618F525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Where gamma is the weighting factor that determines the relative importance of numerical categorical attributes.</w:t>
      </w:r>
    </w:p>
    <w:p w14:paraId="26814DEE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499773DC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Steps of the algorithm:</w:t>
      </w:r>
    </w:p>
    <w:p w14:paraId="524494F0" w14:textId="77777777" w:rsidR="00643D0B" w:rsidRDefault="00643D0B" w:rsidP="00643D0B">
      <w:pPr>
        <w:numPr>
          <w:ilvl w:val="0"/>
          <w:numId w:val="3"/>
        </w:numPr>
        <w:shd w:val="clear" w:color="auto" w:fill="F4F5F7"/>
        <w:spacing w:after="0" w:line="480" w:lineRule="atLeast"/>
        <w:rPr>
          <w:color w:val="091E42"/>
          <w:sz w:val="24"/>
          <w:szCs w:val="24"/>
        </w:rPr>
      </w:pPr>
      <w:r>
        <w:rPr>
          <w:color w:val="091E42"/>
        </w:rPr>
        <w:lastRenderedPageBreak/>
        <w:t>Select k.</w:t>
      </w:r>
    </w:p>
    <w:p w14:paraId="2C12A91C" w14:textId="77777777" w:rsidR="00643D0B" w:rsidRDefault="00643D0B" w:rsidP="00643D0B">
      <w:pPr>
        <w:numPr>
          <w:ilvl w:val="0"/>
          <w:numId w:val="3"/>
        </w:numPr>
        <w:shd w:val="clear" w:color="auto" w:fill="F4F5F7"/>
        <w:spacing w:after="0" w:line="480" w:lineRule="atLeast"/>
        <w:rPr>
          <w:color w:val="091E42"/>
        </w:rPr>
      </w:pPr>
      <w:r>
        <w:rPr>
          <w:color w:val="091E42"/>
        </w:rPr>
        <w:t>Allocate each data point to a cluster which is done with considering the dissimilarity measure.</w:t>
      </w:r>
    </w:p>
    <w:p w14:paraId="62EE5C8E" w14:textId="77777777" w:rsidR="00643D0B" w:rsidRDefault="00643D0B" w:rsidP="00643D0B">
      <w:pPr>
        <w:numPr>
          <w:ilvl w:val="0"/>
          <w:numId w:val="3"/>
        </w:numPr>
        <w:shd w:val="clear" w:color="auto" w:fill="F4F5F7"/>
        <w:spacing w:after="0" w:line="480" w:lineRule="atLeast"/>
        <w:rPr>
          <w:color w:val="091E42"/>
        </w:rPr>
      </w:pPr>
      <w:r>
        <w:rPr>
          <w:color w:val="091E42"/>
        </w:rPr>
        <w:t>Retest the similarity of objects against the current prototypes. Update the prototypes.</w:t>
      </w:r>
    </w:p>
    <w:p w14:paraId="6D619511" w14:textId="77777777" w:rsidR="00643D0B" w:rsidRDefault="00643D0B" w:rsidP="00643D0B">
      <w:pPr>
        <w:numPr>
          <w:ilvl w:val="0"/>
          <w:numId w:val="3"/>
        </w:numPr>
        <w:shd w:val="clear" w:color="auto" w:fill="F4F5F7"/>
        <w:spacing w:after="0" w:line="480" w:lineRule="atLeast"/>
        <w:rPr>
          <w:color w:val="091E42"/>
        </w:rPr>
      </w:pPr>
      <w:r>
        <w:rPr>
          <w:color w:val="091E42"/>
        </w:rPr>
        <w:t>Repeat 3, until no object changes its cluster.</w:t>
      </w:r>
    </w:p>
    <w:p w14:paraId="53A09314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5237414D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We also talked briefly about the DBSCAN algorithm which is a density-based clustering algorithm that divides a data set into subgroups of high-density regions.</w:t>
      </w:r>
    </w:p>
    <w:p w14:paraId="2CD11B6A" w14:textId="77777777" w:rsidR="00643D0B" w:rsidRDefault="00643D0B" w:rsidP="00643D0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4D4E354F" w14:textId="77777777" w:rsidR="00C22AF3" w:rsidRDefault="00C22AF3"/>
    <w:p w14:paraId="054E589E" w14:textId="29AA5355" w:rsidR="00870C15" w:rsidRDefault="00870C15">
      <w:r>
        <w:br w:type="page"/>
      </w:r>
    </w:p>
    <w:p w14:paraId="064BA49F" w14:textId="582F3C42" w:rsidR="00870C15" w:rsidRDefault="00870C15">
      <w:r w:rsidRPr="00870C15">
        <w:lastRenderedPageBreak/>
        <w:drawing>
          <wp:inline distT="0" distB="0" distL="0" distR="0" wp14:anchorId="27279EF2" wp14:editId="07DC2763">
            <wp:extent cx="5943600" cy="4914900"/>
            <wp:effectExtent l="0" t="0" r="0" b="0"/>
            <wp:docPr id="154402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46B" w14:textId="77777777" w:rsidR="003B5980" w:rsidRDefault="003B5980"/>
    <w:p w14:paraId="09260FBC" w14:textId="636BEB86" w:rsidR="003B5980" w:rsidRDefault="003B5980">
      <w:proofErr w:type="spellStart"/>
      <w:r>
        <w:t>ddd</w:t>
      </w:r>
      <w:proofErr w:type="spellEnd"/>
    </w:p>
    <w:p w14:paraId="591A1034" w14:textId="77777777" w:rsidR="00870C15" w:rsidRDefault="00870C15"/>
    <w:p w14:paraId="691F813D" w14:textId="77777777" w:rsidR="00267DBE" w:rsidRDefault="00267DBE"/>
    <w:sectPr w:rsidR="0026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C50"/>
    <w:multiLevelType w:val="multilevel"/>
    <w:tmpl w:val="2692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41715"/>
    <w:multiLevelType w:val="multilevel"/>
    <w:tmpl w:val="68A2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6434B"/>
    <w:multiLevelType w:val="multilevel"/>
    <w:tmpl w:val="A8E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7476468">
    <w:abstractNumId w:val="0"/>
  </w:num>
  <w:num w:numId="2" w16cid:durableId="64957447">
    <w:abstractNumId w:val="2"/>
  </w:num>
  <w:num w:numId="3" w16cid:durableId="143990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017163"/>
    <w:rsid w:val="0014239B"/>
    <w:rsid w:val="00267DBE"/>
    <w:rsid w:val="00392FF4"/>
    <w:rsid w:val="003B5980"/>
    <w:rsid w:val="00643D0B"/>
    <w:rsid w:val="00870C15"/>
    <w:rsid w:val="008A033F"/>
    <w:rsid w:val="00A041CC"/>
    <w:rsid w:val="00AF0733"/>
    <w:rsid w:val="00BC4ABA"/>
    <w:rsid w:val="00C22AF3"/>
    <w:rsid w:val="00D30432"/>
    <w:rsid w:val="00E66A0C"/>
    <w:rsid w:val="00F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AEBA"/>
  <w15:chartTrackingRefBased/>
  <w15:docId w15:val="{2999FEC3-D2F5-474B-B6E2-D9DBA8AC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4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17</cp:revision>
  <dcterms:created xsi:type="dcterms:W3CDTF">2023-05-20T09:14:00Z</dcterms:created>
  <dcterms:modified xsi:type="dcterms:W3CDTF">2023-05-22T17:16:00Z</dcterms:modified>
</cp:coreProperties>
</file>