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7.png" ContentType="image/png"/>
  <Override PartName="/word/media/rId78.png" ContentType="image/png"/>
  <Override PartName="/word/media/rId42.png" ContentType="image/png"/>
  <Override PartName="/word/media/rId71.png" ContentType="image/png"/>
  <Override PartName="/word/media/rId75.png" ContentType="image/png"/>
  <Override PartName="/word/media/rId8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Multi-Objective Optimization for Sustainable and Disruption-Resilient Supply Chain Network Design: An Integrated NSGA-II Framework with LCA Emissions and HHI-Based Resilience Metrics</w:t>
      </w:r>
    </w:p>
    <w:p>
      <w:pPr>
        <w:pStyle w:val="Author"/>
      </w:pPr>
      <w:r>
        <w:t xml:space="preserve">Sagar</w:t>
      </w:r>
    </w:p>
    <w:p>
      <w:pPr>
        <w:pStyle w:val="Date"/>
      </w:pPr>
      <w:r>
        <w:t xml:space="preserve">April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
          <w:bCs/>
        </w:rPr>
        <w:t xml:space="preserve">INDIAN INSTITUTE OF TECHNOLOGY KHARAGPUR</w:t>
      </w:r>
    </w:p>
    <w:p>
      <w:r>
        <w:pict>
          <v:rect style="width:0;height:1.5pt" o:hralign="center" o:hrstd="t" o:hr="t"/>
        </w:pict>
      </w:r>
    </w:p>
    <w:p>
      <w:pPr>
        <w:pStyle w:val="FirstParagraph"/>
      </w:pPr>
      <w:r>
        <w:rPr>
          <w:b/>
          <w:bCs/>
        </w:rPr>
        <w:t xml:space="preserve">Multi-Objective Optimization for Sustainable and Disruption-Resilient Supply Chain Network Design: An Integrated NSGA-II Framework with LCA Emissions and HHI-Based Resilience Metrics</w:t>
      </w:r>
    </w:p>
    <w:p>
      <w:r>
        <w:pict>
          <v:rect style="width:0;height:1.5pt" o:hralign="center" o:hrstd="t" o:hr="t"/>
        </w:pict>
      </w:r>
    </w:p>
    <w:p>
      <w:pPr>
        <w:pStyle w:val="FirstParagraph"/>
      </w:pPr>
      <w:r>
        <w:rPr>
          <w:i/>
          <w:iCs/>
        </w:rPr>
        <w:t xml:space="preserve">A thesis submitted in partial fulfilment of the requirements for the degree of</w:t>
      </w:r>
    </w:p>
    <w:p>
      <w:pPr>
        <w:pStyle w:val="BodyText"/>
      </w:pPr>
      <w:r>
        <w:rPr>
          <w:b/>
          <w:bCs/>
        </w:rPr>
        <w:t xml:space="preserve">Master of Technology</w:t>
      </w:r>
    </w:p>
    <w:p>
      <w:pPr>
        <w:pStyle w:val="BodyText"/>
      </w:pPr>
      <w:r>
        <w:rPr>
          <w:i/>
          <w:iCs/>
        </w:rPr>
        <w:t xml:space="preserve">in</w:t>
      </w:r>
    </w:p>
    <w:p>
      <w:pPr>
        <w:pStyle w:val="BodyText"/>
      </w:pPr>
      <w:r>
        <w:rPr>
          <w:b/>
          <w:bCs/>
        </w:rPr>
        <w:t xml:space="preserve">[Department Name]</w:t>
      </w:r>
    </w:p>
    <w:p>
      <w:pPr>
        <w:pStyle w:val="BodyText"/>
      </w:pPr>
      <w:r>
        <w:rPr>
          <w:i/>
          <w:iCs/>
        </w:rPr>
        <w:t xml:space="preserve">by</w:t>
      </w:r>
    </w:p>
    <w:p>
      <w:pPr>
        <w:pStyle w:val="BodyText"/>
      </w:pPr>
      <w:r>
        <w:rPr>
          <w:b/>
          <w:bCs/>
        </w:rPr>
        <w:t xml:space="preserve">Sagar</w:t>
      </w:r>
    </w:p>
    <w:p>
      <w:pPr>
        <w:pStyle w:val="BodyText"/>
      </w:pPr>
      <w:r>
        <w:rPr>
          <w:i/>
          <w:iCs/>
        </w:rPr>
        <w:t xml:space="preserve">under the guidance of</w:t>
      </w:r>
    </w:p>
    <w:p>
      <w:pPr>
        <w:pStyle w:val="BodyText"/>
      </w:pPr>
      <w:r>
        <w:rPr>
          <w:b/>
          <w:bCs/>
        </w:rPr>
        <w:t xml:space="preserve">Prof. [Supervisor Name]</w:t>
      </w:r>
    </w:p>
    <w:p>
      <w:pPr>
        <w:pStyle w:val="BodyText"/>
      </w:pPr>
      <w:r>
        <w:rPr>
          <w:b/>
          <w:bCs/>
        </w:rPr>
        <w:t xml:space="preserve">[Department Name]</w:t>
      </w:r>
    </w:p>
    <w:p>
      <w:pPr>
        <w:pStyle w:val="BodyText"/>
      </w:pPr>
      <w:r>
        <w:rPr>
          <w:b/>
          <w:bCs/>
        </w:rPr>
        <w:t xml:space="preserve">Indian Institute of Technology Kharagpur</w:t>
      </w:r>
    </w:p>
    <w:p>
      <w:pPr>
        <w:pStyle w:val="BodyText"/>
      </w:pPr>
      <w:r>
        <w:rPr>
          <w:b/>
          <w:bCs/>
        </w:rPr>
        <w:t xml:space="preserve">April 2026</w:t>
      </w:r>
    </w:p>
    <w:bookmarkStart w:id="20" w:name="certificate"/>
    <w:p>
      <w:pPr>
        <w:pStyle w:val="Heading2"/>
      </w:pPr>
      <w:r>
        <w:rPr>
          <w:rStyle w:val="SectionNumber"/>
        </w:rPr>
        <w:t xml:space="preserve">1</w:t>
      </w:r>
      <w:r>
        <w:tab/>
      </w:r>
      <w:r>
        <w:t xml:space="preserve">Certificate</w:t>
      </w:r>
    </w:p>
    <w:p>
      <w:pPr>
        <w:pStyle w:val="FirstParagraph"/>
      </w:pPr>
      <w:r>
        <w:t xml:space="preserve">This is to certify that the thesis entitled</w:t>
      </w:r>
      <w:r>
        <w:t xml:space="preserve"> </w:t>
      </w:r>
      <w:r>
        <w:rPr>
          <w:b/>
          <w:bCs/>
        </w:rPr>
        <w:t xml:space="preserve">“Multi-Objective Optimization for Sustainable and Disruption-Resilient Supply Chain Network Design: An Integrated NSGA-II Framework with LCA Emissions and HHI-Based Resilience Metrics”</w:t>
      </w:r>
      <w:r>
        <w:t xml:space="preserve"> </w:t>
      </w:r>
      <w:r>
        <w:t xml:space="preserve">submitted by</w:t>
      </w:r>
      <w:r>
        <w:t xml:space="preserve"> </w:t>
      </w:r>
      <w:r>
        <w:rPr>
          <w:b/>
          <w:bCs/>
        </w:rPr>
        <w:t xml:space="preserve">Sagar</w:t>
      </w:r>
      <w:r>
        <w:t xml:space="preserve"> </w:t>
      </w:r>
      <w:r>
        <w:t xml:space="preserve">(Roll No. XXXXXXXXX) to the Indian Institute of Technology Kharagpur, is a record of bona fide research work carried out by him under my supervision and guidance in partial fulfilment of the requirements for the award of the degree of</w:t>
      </w:r>
      <w:r>
        <w:t xml:space="preserve"> </w:t>
      </w:r>
      <w:r>
        <w:rPr>
          <w:b/>
          <w:bCs/>
        </w:rPr>
        <w:t xml:space="preserve">Master of Technology</w:t>
      </w:r>
      <w:r>
        <w:t xml:space="preserve"> </w:t>
      </w:r>
      <w:r>
        <w:t xml:space="preserve">in</w:t>
      </w:r>
      <w:r>
        <w:t xml:space="preserve"> </w:t>
      </w:r>
      <w:r>
        <w:rPr>
          <w:b/>
          <w:bCs/>
        </w:rPr>
        <w:t xml:space="preserve">[Department Name]</w:t>
      </w:r>
      <w:r>
        <w:t xml:space="preserve">. The thesis has fulfilled all requirements as per the regulations of this institute and, in my opinion, has reached the standard needed for submission.</w:t>
      </w:r>
    </w:p>
    <w:p>
      <w:pPr>
        <w:pStyle w:val="BodyText"/>
      </w:pPr>
      <w:r>
        <w:t xml:space="preserve"> </w:t>
      </w:r>
    </w:p>
    <w:p>
      <w:pPr>
        <w:pStyle w:val="BodyText"/>
      </w:pPr>
      <w:r>
        <w:t xml:space="preserve">Date: ________________</w:t>
      </w:r>
    </w:p>
    <w:p>
      <w:pPr>
        <w:pStyle w:val="BodyText"/>
      </w:pPr>
      <w:r>
        <w:t xml:space="preserve">Place: IIT Kharagpur</w:t>
      </w:r>
    </w:p>
    <w:p>
      <w:pPr>
        <w:pStyle w:val="BodyText"/>
      </w:pPr>
      <w:r>
        <w:t xml:space="preserve"> </w:t>
      </w:r>
    </w:p>
    <w:p>
      <w:pPr>
        <w:pStyle w:val="BodyText"/>
      </w:pPr>
      <w:r>
        <w:rPr>
          <w:b/>
          <w:bCs/>
        </w:rPr>
        <w:t xml:space="preserve">Prof. [Supervisor Name]</w:t>
      </w:r>
    </w:p>
    <w:p>
      <w:pPr>
        <w:pStyle w:val="BodyText"/>
      </w:pPr>
      <w:r>
        <w:t xml:space="preserve">Department of [Department Name]</w:t>
      </w:r>
    </w:p>
    <w:p>
      <w:pPr>
        <w:pStyle w:val="BodyText"/>
      </w:pPr>
      <w:r>
        <w:t xml:space="preserve">Indian Institute of Technology Kharagpur</w:t>
      </w:r>
    </w:p>
    <w:bookmarkEnd w:id="20"/>
    <w:bookmarkStart w:id="21" w:name="declaration"/>
    <w:p>
      <w:pPr>
        <w:pStyle w:val="Heading2"/>
      </w:pPr>
      <w:r>
        <w:rPr>
          <w:rStyle w:val="SectionNumber"/>
        </w:rPr>
        <w:t xml:space="preserve">2</w:t>
      </w:r>
      <w:r>
        <w:tab/>
      </w:r>
      <w:r>
        <w:t xml:space="preserve">Declaration</w:t>
      </w:r>
    </w:p>
    <w:p>
      <w:pPr>
        <w:pStyle w:val="FirstParagraph"/>
      </w:pPr>
      <w:r>
        <w:t xml:space="preserve">I certify that</w:t>
      </w:r>
    </w:p>
    <w:p>
      <w:pPr>
        <w:numPr>
          <w:ilvl w:val="0"/>
          <w:numId w:val="1001"/>
        </w:numPr>
      </w:pPr>
      <w:r>
        <w:t xml:space="preserve">The work contained in this thesis is original and has been done by me under the guidance of my supervisor.</w:t>
      </w:r>
    </w:p>
    <w:p>
      <w:pPr>
        <w:numPr>
          <w:ilvl w:val="0"/>
          <w:numId w:val="1001"/>
        </w:numPr>
      </w:pPr>
      <w:r>
        <w:t xml:space="preserve">The work has not been submitted to any other institute for any degree or diploma.</w:t>
      </w:r>
    </w:p>
    <w:p>
      <w:pPr>
        <w:numPr>
          <w:ilvl w:val="0"/>
          <w:numId w:val="1001"/>
        </w:numPr>
      </w:pPr>
      <w:r>
        <w:t xml:space="preserve">I have followed the guidelines provided by the institute in preparing the thesis.</w:t>
      </w:r>
    </w:p>
    <w:p>
      <w:pPr>
        <w:numPr>
          <w:ilvl w:val="0"/>
          <w:numId w:val="1001"/>
        </w:numPr>
      </w:pPr>
      <w:r>
        <w:t xml:space="preserve">I have conformed to the norms and guidelines given in the Ethical Code of Conduct of the institute.</w:t>
      </w:r>
    </w:p>
    <w:p>
      <w:pPr>
        <w:numPr>
          <w:ilvl w:val="0"/>
          <w:numId w:val="1001"/>
        </w:numPr>
      </w:pPr>
      <w:r>
        <w:t xml:space="preserve">Whenever I have used materials (data, theoretical analysis, figures, and text) from other sources, I have given due credit to them by citing them in the text of the thesis and giving their details in the references.</w:t>
      </w:r>
    </w:p>
    <w:p>
      <w:pPr>
        <w:pStyle w:val="FirstParagraph"/>
      </w:pPr>
      <w:r>
        <w:t xml:space="preserve"> </w:t>
      </w:r>
    </w:p>
    <w:p>
      <w:pPr>
        <w:pStyle w:val="BodyText"/>
      </w:pPr>
      <w:r>
        <w:t xml:space="preserve">Date: ________________</w:t>
      </w:r>
    </w:p>
    <w:p>
      <w:pPr>
        <w:pStyle w:val="BodyText"/>
      </w:pPr>
      <w:r>
        <w:rPr>
          <w:b/>
          <w:bCs/>
        </w:rPr>
        <w:t xml:space="preserve">Sagar</w:t>
      </w:r>
    </w:p>
    <w:p>
      <w:pPr>
        <w:pStyle w:val="BodyText"/>
      </w:pPr>
      <w:r>
        <w:t xml:space="preserve">Roll No. XXXXXXXXX</w:t>
      </w:r>
    </w:p>
    <w:bookmarkEnd w:id="21"/>
    <w:bookmarkStart w:id="22" w:name="acknowledgements"/>
    <w:p>
      <w:pPr>
        <w:pStyle w:val="Heading2"/>
      </w:pPr>
      <w:r>
        <w:rPr>
          <w:rStyle w:val="SectionNumber"/>
        </w:rPr>
        <w:t xml:space="preserve">3</w:t>
      </w:r>
      <w:r>
        <w:tab/>
      </w:r>
      <w:r>
        <w:t xml:space="preserve">Acknowledgements</w:t>
      </w:r>
    </w:p>
    <w:p>
      <w:pPr>
        <w:pStyle w:val="FirstParagraph"/>
      </w:pPr>
      <w:r>
        <w:t xml:space="preserve">I would like to express my sincere gratitude to my thesis supervisor</w:t>
      </w:r>
      <w:r>
        <w:t xml:space="preserve"> </w:t>
      </w:r>
      <w:r>
        <w:rPr>
          <w:b/>
          <w:bCs/>
        </w:rPr>
        <w:t xml:space="preserve">Prof. [Supervisor Name]</w:t>
      </w:r>
      <w:r>
        <w:t xml:space="preserve">, Department of [Department Name], Indian Institute of Technology Kharagpur, for his/her invaluable guidance, continuous support, and constructive feedback throughout the course of this research work.</w:t>
      </w:r>
    </w:p>
    <w:p>
      <w:pPr>
        <w:pStyle w:val="BodyText"/>
      </w:pPr>
      <w:r>
        <w:t xml:space="preserve">I also extend my thanks to the faculty members of the department for their valuable suggestions during the review presentations. I am grateful to my fellow research scholars for their insightful discussions and assistance.</w:t>
      </w:r>
    </w:p>
    <w:p>
      <w:pPr>
        <w:pStyle w:val="BodyText"/>
      </w:pPr>
      <w:r>
        <w:t xml:space="preserve">Finally, I would like to thank my family and friends for their unwavering support and encouragement.</w:t>
      </w:r>
    </w:p>
    <w:p>
      <w:pPr>
        <w:pStyle w:val="BodyText"/>
      </w:pPr>
      <w:r>
        <w:t xml:space="preserve"> </w:t>
      </w:r>
    </w:p>
    <w:p>
      <w:pPr>
        <w:pStyle w:val="BodyText"/>
      </w:pPr>
      <w:r>
        <w:rPr>
          <w:b/>
          <w:bCs/>
        </w:rPr>
        <w:t xml:space="preserve">Sagar</w:t>
      </w:r>
    </w:p>
    <w:p>
      <w:pPr>
        <w:pStyle w:val="BodyText"/>
      </w:pPr>
      <w:r>
        <w:t xml:space="preserve">IIT Kharagpur, April 2026</w:t>
      </w:r>
    </w:p>
    <w:bookmarkEnd w:id="22"/>
    <w:bookmarkStart w:id="23" w:name="abstract"/>
    <w:p>
      <w:pPr>
        <w:pStyle w:val="Heading2"/>
      </w:pPr>
      <w:r>
        <w:rPr>
          <w:rStyle w:val="SectionNumber"/>
        </w:rPr>
        <w:t xml:space="preserve">4</w:t>
      </w:r>
      <w:r>
        <w:tab/>
      </w:r>
      <w:r>
        <w:t xml:space="preserve">Abstract</w:t>
      </w:r>
    </w:p>
    <w:p>
      <w:pPr>
        <w:pStyle w:val="FirstParagraph"/>
      </w:pPr>
      <w:r>
        <w:t xml:space="preserve">Supply chain network design (SCND) is a strategic decision problem that has traditionally been framed as a single-objective cost minimisation exercise. However, growing environmental regulations and recent disruption events demand that modern supply chains be designed with explicit consideration of carbon emissions and resilience to facility failures. This thesis develops an integrated multi-objective optimisation framework that simultaneously addresses cost efficiency, environmental sustainability, and disruption resilience within a four-echelon supply chain network for the Indian automotive sector.</w:t>
      </w:r>
    </w:p>
    <w:p>
      <w:pPr>
        <w:pStyle w:val="BodyText"/>
      </w:pPr>
      <w:r>
        <w:t xml:space="preserve">The framework makes three principal modelling contributions. First, the cost objective is formulated following the multi-echelon facility location structure of Melo, Nickel, and Saldanha-da-Gama (2009), who established the decomposition of total supply chain cost into procurement, production, transportation, and inventory holding components. This is extended with an unmet demand penalty term from Jabbarzadeh, Fahimnia, and Sabouhi (2018), who demonstrated that incorporating shortage costs into the objective function captures the economic impact of supply disruptions more realistically than hard demand constraints. Second, the emission objective adopts the Life Cycle Assessment (LCA) approach of Pishvaee and Razmi (2012), which decomposes total emissions into facility-level and transport-level components across all echelons, with transport emission factors weighted by traffic congestion multipliers as proposed by Pishvaee, Torabi, and Razmi (2012). Third, the resilience objective introduces a composite metric that combines the Herfindahl–Hirschman Index (HHI) from Hasani and Khosrojerdi (2016), originally used to penalise supply concentration in robust SCND, with the expected node-failure coverage model of Snyder and Daskin (2005), which quantifies worst-case demand fulfilment under single-facility failures.</w:t>
      </w:r>
    </w:p>
    <w:p>
      <w:pPr>
        <w:pStyle w:val="BodyText"/>
      </w:pPr>
      <w:r>
        <w:t xml:space="preserve">The optimisation is solved using the NSGA-II algorithm (Deb et al., 2002), preceded by Random Forest demand forecasting (Breiman, 2001) and followed by SimPy-based Monte Carlo disruption simulation. Computational experiments on a 13-node test network with 54 continuous decision variables yield 105 Pareto-optimal solutions in under 8 seconds. The simulation validates the resilience proxy with an average demand fill rate of 81.2% across 100 stochastic runs.</w:t>
      </w:r>
    </w:p>
    <w:p>
      <w:pPr>
        <w:pStyle w:val="BodyText"/>
      </w:pPr>
      <w:r>
        <w:rPr>
          <w:b/>
          <w:bCs/>
        </w:rPr>
        <w:t xml:space="preserve">Keywords:</w:t>
      </w:r>
      <w:r>
        <w:t xml:space="preserve"> </w:t>
      </w:r>
      <w:r>
        <w:t xml:space="preserve">Supply Chain Network Design, Multi-Objective Optimization, NSGA-II, Life Cycle Assessment, Herfindahl–Hirschman Index, Disruption Resilience, Random Forest Forecasting, Monte Carlo Simulation</w:t>
      </w:r>
    </w:p>
    <w:bookmarkEnd w:id="23"/>
    <w:bookmarkStart w:id="28" w:name="list-of-symbols-and-abbreviations"/>
    <w:p>
      <w:pPr>
        <w:pStyle w:val="Heading2"/>
      </w:pPr>
      <w:r>
        <w:rPr>
          <w:rStyle w:val="SectionNumber"/>
        </w:rPr>
        <w:t xml:space="preserve">5</w:t>
      </w:r>
      <w:r>
        <w:tab/>
      </w:r>
      <w:r>
        <w:t xml:space="preserve">List of Symbols and Abbreviations</w:t>
      </w:r>
    </w:p>
    <w:bookmarkStart w:id="24" w:name="sets"/>
    <w:p>
      <w:pPr>
        <w:pStyle w:val="Heading3"/>
      </w:pPr>
      <w:r>
        <w:rPr>
          <w:rStyle w:val="SectionNumber"/>
        </w:rPr>
        <w:t xml:space="preserve">5.1</w:t>
      </w:r>
      <w:r>
        <w:tab/>
      </w:r>
      <w:r>
        <w:t xml:space="preserve">Sets</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Symbol</w:t>
            </w:r>
          </w:p>
        </w:tc>
        <w:tc>
          <w:tcPr/>
          <w:p>
            <w:pPr>
              <w:pStyle w:val="Compact"/>
            </w:pPr>
            <w:r>
              <w:t xml:space="preserve">Description</w:t>
            </w:r>
          </w:p>
        </w:tc>
      </w:tr>
      <w:tr>
        <w:tc>
          <w:tcPr/>
          <w:p>
            <w:pPr>
              <w:pStyle w:val="Compact"/>
            </w:pPr>
            <m:oMath>
              <m:r>
                <m:t>I</m:t>
              </m:r>
            </m:oMath>
          </w:p>
        </w:tc>
        <w:tc>
          <w:tcPr/>
          <w:p>
            <w:pPr>
              <w:pStyle w:val="Compact"/>
            </w:pPr>
            <w:r>
              <w:t xml:space="preserve">Set of suppliers, indexed by</w:t>
            </w:r>
            <w:r>
              <w:t xml:space="preserve"> </w:t>
            </w:r>
            <m:oMath>
              <m:r>
                <m:t>i</m:t>
              </m:r>
            </m:oMath>
            <w:r>
              <w:t xml:space="preserve">;</w:t>
            </w:r>
            <w:r>
              <w:t xml:space="preserve"> </w:t>
            </w:r>
            <m:oMath>
              <m:r>
                <m:rPr>
                  <m:sty m:val="p"/>
                </m:rPr>
                <m:t>∥</m:t>
              </m:r>
              <m:r>
                <m:t>I</m:t>
              </m:r>
              <m:r>
                <m:rPr>
                  <m:sty m:val="p"/>
                </m:rPr>
                <m:t>∥</m:t>
              </m:r>
              <m:r>
                <m:rPr>
                  <m:sty m:val="p"/>
                </m:rPr>
                <m:t>=</m:t>
              </m:r>
              <m:r>
                <m:t>3</m:t>
              </m:r>
            </m:oMath>
          </w:p>
        </w:tc>
      </w:tr>
      <w:tr>
        <w:tc>
          <w:tcPr/>
          <w:p>
            <w:pPr>
              <w:pStyle w:val="Compact"/>
            </w:pPr>
            <m:oMath>
              <m:r>
                <m:t>J</m:t>
              </m:r>
            </m:oMath>
          </w:p>
        </w:tc>
        <w:tc>
          <w:tcPr/>
          <w:p>
            <w:pPr>
              <w:pStyle w:val="Compact"/>
            </w:pPr>
            <w:r>
              <w:t xml:space="preserve">Set of factories, indexed by</w:t>
            </w:r>
            <w:r>
              <w:t xml:space="preserve"> </w:t>
            </w:r>
            <m:oMath>
              <m:r>
                <m:t>j</m:t>
              </m:r>
            </m:oMath>
            <w:r>
              <w:t xml:space="preserve">;</w:t>
            </w:r>
            <w:r>
              <w:t xml:space="preserve"> </w:t>
            </w:r>
            <m:oMath>
              <m:r>
                <m:rPr>
                  <m:sty m:val="p"/>
                </m:rPr>
                <m:t>∥</m:t>
              </m:r>
              <m:r>
                <m:t>J</m:t>
              </m:r>
              <m:r>
                <m:rPr>
                  <m:sty m:val="p"/>
                </m:rPr>
                <m:t>∥</m:t>
              </m:r>
              <m:r>
                <m:rPr>
                  <m:sty m:val="p"/>
                </m:rPr>
                <m:t>=</m:t>
              </m:r>
              <m:r>
                <m:t>2</m:t>
              </m:r>
            </m:oMath>
          </w:p>
        </w:tc>
      </w:tr>
      <w:tr>
        <w:tc>
          <w:tcPr/>
          <w:p>
            <w:pPr>
              <w:pStyle w:val="Compact"/>
            </w:pPr>
            <m:oMath>
              <m:r>
                <m:t>K</m:t>
              </m:r>
            </m:oMath>
          </w:p>
        </w:tc>
        <w:tc>
          <w:tcPr/>
          <w:p>
            <w:pPr>
              <w:pStyle w:val="Compact"/>
            </w:pPr>
            <w:r>
              <w:t xml:space="preserve">Set of distribution centres (DCs), indexed by</w:t>
            </w:r>
            <w:r>
              <w:t xml:space="preserve"> </w:t>
            </w:r>
            <m:oMath>
              <m:r>
                <m:t>k</m:t>
              </m:r>
            </m:oMath>
            <w:r>
              <w:t xml:space="preserve">;</w:t>
            </w:r>
            <w:r>
              <w:t xml:space="preserve"> </w:t>
            </w:r>
            <m:oMath>
              <m:r>
                <m:rPr>
                  <m:sty m:val="p"/>
                </m:rPr>
                <m:t>∥</m:t>
              </m:r>
              <m:r>
                <m:t>K</m:t>
              </m:r>
              <m:r>
                <m:rPr>
                  <m:sty m:val="p"/>
                </m:rPr>
                <m:t>∥</m:t>
              </m:r>
              <m:r>
                <m:rPr>
                  <m:sty m:val="p"/>
                </m:rPr>
                <m:t>=</m:t>
              </m:r>
              <m:r>
                <m:t>3</m:t>
              </m:r>
            </m:oMath>
          </w:p>
        </w:tc>
      </w:tr>
      <w:tr>
        <w:tc>
          <w:tcPr/>
          <w:p>
            <w:pPr>
              <w:pStyle w:val="Compact"/>
            </w:pPr>
            <m:oMath>
              <m:r>
                <m:t>L</m:t>
              </m:r>
            </m:oMath>
          </w:p>
        </w:tc>
        <w:tc>
          <w:tcPr/>
          <w:p>
            <w:pPr>
              <w:pStyle w:val="Compact"/>
            </w:pPr>
            <w:r>
              <w:t xml:space="preserve">Set of customers, indexed by</w:t>
            </w:r>
            <w:r>
              <w:t xml:space="preserve"> </w:t>
            </w:r>
            <m:oMath>
              <m:r>
                <m:t>l</m:t>
              </m:r>
            </m:oMath>
            <w:r>
              <w:t xml:space="preserve">;</w:t>
            </w:r>
            <w:r>
              <w:t xml:space="preserve"> </w:t>
            </w:r>
            <m:oMath>
              <m:r>
                <m:rPr>
                  <m:sty m:val="p"/>
                </m:rPr>
                <m:t>∥</m:t>
              </m:r>
              <m:r>
                <m:t>L</m:t>
              </m:r>
              <m:r>
                <m:rPr>
                  <m:sty m:val="p"/>
                </m:rPr>
                <m:t>∥</m:t>
              </m:r>
              <m:r>
                <m:rPr>
                  <m:sty m:val="p"/>
                </m:rPr>
                <m:t>=</m:t>
              </m:r>
              <m:r>
                <m:t>5</m:t>
              </m:r>
            </m:oMath>
          </w:p>
        </w:tc>
      </w:tr>
      <w:tr>
        <w:tc>
          <w:tcPr/>
          <w:p>
            <w:pPr>
              <w:pStyle w:val="Compact"/>
            </w:pPr>
            <m:oMath>
              <m:r>
                <m:t>M</m:t>
              </m:r>
            </m:oMath>
          </w:p>
        </w:tc>
        <w:tc>
          <w:tcPr/>
          <w:p>
            <w:pPr>
              <w:pStyle w:val="Compact"/>
            </w:pPr>
            <w:r>
              <w:t xml:space="preserve">Set of transport modes,</w:t>
            </w:r>
            <w:r>
              <w:t xml:space="preserve"> </w:t>
            </w:r>
            <m:oMath>
              <m:r>
                <m:t>M</m:t>
              </m:r>
              <m:r>
                <m:rPr>
                  <m:sty m:val="p"/>
                </m:rPr>
                <m:t>=</m:t>
              </m:r>
              <m:r>
                <m:rPr>
                  <m:sty m:val="p"/>
                </m:rPr>
                <m:t>{</m:t>
              </m:r>
              <m:r>
                <m:rPr>
                  <m:nor/>
                  <m:sty m:val="p"/>
                </m:rPr>
                <m:t>road</m:t>
              </m:r>
              <m:r>
                <m:rPr>
                  <m:sty m:val="p"/>
                </m:rPr>
                <m:t>,</m:t>
              </m:r>
              <m:r>
                <m:rPr>
                  <m:nor/>
                  <m:sty m:val="p"/>
                </m:rPr>
                <m:t>rail</m:t>
              </m:r>
              <m:r>
                <m:rPr>
                  <m:sty m:val="p"/>
                </m:rPr>
                <m:t>}</m:t>
              </m:r>
            </m:oMath>
            <w:r>
              <w:t xml:space="preserve">;</w:t>
            </w:r>
            <w:r>
              <w:t xml:space="preserve"> </w:t>
            </w:r>
            <m:oMath>
              <m:r>
                <m:rPr>
                  <m:sty m:val="p"/>
                </m:rPr>
                <m:t>∥</m:t>
              </m:r>
              <m:r>
                <m:t>M</m:t>
              </m:r>
              <m:r>
                <m:rPr>
                  <m:sty m:val="p"/>
                </m:rPr>
                <m:t>∥</m:t>
              </m:r>
              <m:r>
                <m:rPr>
                  <m:sty m:val="p"/>
                </m:rPr>
                <m:t>=</m:t>
              </m:r>
              <m:r>
                <m:t>2</m:t>
              </m:r>
            </m:oMath>
          </w:p>
        </w:tc>
      </w:tr>
    </w:tbl>
    <w:bookmarkEnd w:id="24"/>
    <w:bookmarkStart w:id="25" w:name="decision-variables"/>
    <w:p>
      <w:pPr>
        <w:pStyle w:val="Heading3"/>
      </w:pPr>
      <w:r>
        <w:rPr>
          <w:rStyle w:val="SectionNumber"/>
        </w:rPr>
        <w:t xml:space="preserve">5.2</w:t>
      </w:r>
      <w:r>
        <w:tab/>
      </w:r>
      <w:r>
        <w:t xml:space="preserve">Decision Variables</w:t>
      </w:r>
    </w:p>
    <w:tbl>
      <w:tblPr>
        <w:tblStyle w:val="Table"/>
        <w:tblW w:type="pct" w:w="5000"/>
        <w:tblLayout w:type="fixed"/>
        <w:tblLook w:firstRow="1" w:lastRow="0" w:firstColumn="0" w:lastColumn="0" w:noHBand="0" w:noVBand="0" w:val="0020"/>
      </w:tblPr>
      <w:tblGrid>
        <w:gridCol w:w="2346"/>
        <w:gridCol w:w="3813"/>
        <w:gridCol w:w="1760"/>
      </w:tblGrid>
      <w:tr>
        <w:trPr>
          <w:tblHeader w:val="on"/>
        </w:trPr>
        <w:tc>
          <w:tcPr/>
          <w:p>
            <w:pPr>
              <w:pStyle w:val="Compact"/>
            </w:pPr>
            <w:r>
              <w:t xml:space="preserve">Symbol</w:t>
            </w:r>
          </w:p>
        </w:tc>
        <w:tc>
          <w:tcPr/>
          <w:p>
            <w:pPr>
              <w:pStyle w:val="Compact"/>
            </w:pPr>
            <w:r>
              <w:t xml:space="preserve">Description</w:t>
            </w:r>
          </w:p>
        </w:tc>
        <w:tc>
          <w:tcPr/>
          <w:p>
            <w:pPr>
              <w:pStyle w:val="Compact"/>
            </w:pPr>
            <w:r>
              <w:t xml:space="preserve">Unit</w:t>
            </w:r>
          </w:p>
        </w:tc>
      </w:tr>
      <w:tr>
        <w:tc>
          <w:tcPr/>
          <w:p>
            <w:pPr>
              <w:pStyle w:val="Compact"/>
            </w:pPr>
            <m:oMath>
              <m:sSub>
                <m:e>
                  <m:r>
                    <m:t>x</m:t>
                  </m:r>
                </m:e>
                <m:sub>
                  <m:r>
                    <m:t>i</m:t>
                  </m:r>
                  <m:r>
                    <m:t>j</m:t>
                  </m:r>
                  <m:r>
                    <m:t>m</m:t>
                  </m:r>
                </m:sub>
              </m:sSub>
            </m:oMath>
          </w:p>
        </w:tc>
        <w:tc>
          <w:tcPr/>
          <w:p>
            <w:pPr>
              <w:pStyle w:val="Compact"/>
            </w:pPr>
            <w:r>
              <w:t xml:space="preserve">Flow from supplier</w:t>
            </w:r>
            <w:r>
              <w:t xml:space="preserve"> </w:t>
            </w:r>
            <m:oMath>
              <m:r>
                <m:t>i</m:t>
              </m:r>
            </m:oMath>
            <w:r>
              <w:t xml:space="preserve"> </w:t>
            </w:r>
            <w:r>
              <w:t xml:space="preserve">to factory</w:t>
            </w:r>
            <w:r>
              <w:t xml:space="preserve"> </w:t>
            </w:r>
            <m:oMath>
              <m:r>
                <m:t>j</m:t>
              </m:r>
            </m:oMath>
            <w:r>
              <w:t xml:space="preserve"> </w:t>
            </w:r>
            <w:r>
              <w:t xml:space="preserve">via mode</w:t>
            </w:r>
            <w:r>
              <w:t xml:space="preserve"> </w:t>
            </w:r>
            <m:oMath>
              <m:r>
                <m:t>m</m:t>
              </m:r>
            </m:oMath>
          </w:p>
        </w:tc>
        <w:tc>
          <w:tcPr/>
          <w:p>
            <w:pPr>
              <w:pStyle w:val="Compact"/>
            </w:pPr>
            <w:r>
              <w:t xml:space="preserve">units</w:t>
            </w:r>
          </w:p>
        </w:tc>
      </w:tr>
      <w:tr>
        <w:tc>
          <w:tcPr/>
          <w:p>
            <w:pPr>
              <w:pStyle w:val="Compact"/>
            </w:pPr>
            <m:oMath>
              <m:sSub>
                <m:e>
                  <m:r>
                    <m:t>y</m:t>
                  </m:r>
                </m:e>
                <m:sub>
                  <m:r>
                    <m:t>j</m:t>
                  </m:r>
                  <m:r>
                    <m:t>k</m:t>
                  </m:r>
                  <m:r>
                    <m:t>m</m:t>
                  </m:r>
                </m:sub>
              </m:sSub>
            </m:oMath>
          </w:p>
        </w:tc>
        <w:tc>
          <w:tcPr/>
          <w:p>
            <w:pPr>
              <w:pStyle w:val="Compact"/>
            </w:pPr>
            <w:r>
              <w:t xml:space="preserve">Flow from factory</w:t>
            </w:r>
            <w:r>
              <w:t xml:space="preserve"> </w:t>
            </w:r>
            <m:oMath>
              <m:r>
                <m:t>j</m:t>
              </m:r>
            </m:oMath>
            <w:r>
              <w:t xml:space="preserve"> </w:t>
            </w:r>
            <w:r>
              <w:t xml:space="preserve">to DC</w:t>
            </w:r>
            <w:r>
              <w:t xml:space="preserve"> </w:t>
            </w:r>
            <m:oMath>
              <m:r>
                <m:t>k</m:t>
              </m:r>
            </m:oMath>
            <w:r>
              <w:t xml:space="preserve"> </w:t>
            </w:r>
            <w:r>
              <w:t xml:space="preserve">via mode</w:t>
            </w:r>
            <w:r>
              <w:t xml:space="preserve"> </w:t>
            </w:r>
            <m:oMath>
              <m:r>
                <m:t>m</m:t>
              </m:r>
            </m:oMath>
          </w:p>
        </w:tc>
        <w:tc>
          <w:tcPr/>
          <w:p>
            <w:pPr>
              <w:pStyle w:val="Compact"/>
            </w:pPr>
            <w:r>
              <w:t xml:space="preserve">units</w:t>
            </w:r>
          </w:p>
        </w:tc>
      </w:tr>
      <w:tr>
        <w:tc>
          <w:tcPr/>
          <w:p>
            <w:pPr>
              <w:pStyle w:val="Compact"/>
            </w:pPr>
            <m:oMath>
              <m:sSub>
                <m:e>
                  <m:r>
                    <m:t>z</m:t>
                  </m:r>
                </m:e>
                <m:sub>
                  <m:r>
                    <m:t>k</m:t>
                  </m:r>
                  <m:r>
                    <m:t>l</m:t>
                  </m:r>
                  <m:r>
                    <m:t>m</m:t>
                  </m:r>
                </m:sub>
              </m:sSub>
            </m:oMath>
          </w:p>
        </w:tc>
        <w:tc>
          <w:tcPr/>
          <w:p>
            <w:pPr>
              <w:pStyle w:val="Compact"/>
            </w:pPr>
            <w:r>
              <w:t xml:space="preserve">Flow from DC</w:t>
            </w:r>
            <w:r>
              <w:t xml:space="preserve"> </w:t>
            </w:r>
            <m:oMath>
              <m:r>
                <m:t>k</m:t>
              </m:r>
            </m:oMath>
            <w:r>
              <w:t xml:space="preserve"> </w:t>
            </w:r>
            <w:r>
              <w:t xml:space="preserve">to customer</w:t>
            </w:r>
            <w:r>
              <w:t xml:space="preserve"> </w:t>
            </w:r>
            <m:oMath>
              <m:r>
                <m:t>l</m:t>
              </m:r>
            </m:oMath>
            <w:r>
              <w:t xml:space="preserve"> </w:t>
            </w:r>
            <w:r>
              <w:t xml:space="preserve">via mode</w:t>
            </w:r>
            <w:r>
              <w:t xml:space="preserve"> </w:t>
            </w:r>
            <m:oMath>
              <m:r>
                <m:t>m</m:t>
              </m:r>
            </m:oMath>
          </w:p>
        </w:tc>
        <w:tc>
          <w:tcPr/>
          <w:p>
            <w:pPr>
              <w:pStyle w:val="Compact"/>
            </w:pPr>
            <w:r>
              <w:t xml:space="preserve">units</w:t>
            </w:r>
          </w:p>
        </w:tc>
      </w:tr>
    </w:tbl>
    <w:bookmarkEnd w:id="25"/>
    <w:bookmarkStart w:id="26" w:name="parameters"/>
    <w:p>
      <w:pPr>
        <w:pStyle w:val="Heading3"/>
      </w:pPr>
      <w:r>
        <w:rPr>
          <w:rStyle w:val="SectionNumber"/>
        </w:rPr>
        <w:t xml:space="preserve">5.3</w:t>
      </w:r>
      <w:r>
        <w:tab/>
      </w:r>
      <w:r>
        <w:t xml:space="preserve">Parameters</w:t>
      </w:r>
    </w:p>
    <w:tbl>
      <w:tblPr>
        <w:tblStyle w:val="Table"/>
        <w:tblW w:type="pct" w:w="5000"/>
        <w:tblLayout w:type="fixed"/>
        <w:tblLook w:firstRow="1" w:lastRow="0" w:firstColumn="0" w:lastColumn="0" w:noHBand="0" w:noVBand="0" w:val="0020"/>
      </w:tblPr>
      <w:tblGrid>
        <w:gridCol w:w="2346"/>
        <w:gridCol w:w="3813"/>
        <w:gridCol w:w="1760"/>
      </w:tblGrid>
      <w:tr>
        <w:trPr>
          <w:tblHeader w:val="on"/>
        </w:trPr>
        <w:tc>
          <w:tcPr/>
          <w:p>
            <w:pPr>
              <w:pStyle w:val="Compact"/>
            </w:pPr>
            <w:r>
              <w:t xml:space="preserve">Symbol</w:t>
            </w:r>
          </w:p>
        </w:tc>
        <w:tc>
          <w:tcPr/>
          <w:p>
            <w:pPr>
              <w:pStyle w:val="Compact"/>
            </w:pPr>
            <w:r>
              <w:t xml:space="preserve">Description</w:t>
            </w:r>
          </w:p>
        </w:tc>
        <w:tc>
          <w:tcPr/>
          <w:p>
            <w:pPr>
              <w:pStyle w:val="Compact"/>
            </w:pPr>
            <w:r>
              <w:t xml:space="preserve">Unit</w:t>
            </w:r>
          </w:p>
        </w:tc>
      </w:tr>
      <w:tr>
        <w:tc>
          <w:tcPr/>
          <w:p>
            <w:pPr>
              <w:pStyle w:val="Compact"/>
            </w:pPr>
            <m:oMath>
              <m:sSub>
                <m:e>
                  <m:r>
                    <m:t>s</m:t>
                  </m:r>
                </m:e>
                <m:sub>
                  <m:r>
                    <m:t>i</m:t>
                  </m:r>
                </m:sub>
              </m:sSub>
            </m:oMath>
          </w:p>
        </w:tc>
        <w:tc>
          <w:tcPr/>
          <w:p>
            <w:pPr>
              <w:pStyle w:val="Compact"/>
            </w:pPr>
            <w:r>
              <w:t xml:space="preserve">Procurement cost per unit at supplier</w:t>
            </w:r>
            <w:r>
              <w:t xml:space="preserve"> </w:t>
            </w:r>
            <m:oMath>
              <m:r>
                <m:t>i</m:t>
              </m:r>
            </m:oMath>
          </w:p>
        </w:tc>
        <w:tc>
          <w:tcPr/>
          <w:p>
            <w:pPr>
              <w:pStyle w:val="Compact"/>
            </w:pPr>
            <w:r>
              <w:t xml:space="preserve">$/unit</w:t>
            </w:r>
          </w:p>
        </w:tc>
      </w:tr>
      <w:tr>
        <w:tc>
          <w:tcPr/>
          <w:p>
            <w:pPr>
              <w:pStyle w:val="Compact"/>
            </w:pPr>
            <m:oMath>
              <m:sSub>
                <m:e>
                  <m:r>
                    <m:t>e</m:t>
                  </m:r>
                </m:e>
                <m:sub>
                  <m:r>
                    <m:t>i</m:t>
                  </m:r>
                </m:sub>
              </m:sSub>
            </m:oMath>
          </w:p>
        </w:tc>
        <w:tc>
          <w:tcPr/>
          <w:p>
            <w:pPr>
              <w:pStyle w:val="Compact"/>
            </w:pPr>
            <w:r>
              <w:t xml:space="preserve">Emission factor at supplier</w:t>
            </w:r>
            <w:r>
              <w:t xml:space="preserve"> </w:t>
            </w:r>
            <m:oMath>
              <m:r>
                <m:t>i</m:t>
              </m:r>
            </m:oMath>
          </w:p>
        </w:tc>
        <w:tc>
          <w:tcPr/>
          <w:p>
            <w:pPr>
              <w:pStyle w:val="Compact"/>
            </w:pPr>
            <w:r>
              <w:t xml:space="preserve">kg CO</w:t>
            </w:r>
            <m:oMath>
              <m:sSub>
                <m:e>
                  <m:r>
                    <m:t>​</m:t>
                  </m:r>
                </m:e>
                <m:sub>
                  <m:r>
                    <m:t>2</m:t>
                  </m:r>
                </m:sub>
              </m:sSub>
            </m:oMath>
            <w:r>
              <w:t xml:space="preserve">/unit</w:t>
            </w:r>
          </w:p>
        </w:tc>
      </w:tr>
      <w:tr>
        <w:tc>
          <w:tcPr/>
          <w:p>
            <w:pPr>
              <w:pStyle w:val="Compact"/>
            </w:pPr>
            <m:oMath>
              <m:sSub>
                <m:e>
                  <m:r>
                    <m:t>p</m:t>
                  </m:r>
                </m:e>
                <m:sub>
                  <m:r>
                    <m:t>j</m:t>
                  </m:r>
                </m:sub>
              </m:sSub>
            </m:oMath>
          </w:p>
        </w:tc>
        <w:tc>
          <w:tcPr/>
          <w:p>
            <w:pPr>
              <w:pStyle w:val="Compact"/>
            </w:pPr>
            <w:r>
              <w:t xml:space="preserve">Production cost per unit at factory</w:t>
            </w:r>
            <w:r>
              <w:t xml:space="preserve"> </w:t>
            </w:r>
            <m:oMath>
              <m:r>
                <m:t>j</m:t>
              </m:r>
            </m:oMath>
          </w:p>
        </w:tc>
        <w:tc>
          <w:tcPr/>
          <w:p>
            <w:pPr>
              <w:pStyle w:val="Compact"/>
            </w:pPr>
            <w:r>
              <w:t xml:space="preserve">$/unit</w:t>
            </w:r>
          </w:p>
        </w:tc>
      </w:tr>
      <w:tr>
        <w:tc>
          <w:tcPr/>
          <w:p>
            <w:pPr>
              <w:pStyle w:val="Compact"/>
            </w:pPr>
            <m:oMath>
              <m:sSub>
                <m:e>
                  <m:r>
                    <m:t>ε</m:t>
                  </m:r>
                </m:e>
                <m:sub>
                  <m:r>
                    <m:t>j</m:t>
                  </m:r>
                </m:sub>
              </m:sSub>
            </m:oMath>
          </w:p>
        </w:tc>
        <w:tc>
          <w:tcPr/>
          <w:p>
            <w:pPr>
              <w:pStyle w:val="Compact"/>
            </w:pPr>
            <w:r>
              <w:t xml:space="preserve">Production emission factor at factory</w:t>
            </w:r>
            <w:r>
              <w:t xml:space="preserve"> </w:t>
            </w:r>
            <m:oMath>
              <m:r>
                <m:t>j</m:t>
              </m:r>
            </m:oMath>
          </w:p>
        </w:tc>
        <w:tc>
          <w:tcPr/>
          <w:p>
            <w:pPr>
              <w:pStyle w:val="Compact"/>
            </w:pPr>
            <w:r>
              <w:t xml:space="preserve">kg CO</w:t>
            </w:r>
            <m:oMath>
              <m:sSub>
                <m:e>
                  <m:r>
                    <m:t>​</m:t>
                  </m:r>
                </m:e>
                <m:sub>
                  <m:r>
                    <m:t>2</m:t>
                  </m:r>
                </m:sub>
              </m:sSub>
            </m:oMath>
            <w:r>
              <w:t xml:space="preserve">/unit</w:t>
            </w:r>
          </w:p>
        </w:tc>
      </w:tr>
      <w:tr>
        <w:tc>
          <w:tcPr/>
          <w:p>
            <w:pPr>
              <w:pStyle w:val="Compact"/>
            </w:pPr>
            <m:oMath>
              <m:sSub>
                <m:e>
                  <m:r>
                    <m:t>h</m:t>
                  </m:r>
                </m:e>
                <m:sub>
                  <m:r>
                    <m:t>k</m:t>
                  </m:r>
                </m:sub>
              </m:sSub>
            </m:oMath>
          </w:p>
        </w:tc>
        <w:tc>
          <w:tcPr/>
          <w:p>
            <w:pPr>
              <w:pStyle w:val="Compact"/>
            </w:pPr>
            <w:r>
              <w:t xml:space="preserve">Holding cost per unit at DC</w:t>
            </w:r>
            <w:r>
              <w:t xml:space="preserve"> </w:t>
            </w:r>
            <m:oMath>
              <m:r>
                <m:t>k</m:t>
              </m:r>
            </m:oMath>
          </w:p>
        </w:tc>
        <w:tc>
          <w:tcPr/>
          <w:p>
            <w:pPr>
              <w:pStyle w:val="Compact"/>
            </w:pPr>
            <w:r>
              <w:t xml:space="preserve">$/unit</w:t>
            </w:r>
          </w:p>
        </w:tc>
      </w:tr>
      <w:tr>
        <w:tc>
          <w:tcPr/>
          <w:p>
            <w:pPr>
              <w:pStyle w:val="Compact"/>
            </w:pPr>
            <m:oMath>
              <m:sSub>
                <m:e>
                  <m:r>
                    <m:t>ξ</m:t>
                  </m:r>
                </m:e>
                <m:sub>
                  <m:r>
                    <m:t>k</m:t>
                  </m:r>
                </m:sub>
              </m:sSub>
            </m:oMath>
          </w:p>
        </w:tc>
        <w:tc>
          <w:tcPr/>
          <w:p>
            <w:pPr>
              <w:pStyle w:val="Compact"/>
            </w:pPr>
            <w:r>
              <w:t xml:space="preserve">Warehousing emission factor at DC</w:t>
            </w:r>
            <w:r>
              <w:t xml:space="preserve"> </w:t>
            </w:r>
            <m:oMath>
              <m:r>
                <m:t>k</m:t>
              </m:r>
            </m:oMath>
          </w:p>
        </w:tc>
        <w:tc>
          <w:tcPr/>
          <w:p>
            <w:pPr>
              <w:pStyle w:val="Compact"/>
            </w:pPr>
            <w:r>
              <w:t xml:space="preserve">kg CO</w:t>
            </w:r>
            <m:oMath>
              <m:sSub>
                <m:e>
                  <m:r>
                    <m:t>​</m:t>
                  </m:r>
                </m:e>
                <m:sub>
                  <m:r>
                    <m:t>2</m:t>
                  </m:r>
                </m:sub>
              </m:sSub>
            </m:oMath>
            <w:r>
              <w:t xml:space="preserve">/unit</w:t>
            </w:r>
          </w:p>
        </w:tc>
      </w:tr>
      <w:tr>
        <w:tc>
          <w:tcPr/>
          <w:p>
            <w:pPr>
              <w:pStyle w:val="Compact"/>
            </w:pPr>
            <m:oMath>
              <m:sSub>
                <m:e>
                  <m:r>
                    <m:t>C</m:t>
                  </m:r>
                </m:e>
                <m:sub>
                  <m:r>
                    <m:t>i</m:t>
                  </m:r>
                </m:sub>
              </m:sSub>
            </m:oMath>
          </w:p>
        </w:tc>
        <w:tc>
          <w:tcPr/>
          <w:p>
            <w:pPr>
              <w:pStyle w:val="Compact"/>
            </w:pPr>
            <w:r>
              <w:t xml:space="preserve">Supply capacity of supplier</w:t>
            </w:r>
            <w:r>
              <w:t xml:space="preserve"> </w:t>
            </w:r>
            <m:oMath>
              <m:r>
                <m:t>i</m:t>
              </m:r>
            </m:oMath>
          </w:p>
        </w:tc>
        <w:tc>
          <w:tcPr/>
          <w:p>
            <w:pPr>
              <w:pStyle w:val="Compact"/>
            </w:pPr>
            <w:r>
              <w:t xml:space="preserve">units</w:t>
            </w:r>
          </w:p>
        </w:tc>
      </w:tr>
      <w:tr>
        <w:tc>
          <w:tcPr/>
          <w:p>
            <w:pPr>
              <w:pStyle w:val="Compact"/>
            </w:pPr>
            <m:oMath>
              <m:sSub>
                <m:e>
                  <m:r>
                    <m:t>F</m:t>
                  </m:r>
                </m:e>
                <m:sub>
                  <m:r>
                    <m:t>j</m:t>
                  </m:r>
                </m:sub>
              </m:sSub>
            </m:oMath>
          </w:p>
        </w:tc>
        <w:tc>
          <w:tcPr/>
          <w:p>
            <w:pPr>
              <w:pStyle w:val="Compact"/>
            </w:pPr>
            <w:r>
              <w:t xml:space="preserve">Production capacity of factory</w:t>
            </w:r>
            <w:r>
              <w:t xml:space="preserve"> </w:t>
            </w:r>
            <m:oMath>
              <m:r>
                <m:t>j</m:t>
              </m:r>
            </m:oMath>
          </w:p>
        </w:tc>
        <w:tc>
          <w:tcPr/>
          <w:p>
            <w:pPr>
              <w:pStyle w:val="Compact"/>
            </w:pPr>
            <w:r>
              <w:t xml:space="preserve">units</w:t>
            </w:r>
          </w:p>
        </w:tc>
      </w:tr>
      <w:tr>
        <w:tc>
          <w:tcPr/>
          <w:p>
            <w:pPr>
              <w:pStyle w:val="Compact"/>
            </w:pPr>
            <m:oMath>
              <m:sSub>
                <m:e>
                  <m:r>
                    <m:t>D</m:t>
                  </m:r>
                </m:e>
                <m:sub>
                  <m:r>
                    <m:t>k</m:t>
                  </m:r>
                </m:sub>
              </m:sSub>
            </m:oMath>
          </w:p>
        </w:tc>
        <w:tc>
          <w:tcPr/>
          <w:p>
            <w:pPr>
              <w:pStyle w:val="Compact"/>
            </w:pPr>
            <w:r>
              <w:t xml:space="preserve">Storage capacity of DC</w:t>
            </w:r>
            <w:r>
              <w:t xml:space="preserve"> </w:t>
            </w:r>
            <m:oMath>
              <m:r>
                <m:t>k</m:t>
              </m:r>
            </m:oMath>
          </w:p>
        </w:tc>
        <w:tc>
          <w:tcPr/>
          <w:p>
            <w:pPr>
              <w:pStyle w:val="Compact"/>
            </w:pPr>
            <w:r>
              <w:t xml:space="preserve">units</w:t>
            </w:r>
          </w:p>
        </w:tc>
      </w:tr>
      <w:tr>
        <w:tc>
          <w:tcPr/>
          <w:p>
            <w:pPr>
              <w:pStyle w:val="Compact"/>
            </w:pPr>
            <m:oMath>
              <m:sSub>
                <m:e>
                  <m:r>
                    <m:t>d</m:t>
                  </m:r>
                </m:e>
                <m:sub>
                  <m:r>
                    <m:t>l</m:t>
                  </m:r>
                </m:sub>
              </m:sSub>
            </m:oMath>
          </w:p>
        </w:tc>
        <w:tc>
          <w:tcPr/>
          <w:p>
            <w:pPr>
              <w:pStyle w:val="Compact"/>
            </w:pPr>
            <w:r>
              <w:t xml:space="preserve">Demand of customer</w:t>
            </w:r>
            <w:r>
              <w:t xml:space="preserve"> </w:t>
            </w:r>
            <m:oMath>
              <m:r>
                <m:t>l</m:t>
              </m:r>
            </m:oMath>
          </w:p>
        </w:tc>
        <w:tc>
          <w:tcPr/>
          <w:p>
            <w:pPr>
              <w:pStyle w:val="Compact"/>
            </w:pPr>
            <w:r>
              <w:t xml:space="preserve">units</w:t>
            </w:r>
          </w:p>
        </w:tc>
      </w:tr>
      <w:tr>
        <w:tc>
          <w:tcPr/>
          <w:p>
            <w:pPr>
              <w:pStyle w:val="Compact"/>
            </w:pPr>
            <m:oMath>
              <m:sSub>
                <m:e>
                  <m:r>
                    <m:t>δ</m:t>
                  </m:r>
                </m:e>
                <m:sub>
                  <m:r>
                    <m:t>a</m:t>
                  </m:r>
                  <m:r>
                    <m:t>b</m:t>
                  </m:r>
                </m:sub>
              </m:sSub>
            </m:oMath>
          </w:p>
        </w:tc>
        <w:tc>
          <w:tcPr/>
          <w:p>
            <w:pPr>
              <w:pStyle w:val="Compact"/>
            </w:pPr>
            <w:r>
              <w:t xml:space="preserve">Distance between nodes</w:t>
            </w:r>
            <w:r>
              <w:t xml:space="preserve"> </w:t>
            </w:r>
            <m:oMath>
              <m:r>
                <m:t>a</m:t>
              </m:r>
            </m:oMath>
            <w:r>
              <w:t xml:space="preserve"> </w:t>
            </w:r>
            <w:r>
              <w:t xml:space="preserve">and</w:t>
            </w:r>
            <w:r>
              <w:t xml:space="preserve"> </w:t>
            </w:r>
            <m:oMath>
              <m:r>
                <m:t>b</m:t>
              </m:r>
            </m:oMath>
          </w:p>
        </w:tc>
        <w:tc>
          <w:tcPr/>
          <w:p>
            <w:pPr>
              <w:pStyle w:val="Compact"/>
            </w:pPr>
            <w:r>
              <w:t xml:space="preserve">km</w:t>
            </w:r>
          </w:p>
        </w:tc>
      </w:tr>
      <w:tr>
        <w:tc>
          <w:tcPr/>
          <w:p>
            <w:pPr>
              <w:pStyle w:val="Compact"/>
            </w:pPr>
            <m:oMath>
              <m:sSub>
                <m:e>
                  <m:r>
                    <m:t>γ</m:t>
                  </m:r>
                </m:e>
                <m:sub>
                  <m:r>
                    <m:t>a</m:t>
                  </m:r>
                  <m:r>
                    <m:t>b</m:t>
                  </m:r>
                </m:sub>
              </m:sSub>
            </m:oMath>
          </w:p>
        </w:tc>
        <w:tc>
          <w:tcPr/>
          <w:p>
            <w:pPr>
              <w:pStyle w:val="Compact"/>
            </w:pPr>
            <w:r>
              <w:t xml:space="preserve">Traffic congestion factor on arc</w:t>
            </w:r>
            <w:r>
              <w:t xml:space="preserve"> </w:t>
            </w:r>
            <m:oMath>
              <m:r>
                <m:rPr>
                  <m:sty m:val="p"/>
                </m:rPr>
                <m:t>(</m:t>
              </m:r>
              <m:r>
                <m:t>a</m:t>
              </m:r>
              <m:r>
                <m:rPr>
                  <m:sty m:val="p"/>
                </m:rPr>
                <m:t>,</m:t>
              </m:r>
              <m:r>
                <m:t>b</m:t>
              </m:r>
              <m:r>
                <m:rPr>
                  <m:sty m:val="p"/>
                </m:rPr>
                <m:t>)</m:t>
              </m:r>
            </m:oMath>
          </w:p>
        </w:tc>
        <w:tc>
          <w:tcPr/>
          <w:p>
            <w:pPr>
              <w:pStyle w:val="Compact"/>
            </w:pPr>
            <w:r>
              <w:t xml:space="preserve">dimensionless,</w:t>
            </w:r>
            <w:r>
              <w:t xml:space="preserve"> </w:t>
            </w:r>
            <m:oMath>
              <m:r>
                <m:rPr>
                  <m:sty m:val="p"/>
                </m:rPr>
                <m:t>≥</m:t>
              </m:r>
              <m:r>
                <m:t>1</m:t>
              </m:r>
            </m:oMath>
          </w:p>
        </w:tc>
      </w:tr>
      <w:tr>
        <w:tc>
          <w:tcPr/>
          <w:p>
            <w:pPr>
              <w:pStyle w:val="Compact"/>
            </w:pPr>
            <m:oMath>
              <m:sSub>
                <m:e>
                  <m:r>
                    <m:t>t</m:t>
                  </m:r>
                </m:e>
                <m:sub>
                  <m:r>
                    <m:t>m</m:t>
                  </m:r>
                </m:sub>
              </m:sSub>
            </m:oMath>
          </w:p>
        </w:tc>
        <w:tc>
          <w:tcPr/>
          <w:p>
            <w:pPr>
              <w:pStyle w:val="Compact"/>
            </w:pPr>
            <w:r>
              <w:t xml:space="preserve">Unit transport cost for mode</w:t>
            </w:r>
            <w:r>
              <w:t xml:space="preserve"> </w:t>
            </w:r>
            <m:oMath>
              <m:r>
                <m:t>m</m:t>
              </m:r>
            </m:oMath>
          </w:p>
        </w:tc>
        <w:tc>
          <w:tcPr/>
          <w:p>
            <w:pPr>
              <w:pStyle w:val="Compact"/>
            </w:pPr>
            <w:r>
              <w:t xml:space="preserve">$/unit-km</w:t>
            </w:r>
          </w:p>
        </w:tc>
      </w:tr>
      <w:tr>
        <w:tc>
          <w:tcPr/>
          <w:p>
            <w:pPr>
              <w:pStyle w:val="Compact"/>
            </w:pPr>
            <m:oMath>
              <m:sSub>
                <m:e>
                  <m:r>
                    <m:t>τ</m:t>
                  </m:r>
                </m:e>
                <m:sub>
                  <m:r>
                    <m:t>m</m:t>
                  </m:r>
                </m:sub>
              </m:sSub>
            </m:oMath>
          </w:p>
        </w:tc>
        <w:tc>
          <w:tcPr/>
          <w:p>
            <w:pPr>
              <w:pStyle w:val="Compact"/>
            </w:pPr>
            <w:r>
              <w:t xml:space="preserve">Unit transport emission factor for mode</w:t>
            </w:r>
            <w:r>
              <w:t xml:space="preserve"> </w:t>
            </w:r>
            <m:oMath>
              <m:r>
                <m:t>m</m:t>
              </m:r>
            </m:oMath>
          </w:p>
        </w:tc>
        <w:tc>
          <w:tcPr/>
          <w:p>
            <w:pPr>
              <w:pStyle w:val="Compact"/>
            </w:pPr>
            <w:r>
              <w:t xml:space="preserve">kg CO</w:t>
            </w:r>
            <m:oMath>
              <m:sSub>
                <m:e>
                  <m:r>
                    <m:t>​</m:t>
                  </m:r>
                </m:e>
                <m:sub>
                  <m:r>
                    <m:t>2</m:t>
                  </m:r>
                </m:sub>
              </m:sSub>
            </m:oMath>
            <w:r>
              <w:t xml:space="preserve">/unit-km</w:t>
            </w:r>
          </w:p>
        </w:tc>
      </w:tr>
      <w:tr>
        <w:tc>
          <w:tcPr/>
          <w:p>
            <w:pPr>
              <w:pStyle w:val="Compact"/>
            </w:pPr>
            <m:oMath>
              <m:r>
                <m:t>π</m:t>
              </m:r>
            </m:oMath>
          </w:p>
        </w:tc>
        <w:tc>
          <w:tcPr/>
          <w:p>
            <w:pPr>
              <w:pStyle w:val="Compact"/>
            </w:pPr>
            <w:r>
              <w:t xml:space="preserve">Shortage penalty cost per unit of unmet demand</w:t>
            </w:r>
          </w:p>
        </w:tc>
        <w:tc>
          <w:tcPr/>
          <w:p>
            <w:pPr>
              <w:pStyle w:val="Compact"/>
            </w:pPr>
            <w:r>
              <w:t xml:space="preserve">$/unit</w:t>
            </w:r>
          </w:p>
        </w:tc>
      </w:tr>
      <w:tr>
        <w:tc>
          <w:tcPr/>
          <w:p>
            <w:pPr>
              <w:pStyle w:val="Compact"/>
            </w:pPr>
            <m:oMath>
              <m:sSub>
                <m:e>
                  <m:r>
                    <m:t>w</m:t>
                  </m:r>
                </m:e>
                <m:sub>
                  <m:r>
                    <m:t>1</m:t>
                  </m:r>
                </m:sub>
              </m:sSub>
              <m:r>
                <m:rPr>
                  <m:sty m:val="p"/>
                </m:rPr>
                <m:t>,</m:t>
              </m:r>
              <m:sSub>
                <m:e>
                  <m:r>
                    <m:t>w</m:t>
                  </m:r>
                </m:e>
                <m:sub>
                  <m:r>
                    <m:t>2</m:t>
                  </m:r>
                </m:sub>
              </m:sSub>
            </m:oMath>
          </w:p>
        </w:tc>
        <w:tc>
          <w:tcPr/>
          <w:p>
            <w:pPr>
              <w:pStyle w:val="Compact"/>
            </w:pPr>
            <w:r>
              <w:t xml:space="preserve">Resilience component weights</w:t>
            </w:r>
          </w:p>
        </w:tc>
        <w:tc>
          <w:tcPr/>
          <w:p>
            <w:pPr>
              <w:pStyle w:val="Compact"/>
            </w:pPr>
            <w:r>
              <w:t xml:space="preserve">dimensionless</w:t>
            </w:r>
          </w:p>
        </w:tc>
      </w:tr>
    </w:tbl>
    <w:bookmarkEnd w:id="26"/>
    <w:bookmarkStart w:id="27" w:name="abbreviations"/>
    <w:p>
      <w:pPr>
        <w:pStyle w:val="Heading3"/>
      </w:pPr>
      <w:r>
        <w:rPr>
          <w:rStyle w:val="SectionNumber"/>
        </w:rPr>
        <w:t xml:space="preserve">5.4</w:t>
      </w:r>
      <w:r>
        <w:tab/>
      </w:r>
      <w:r>
        <w:t xml:space="preserve">Abbreviations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Abbreviation</w:t>
            </w:r>
          </w:p>
        </w:tc>
        <w:tc>
          <w:tcPr/>
          <w:p>
            <w:pPr>
              <w:pStyle w:val="Compact"/>
            </w:pPr>
            <w:r>
              <w:t xml:space="preserve">Full Form</w:t>
            </w:r>
          </w:p>
        </w:tc>
      </w:tr>
      <w:tr>
        <w:tc>
          <w:tcPr/>
          <w:p>
            <w:pPr>
              <w:pStyle w:val="Compact"/>
            </w:pPr>
            <w:r>
              <w:t xml:space="preserve">SCND</w:t>
            </w:r>
          </w:p>
        </w:tc>
        <w:tc>
          <w:tcPr/>
          <w:p>
            <w:pPr>
              <w:pStyle w:val="Compact"/>
            </w:pPr>
            <w:r>
              <w:t xml:space="preserve">Supply Chain Network Design</w:t>
            </w:r>
          </w:p>
        </w:tc>
      </w:tr>
      <w:tr>
        <w:tc>
          <w:tcPr/>
          <w:p>
            <w:pPr>
              <w:pStyle w:val="Compact"/>
            </w:pPr>
            <w:r>
              <w:t xml:space="preserve">NSGA-II</w:t>
            </w:r>
          </w:p>
        </w:tc>
        <w:tc>
          <w:tcPr/>
          <w:p>
            <w:pPr>
              <w:pStyle w:val="Compact"/>
            </w:pPr>
            <w:r>
              <w:t xml:space="preserve">Non-dominated Sorting Genetic Algorithm II</w:t>
            </w:r>
          </w:p>
        </w:tc>
      </w:tr>
      <w:tr>
        <w:tc>
          <w:tcPr/>
          <w:p>
            <w:pPr>
              <w:pStyle w:val="Compact"/>
            </w:pPr>
            <w:r>
              <w:t xml:space="preserve">HHI</w:t>
            </w:r>
          </w:p>
        </w:tc>
        <w:tc>
          <w:tcPr/>
          <w:p>
            <w:pPr>
              <w:pStyle w:val="Compact"/>
            </w:pPr>
            <w:r>
              <w:t xml:space="preserve">Herfindahl–Hirschman Index</w:t>
            </w:r>
          </w:p>
        </w:tc>
      </w:tr>
      <w:tr>
        <w:tc>
          <w:tcPr/>
          <w:p>
            <w:pPr>
              <w:pStyle w:val="Compact"/>
            </w:pPr>
            <w:r>
              <w:t xml:space="preserve">LCA</w:t>
            </w:r>
          </w:p>
        </w:tc>
        <w:tc>
          <w:tcPr/>
          <w:p>
            <w:pPr>
              <w:pStyle w:val="Compact"/>
            </w:pPr>
            <w:r>
              <w:t xml:space="preserve">Life Cycle Assessment</w:t>
            </w:r>
          </w:p>
        </w:tc>
      </w:tr>
      <w:tr>
        <w:tc>
          <w:tcPr/>
          <w:p>
            <w:pPr>
              <w:pStyle w:val="Compact"/>
            </w:pPr>
            <w:r>
              <w:t xml:space="preserve">DC</w:t>
            </w:r>
          </w:p>
        </w:tc>
        <w:tc>
          <w:tcPr/>
          <w:p>
            <w:pPr>
              <w:pStyle w:val="Compact"/>
            </w:pPr>
            <w:r>
              <w:t xml:space="preserve">Distribution Centre</w:t>
            </w:r>
          </w:p>
        </w:tc>
      </w:tr>
      <w:tr>
        <w:tc>
          <w:tcPr/>
          <w:p>
            <w:pPr>
              <w:pStyle w:val="Compact"/>
            </w:pPr>
            <w:r>
              <w:t xml:space="preserve">DSS</w:t>
            </w:r>
          </w:p>
        </w:tc>
        <w:tc>
          <w:tcPr/>
          <w:p>
            <w:pPr>
              <w:pStyle w:val="Compact"/>
            </w:pPr>
            <w:r>
              <w:t xml:space="preserve">Decision Support System</w:t>
            </w:r>
          </w:p>
        </w:tc>
      </w:tr>
      <w:tr>
        <w:tc>
          <w:tcPr/>
          <w:p>
            <w:pPr>
              <w:pStyle w:val="Compact"/>
            </w:pPr>
            <w:r>
              <w:t xml:space="preserve">MTTF</w:t>
            </w:r>
          </w:p>
        </w:tc>
        <w:tc>
          <w:tcPr/>
          <w:p>
            <w:pPr>
              <w:pStyle w:val="Compact"/>
            </w:pPr>
            <w:r>
              <w:t xml:space="preserve">Mean Time To Failure</w:t>
            </w:r>
          </w:p>
        </w:tc>
      </w:tr>
      <w:tr>
        <w:tc>
          <w:tcPr/>
          <w:p>
            <w:pPr>
              <w:pStyle w:val="Compact"/>
            </w:pPr>
            <w:r>
              <w:t xml:space="preserve">MTTR</w:t>
            </w:r>
          </w:p>
        </w:tc>
        <w:tc>
          <w:tcPr/>
          <w:p>
            <w:pPr>
              <w:pStyle w:val="Compact"/>
            </w:pPr>
            <w:r>
              <w:t xml:space="preserve">Mean Time To Repair</w:t>
            </w:r>
          </w:p>
        </w:tc>
      </w:tr>
    </w:tbl>
    <w:bookmarkEnd w:id="27"/>
    <w:bookmarkEnd w:id="28"/>
    <w:bookmarkStart w:id="34" w:name="chapter-1-introduction"/>
    <w:p>
      <w:pPr>
        <w:pStyle w:val="Heading2"/>
      </w:pPr>
      <w:r>
        <w:rPr>
          <w:rStyle w:val="SectionNumber"/>
        </w:rPr>
        <w:t xml:space="preserve">6</w:t>
      </w:r>
      <w:r>
        <w:tab/>
      </w:r>
      <w:r>
        <w:t xml:space="preserve">Chapter 1: Introduction</w:t>
      </w:r>
    </w:p>
    <w:bookmarkStart w:id="29" w:name="background-and-motivation"/>
    <w:p>
      <w:pPr>
        <w:pStyle w:val="Heading3"/>
      </w:pPr>
      <w:r>
        <w:rPr>
          <w:rStyle w:val="SectionNumber"/>
        </w:rPr>
        <w:t xml:space="preserve">6.1</w:t>
      </w:r>
      <w:r>
        <w:tab/>
      </w:r>
      <w:r>
        <w:t xml:space="preserve">1.1 Background and Motivation</w:t>
      </w:r>
    </w:p>
    <w:p>
      <w:pPr>
        <w:pStyle w:val="FirstParagraph"/>
      </w:pPr>
      <w:r>
        <w:t xml:space="preserve">Modern supply chains operate in an increasingly volatile global environment. The COVID-19 pandemic, the 2021 Suez Canal blockage, and ongoing geopolitical tensions have exposed the fragility of lean, cost-optimised supply networks. Industry losses from supply chain disruptions exceeded $80 billion in 2020 alone, prompting a fundamental rethinking of network design priorities (Pettit, Fiksel, and Croxton, 2010).</w:t>
      </w:r>
    </w:p>
    <w:p>
      <w:pPr>
        <w:pStyle w:val="BodyText"/>
      </w:pPr>
      <w:r>
        <w:t xml:space="preserve">Simultaneously, environmental regulations—such as the European Green Deal and India’s National Action Plan on Climate Change—demand measurable reductions in industrial carbon footprints. The logistics and manufacturing sectors together account for approximately 25% of global CO</w:t>
      </w:r>
      <m:oMath>
        <m:sSub>
          <m:e>
            <m:r>
              <m:t>​</m:t>
            </m:r>
          </m:e>
          <m:sub>
            <m:r>
              <m:t>2</m:t>
            </m:r>
          </m:sub>
        </m:sSub>
      </m:oMath>
      <w:r>
        <w:t xml:space="preserve"> </w:t>
      </w:r>
      <w:r>
        <w:t xml:space="preserve">emissions, making supply chain design a critical lever for environmental improvement.</w:t>
      </w:r>
    </w:p>
    <w:p>
      <w:pPr>
        <w:pStyle w:val="BodyText"/>
      </w:pPr>
      <w:r>
        <w:t xml:space="preserve">Traditional SCND formulations focus on a single objective, typically total cost minimisation. While effective for economic optimisation, they fail to capture the inherent trade-offs among cost, environmental impact, and operational resilience. For instance, the lowest-cost network configuration often concentrates flows through a few high-capacity nodes, creating single points of failure. Conversely, maximising resilience through diversification increases logistics costs. Multi-objective optimisation provides a principled framework for exploring these trade-offs, producing a set of Pareto-optimal solutions from which decision-makers can select according to their strategic priorities.</w:t>
      </w:r>
    </w:p>
    <w:bookmarkEnd w:id="29"/>
    <w:bookmarkStart w:id="30" w:name="problem-statement"/>
    <w:p>
      <w:pPr>
        <w:pStyle w:val="Heading3"/>
      </w:pPr>
      <w:r>
        <w:rPr>
          <w:rStyle w:val="SectionNumber"/>
        </w:rPr>
        <w:t xml:space="preserve">6.2</w:t>
      </w:r>
      <w:r>
        <w:tab/>
      </w:r>
      <w:r>
        <w:t xml:space="preserve">1.2 Problem Statement</w:t>
      </w:r>
    </w:p>
    <w:p>
      <w:pPr>
        <w:pStyle w:val="FirstParagraph"/>
      </w:pPr>
      <w:r>
        <w:t xml:space="preserve">This thesis addresses the following multi-objective optimisation problem:</w:t>
      </w:r>
    </w:p>
    <w:p>
      <w:pPr>
        <w:pStyle w:val="BlockText"/>
      </w:pPr>
      <w:r>
        <w:rPr>
          <w:i/>
          <w:iCs/>
        </w:rPr>
        <w:t xml:space="preserve">Given a four-echelon supply chain network consisting of 3 suppliers, 2 factories, 3 distribution centres, and 5 customers connected by two transport modes (road and rail) and mapped to Indian automotive geography, determine the optimal material flow allocation across 54 continuous decision variables (</w:t>
      </w:r>
      <m:oMath>
        <m:sSub>
          <m:e>
            <m:r>
              <m:t>x</m:t>
            </m:r>
          </m:e>
          <m:sub>
            <m:r>
              <m:t>i</m:t>
            </m:r>
            <m:r>
              <m:t>j</m:t>
            </m:r>
            <m:r>
              <m:t>m</m:t>
            </m:r>
          </m:sub>
        </m:sSub>
      </m:oMath>
      <w:r>
        <w:rPr>
          <w:i/>
          <w:iCs/>
        </w:rPr>
        <w:t xml:space="preserve">,</w:t>
      </w:r>
      <w:r>
        <w:rPr>
          <w:i/>
          <w:iCs/>
        </w:rPr>
        <w:t xml:space="preserve"> </w:t>
      </w:r>
      <m:oMath>
        <m:sSub>
          <m:e>
            <m:r>
              <m:t>y</m:t>
            </m:r>
          </m:e>
          <m:sub>
            <m:r>
              <m:t>j</m:t>
            </m:r>
            <m:r>
              <m:t>k</m:t>
            </m:r>
            <m:r>
              <m:t>m</m:t>
            </m:r>
          </m:sub>
        </m:sSub>
      </m:oMath>
      <w:r>
        <w:rPr>
          <w:i/>
          <w:iCs/>
        </w:rPr>
        <w:t xml:space="preserve">,</w:t>
      </w:r>
      <w:r>
        <w:rPr>
          <w:i/>
          <w:iCs/>
        </w:rPr>
        <w:t xml:space="preserve"> </w:t>
      </w:r>
      <m:oMath>
        <m:sSub>
          <m:e>
            <m:r>
              <m:t>z</m:t>
            </m:r>
          </m:e>
          <m:sub>
            <m:r>
              <m:t>k</m:t>
            </m:r>
            <m:r>
              <m:t>l</m:t>
            </m:r>
            <m:r>
              <m:t>m</m:t>
            </m:r>
          </m:sub>
        </m:sSub>
      </m:oMath>
      <w:r>
        <w:rPr>
          <w:i/>
          <w:iCs/>
        </w:rPr>
        <w:t xml:space="preserve">) that simultaneously:</w:t>
      </w:r>
    </w:p>
    <w:p>
      <w:pPr>
        <w:pStyle w:val="BlockText"/>
      </w:pPr>
      <w:r>
        <w:rPr>
          <w:i/>
          <w:iCs/>
        </w:rPr>
        <w:t xml:space="preserve">(a) minimises total landed cost — comprising procurement, production, congestion-weighted transport, DC holding, and unmet demand penalty costs (formulated after Melo et al., 2009 and Jabbarzadeh et al., 2018);</w:t>
      </w:r>
    </w:p>
    <w:p>
      <w:pPr>
        <w:pStyle w:val="BlockText"/>
      </w:pPr>
      <w:r>
        <w:rPr>
          <w:i/>
          <w:iCs/>
        </w:rPr>
        <w:t xml:space="preserve">(b) minimises total life-cycle carbon emissions — comprising supplier-level, production-level, congestion-weighted transport, and DC warehousing emission components (formulated after Pishvaee and Razmi, 2012 and Pishvaee, Torabi, and Razmi, 2012);</w:t>
      </w:r>
    </w:p>
    <w:p>
      <w:pPr>
        <w:pStyle w:val="BlockText"/>
      </w:pPr>
      <w:r>
        <w:rPr>
          <w:i/>
          <w:iCs/>
        </w:rPr>
        <w:t xml:space="preserve">(c) maximises a composite resilience score — combining the Herfindahl–Hirschman Index (HHI) for supply diversification (after Hasani and Khosrojerdi, 2016) with worst-case single-node-failure demand coverage (after Snyder and Daskin, 2005);</w:t>
      </w:r>
    </w:p>
    <w:p>
      <w:pPr>
        <w:pStyle w:val="BlockText"/>
      </w:pPr>
      <w:r>
        <w:rPr>
          <w:i/>
          <w:iCs/>
        </w:rPr>
        <w:t xml:space="preserve">subject to supply capacity, factory capacity, DC capacity, flow balance, demand satisfaction, and non-negativity constraints — using NSGA-II evolutionary optimisation preceded by Random Forest demand forecasting and validated through Monte Carlo disruption simulation.</w:t>
      </w:r>
    </w:p>
    <w:p>
      <w:pPr>
        <w:pStyle w:val="FirstParagraph"/>
      </w:pPr>
      <w:r>
        <w:t xml:space="preserve">The problem is non-trivial because the three objectives are inherently conflicting: cost minimisation tends to concentrate flows through a few low-cost, high-capacity routes, which reduces diversification and thus resilience; emission minimisation favours rail-heavy, low-emission routes that may bypass geographically diverse nodes; and resilience maximisation distributes flows across multiple paths and modes, increasing both cost and emissions. No single solution can optimise all three objectives simultaneously, necessitating a Pareto-based multi-objective approach.</w:t>
      </w:r>
    </w:p>
    <w:bookmarkEnd w:id="30"/>
    <w:bookmarkStart w:id="31" w:name="scope-and-delimitations"/>
    <w:p>
      <w:pPr>
        <w:pStyle w:val="Heading3"/>
      </w:pPr>
      <w:r>
        <w:rPr>
          <w:rStyle w:val="SectionNumber"/>
        </w:rPr>
        <w:t xml:space="preserve">6.3</w:t>
      </w:r>
      <w:r>
        <w:tab/>
      </w:r>
      <w:r>
        <w:t xml:space="preserve">1.3 Scope and Delimitations</w:t>
      </w:r>
    </w:p>
    <w:p>
      <w:pPr>
        <w:pStyle w:val="FirstParagraph"/>
      </w:pPr>
      <w:r>
        <w:t xml:space="preserve">This thesis considers a four-echelon supply chain (Suppliers</w:t>
      </w:r>
      <w:r>
        <w:t xml:space="preserve"> </w:t>
      </w:r>
      <m:oMath>
        <m:r>
          <m:rPr>
            <m:sty m:val="p"/>
          </m:rPr>
          <m:t>→</m:t>
        </m:r>
      </m:oMath>
      <w:r>
        <w:t xml:space="preserve"> </w:t>
      </w:r>
      <w:r>
        <w:t xml:space="preserve">Factories</w:t>
      </w:r>
      <w:r>
        <w:t xml:space="preserve"> </w:t>
      </w:r>
      <m:oMath>
        <m:r>
          <m:rPr>
            <m:sty m:val="p"/>
          </m:rPr>
          <m:t>→</m:t>
        </m:r>
      </m:oMath>
      <w:r>
        <w:t xml:space="preserve"> </w:t>
      </w:r>
      <w:r>
        <w:t xml:space="preserve">Distribution Centres</w:t>
      </w:r>
      <w:r>
        <w:t xml:space="preserve"> </w:t>
      </w:r>
      <m:oMath>
        <m:r>
          <m:rPr>
            <m:sty m:val="p"/>
          </m:rPr>
          <m:t>→</m:t>
        </m:r>
      </m:oMath>
      <w:r>
        <w:t xml:space="preserve"> </w:t>
      </w:r>
      <w:r>
        <w:t xml:space="preserve">Customers) with two transport modes (road and rail) applied to the Indian automotive sector. The scope includes:</w:t>
      </w:r>
    </w:p>
    <w:p>
      <w:pPr>
        <w:pStyle w:val="Compact"/>
        <w:numPr>
          <w:ilvl w:val="0"/>
          <w:numId w:val="1002"/>
        </w:numPr>
      </w:pPr>
      <w:r>
        <w:rPr>
          <w:b/>
          <w:bCs/>
        </w:rPr>
        <w:t xml:space="preserve">Network design:</w:t>
      </w:r>
      <w:r>
        <w:t xml:space="preserve"> </w:t>
      </w:r>
      <w:r>
        <w:t xml:space="preserve">Single-product, single-period flow allocation with 54 continuous decision variables.</w:t>
      </w:r>
    </w:p>
    <w:p>
      <w:pPr>
        <w:pStyle w:val="Compact"/>
        <w:numPr>
          <w:ilvl w:val="0"/>
          <w:numId w:val="1002"/>
        </w:numPr>
      </w:pPr>
      <w:r>
        <w:rPr>
          <w:b/>
          <w:bCs/>
        </w:rPr>
        <w:t xml:space="preserve">Demand estimation:</w:t>
      </w:r>
      <w:r>
        <w:t xml:space="preserve"> </w:t>
      </w:r>
      <w:r>
        <w:t xml:space="preserve">Random Forest regression with 15 engineered features per customer over 72 historical periods.</w:t>
      </w:r>
    </w:p>
    <w:p>
      <w:pPr>
        <w:pStyle w:val="Compact"/>
        <w:numPr>
          <w:ilvl w:val="0"/>
          <w:numId w:val="1002"/>
        </w:numPr>
      </w:pPr>
      <w:r>
        <w:rPr>
          <w:b/>
          <w:bCs/>
        </w:rPr>
        <w:t xml:space="preserve">Optimisation:</w:t>
      </w:r>
      <w:r>
        <w:t xml:space="preserve"> </w:t>
      </w:r>
      <w:r>
        <w:t xml:space="preserve">NSGA-II with population size 120, 300 generations (36,000 evaluations).</w:t>
      </w:r>
    </w:p>
    <w:p>
      <w:pPr>
        <w:pStyle w:val="Compact"/>
        <w:numPr>
          <w:ilvl w:val="0"/>
          <w:numId w:val="1002"/>
        </w:numPr>
      </w:pPr>
      <w:r>
        <w:rPr>
          <w:b/>
          <w:bCs/>
        </w:rPr>
        <w:t xml:space="preserve">Validation:</w:t>
      </w:r>
      <w:r>
        <w:t xml:space="preserve"> </w:t>
      </w:r>
      <w:r>
        <w:t xml:space="preserve">Monte Carlo disruption simulation with 100 runs over a 10-year horizon.</w:t>
      </w:r>
    </w:p>
    <w:p>
      <w:pPr>
        <w:pStyle w:val="Compact"/>
        <w:numPr>
          <w:ilvl w:val="0"/>
          <w:numId w:val="1002"/>
        </w:numPr>
      </w:pPr>
      <w:r>
        <w:rPr>
          <w:b/>
          <w:bCs/>
        </w:rPr>
        <w:t xml:space="preserve">Visualisation:</w:t>
      </w:r>
      <w:r>
        <w:t xml:space="preserve"> </w:t>
      </w:r>
      <w:r>
        <w:t xml:space="preserve">Interactive Streamlit dashboard for stakeholder trade-off analysis.</w:t>
      </w:r>
    </w:p>
    <w:p>
      <w:pPr>
        <w:pStyle w:val="FirstParagraph"/>
      </w:pPr>
      <w:r>
        <w:t xml:space="preserve">The following are explicitly</w:t>
      </w:r>
      <w:r>
        <w:t xml:space="preserve"> </w:t>
      </w:r>
      <w:r>
        <w:rPr>
          <w:b/>
          <w:bCs/>
        </w:rPr>
        <w:t xml:space="preserve">outside the scope</w:t>
      </w:r>
      <w:r>
        <w:t xml:space="preserve"> </w:t>
      </w:r>
      <w:r>
        <w:t xml:space="preserve">of this work: (a) real company data deployment — the framework is validated on synthetic data grounded in realistic Indian geography; (b) facility location decisions — node locations are treated as predetermined; (c) multi-period inventory dynamics; and (d) stochastic/robust formulations with chance constraints.</w:t>
      </w:r>
    </w:p>
    <w:bookmarkEnd w:id="31"/>
    <w:bookmarkStart w:id="32" w:name="research-contributions"/>
    <w:p>
      <w:pPr>
        <w:pStyle w:val="Heading3"/>
      </w:pPr>
      <w:r>
        <w:rPr>
          <w:rStyle w:val="SectionNumber"/>
        </w:rPr>
        <w:t xml:space="preserve">6.4</w:t>
      </w:r>
      <w:r>
        <w:tab/>
      </w:r>
      <w:r>
        <w:t xml:space="preserve">1.4 Research Contributions</w:t>
      </w:r>
    </w:p>
    <w:p>
      <w:pPr>
        <w:numPr>
          <w:ilvl w:val="0"/>
          <w:numId w:val="1003"/>
        </w:numPr>
      </w:pPr>
      <w:r>
        <w:rPr>
          <w:b/>
          <w:bCs/>
        </w:rPr>
        <w:t xml:space="preserve">Integrated pipeline:</w:t>
      </w:r>
      <w:r>
        <w:t xml:space="preserve"> </w:t>
      </w:r>
      <w:r>
        <w:t xml:space="preserve">A reproducible framework combining Random Forest forecasting, NSGA-II optimisation, and Monte Carlo simulation within a single Python codebase.</w:t>
      </w:r>
    </w:p>
    <w:p>
      <w:pPr>
        <w:numPr>
          <w:ilvl w:val="0"/>
          <w:numId w:val="1003"/>
        </w:numPr>
      </w:pPr>
      <w:r>
        <w:rPr>
          <w:b/>
          <w:bCs/>
        </w:rPr>
        <w:t xml:space="preserve">Traceable formulations:</w:t>
      </w:r>
      <w:r>
        <w:t xml:space="preserve"> </w:t>
      </w:r>
      <w:r>
        <w:t xml:space="preserve">Every component of the three objective functions is explicitly traced to a published paper (six papers in total), enabling academic defence of each modelling decision.</w:t>
      </w:r>
    </w:p>
    <w:p>
      <w:pPr>
        <w:numPr>
          <w:ilvl w:val="0"/>
          <w:numId w:val="1003"/>
        </w:numPr>
      </w:pPr>
      <w:r>
        <w:rPr>
          <w:b/>
          <w:bCs/>
        </w:rPr>
        <w:t xml:space="preserve">Composite resilience metric:</w:t>
      </w:r>
      <w:r>
        <w:t xml:space="preserve"> </w:t>
      </w:r>
      <w:r>
        <w:t xml:space="preserve">A novel combination of the HHI supply diversification index (Hasani and Khosrojerdi, 2016) with expected node-failure coverage (Snyder and Daskin, 2005), validated through simulation.</w:t>
      </w:r>
    </w:p>
    <w:p>
      <w:pPr>
        <w:numPr>
          <w:ilvl w:val="0"/>
          <w:numId w:val="1003"/>
        </w:numPr>
      </w:pPr>
      <w:r>
        <w:rPr>
          <w:b/>
          <w:bCs/>
        </w:rPr>
        <w:t xml:space="preserve">Multi-modal congestion-aware modelling:</w:t>
      </w:r>
      <w:r>
        <w:t xml:space="preserve"> </w:t>
      </w:r>
      <w:r>
        <w:t xml:space="preserve">Transport cost and emissions are modulated by arc-specific congestion factors and mode-dependent coefficients.</w:t>
      </w:r>
    </w:p>
    <w:p>
      <w:pPr>
        <w:numPr>
          <w:ilvl w:val="0"/>
          <w:numId w:val="1003"/>
        </w:numPr>
      </w:pPr>
      <w:r>
        <w:rPr>
          <w:b/>
          <w:bCs/>
        </w:rPr>
        <w:t xml:space="preserve">Interactive Decision Support System (DSS):</w:t>
      </w:r>
      <w:r>
        <w:t xml:space="preserve"> </w:t>
      </w:r>
      <w:r>
        <w:t xml:space="preserve">A Streamlit dashboard for stakeholder visualisation of trade-offs.</w:t>
      </w:r>
    </w:p>
    <w:bookmarkEnd w:id="32"/>
    <w:bookmarkStart w:id="33" w:name="organisation-of-the-thesis"/>
    <w:p>
      <w:pPr>
        <w:pStyle w:val="Heading3"/>
      </w:pPr>
      <w:r>
        <w:rPr>
          <w:rStyle w:val="SectionNumber"/>
        </w:rPr>
        <w:t xml:space="preserve">6.5</w:t>
      </w:r>
      <w:r>
        <w:tab/>
      </w:r>
      <w:r>
        <w:t xml:space="preserve">1.5 Organisation of the Thesis</w:t>
      </w:r>
    </w:p>
    <w:p>
      <w:pPr>
        <w:pStyle w:val="Compact"/>
        <w:numPr>
          <w:ilvl w:val="0"/>
          <w:numId w:val="1004"/>
        </w:numPr>
      </w:pPr>
      <w:r>
        <w:rPr>
          <w:b/>
          <w:bCs/>
        </w:rPr>
        <w:t xml:space="preserve">Chapter 2:</w:t>
      </w:r>
      <w:r>
        <w:t xml:space="preserve"> </w:t>
      </w:r>
      <w:r>
        <w:t xml:space="preserve">Literature Review — survey of relevant work in SCND, green SC, resilience, and forecasting.</w:t>
      </w:r>
    </w:p>
    <w:p>
      <w:pPr>
        <w:pStyle w:val="Compact"/>
        <w:numPr>
          <w:ilvl w:val="0"/>
          <w:numId w:val="1004"/>
        </w:numPr>
      </w:pPr>
      <w:r>
        <w:rPr>
          <w:b/>
          <w:bCs/>
        </w:rPr>
        <w:t xml:space="preserve">Chapter 3:</w:t>
      </w:r>
      <w:r>
        <w:t xml:space="preserve"> </w:t>
      </w:r>
      <w:r>
        <w:t xml:space="preserve">Problem Definition — network topology, decision variables, constraints, and assumptions.</w:t>
      </w:r>
    </w:p>
    <w:p>
      <w:pPr>
        <w:pStyle w:val="Compact"/>
        <w:numPr>
          <w:ilvl w:val="0"/>
          <w:numId w:val="1004"/>
        </w:numPr>
      </w:pPr>
      <w:r>
        <w:rPr>
          <w:b/>
          <w:bCs/>
        </w:rPr>
        <w:t xml:space="preserve">Chapter 4:</w:t>
      </w:r>
      <w:r>
        <w:t xml:space="preserve"> </w:t>
      </w:r>
      <w:r>
        <w:t xml:space="preserve">Mathematical Formulation — detailed development of the three objective functions with paper traceability.</w:t>
      </w:r>
    </w:p>
    <w:p>
      <w:pPr>
        <w:pStyle w:val="Compact"/>
        <w:numPr>
          <w:ilvl w:val="0"/>
          <w:numId w:val="1004"/>
        </w:numPr>
      </w:pPr>
      <w:r>
        <w:rPr>
          <w:b/>
          <w:bCs/>
        </w:rPr>
        <w:t xml:space="preserve">Chapter 5:</w:t>
      </w:r>
      <w:r>
        <w:t xml:space="preserve"> </w:t>
      </w:r>
      <w:r>
        <w:t xml:space="preserve">Solution Methodology — forecasting, NSGA-II, simulation, and DSS.</w:t>
      </w:r>
    </w:p>
    <w:p>
      <w:pPr>
        <w:pStyle w:val="Compact"/>
        <w:numPr>
          <w:ilvl w:val="0"/>
          <w:numId w:val="1004"/>
        </w:numPr>
      </w:pPr>
      <w:r>
        <w:rPr>
          <w:b/>
          <w:bCs/>
        </w:rPr>
        <w:t xml:space="preserve">Chapter 6:</w:t>
      </w:r>
      <w:r>
        <w:t xml:space="preserve"> </w:t>
      </w:r>
      <w:r>
        <w:t xml:space="preserve">Results and Discussion — computational experiments and analysis.</w:t>
      </w:r>
    </w:p>
    <w:p>
      <w:pPr>
        <w:pStyle w:val="Compact"/>
        <w:numPr>
          <w:ilvl w:val="0"/>
          <w:numId w:val="1004"/>
        </w:numPr>
      </w:pPr>
      <w:r>
        <w:rPr>
          <w:b/>
          <w:bCs/>
        </w:rPr>
        <w:t xml:space="preserve">Chapter 7:</w:t>
      </w:r>
      <w:r>
        <w:t xml:space="preserve"> </w:t>
      </w:r>
      <w:r>
        <w:t xml:space="preserve">Conclusion — summary, limitations, and future directions.</w:t>
      </w:r>
    </w:p>
    <w:bookmarkEnd w:id="33"/>
    <w:bookmarkEnd w:id="34"/>
    <w:bookmarkStart w:id="41" w:name="chapter-2-literature-review"/>
    <w:p>
      <w:pPr>
        <w:pStyle w:val="Heading2"/>
      </w:pPr>
      <w:r>
        <w:rPr>
          <w:rStyle w:val="SectionNumber"/>
        </w:rPr>
        <w:t xml:space="preserve">7</w:t>
      </w:r>
      <w:r>
        <w:tab/>
      </w:r>
      <w:r>
        <w:t xml:space="preserve">Chapter 2: Literature Review</w:t>
      </w:r>
    </w:p>
    <w:bookmarkStart w:id="35" w:name="supply-chain-network-design"/>
    <w:p>
      <w:pPr>
        <w:pStyle w:val="Heading3"/>
      </w:pPr>
      <w:r>
        <w:rPr>
          <w:rStyle w:val="SectionNumber"/>
        </w:rPr>
        <w:t xml:space="preserve">7.1</w:t>
      </w:r>
      <w:r>
        <w:tab/>
      </w:r>
      <w:r>
        <w:t xml:space="preserve">2.1 Supply Chain Network Design</w:t>
      </w:r>
    </w:p>
    <w:p>
      <w:pPr>
        <w:pStyle w:val="FirstParagraph"/>
      </w:pPr>
      <w:r>
        <w:t xml:space="preserve">Supply Chain Network Design (SCND) is a strategic-level problem that determines the configuration of a supply chain, including facility locations, capacity allocation, and material flow patterns. The field has evolved from single-echelon facility location problems to complex multi-echelon, multi-product, multi-period formulations.</w:t>
      </w:r>
    </w:p>
    <w:p>
      <w:pPr>
        <w:pStyle w:val="BodyText"/>
      </w:pPr>
      <w:r>
        <w:rPr>
          <w:b/>
          <w:bCs/>
        </w:rPr>
        <w:t xml:space="preserve">Melo, Nickel, and Saldanha-da-Gama (2009)</w:t>
      </w:r>
      <w:r>
        <w:t xml:space="preserve"> </w:t>
      </w:r>
      <w:r>
        <w:t xml:space="preserve">present a comprehensive review of facility location models in the SCND context. Their paper systematically categorises cost components into five layers: (i) fixed costs for opening facilities, (ii) procurement/sourcing costs, (iii) production/processing costs at transforming nodes, (iv) transportation costs across arcs, and (v) inventory holding costs at storage nodes. They argue that this five-layer decomposition generalises across most multi-echelon configurations and should form the structural backbone of any SCND cost formulation. Our cost objective (Chapter 4) directly adopts this decomposition, omitting fixed costs since facility locations are treated as predetermined.</w:t>
      </w:r>
    </w:p>
    <w:bookmarkEnd w:id="35"/>
    <w:bookmarkStart w:id="36" w:name="X2df5fc9a5be40ddb9c673d258f2e027b47ef752"/>
    <w:p>
      <w:pPr>
        <w:pStyle w:val="Heading3"/>
      </w:pPr>
      <w:r>
        <w:rPr>
          <w:rStyle w:val="SectionNumber"/>
        </w:rPr>
        <w:t xml:space="preserve">7.2</w:t>
      </w:r>
      <w:r>
        <w:tab/>
      </w:r>
      <w:r>
        <w:t xml:space="preserve">2.2 Multi-Objective Optimisation in Supply Chains</w:t>
      </w:r>
    </w:p>
    <w:p>
      <w:pPr>
        <w:pStyle w:val="FirstParagraph"/>
      </w:pPr>
      <w:r>
        <w:t xml:space="preserve">When multiple conflicting objectives are considered simultaneously, no single solution can optimise all objectives; instead, a set of Pareto-optimal (non-dominated) solutions represents the best achievable trade-offs. Evolutionary algorithms are widely used to approximate this Pareto front.</w:t>
      </w:r>
    </w:p>
    <w:p>
      <w:pPr>
        <w:pStyle w:val="BodyText"/>
      </w:pPr>
      <w:r>
        <w:rPr>
          <w:b/>
          <w:bCs/>
        </w:rPr>
        <w:t xml:space="preserve">Deb, Pratap, Agarwal, and Meyarivan (2002)</w:t>
      </w:r>
      <w:r>
        <w:t xml:space="preserve"> </w:t>
      </w:r>
      <w:r>
        <w:t xml:space="preserve">proposed the Non-dominated Sorting Genetic Algorithm II (NSGA-II), which has become the benchmark for multi-objective evolutionary optimisation. NSGA-II introduces two key innovations: (a) a computationally efficient</w:t>
      </w:r>
      <w:r>
        <w:t xml:space="preserve"> </w:t>
      </w:r>
      <m:oMath>
        <m:r>
          <m:t>O</m:t>
        </m:r>
        <m:r>
          <m:rPr>
            <m:sty m:val="p"/>
          </m:rPr>
          <m:t>(</m:t>
        </m:r>
        <m:r>
          <m:t>M</m:t>
        </m:r>
        <m:sSup>
          <m:e>
            <m:r>
              <m:t>N</m:t>
            </m:r>
          </m:e>
          <m:sup>
            <m:r>
              <m:t>2</m:t>
            </m:r>
          </m:sup>
        </m:sSup>
        <m:r>
          <m:rPr>
            <m:sty m:val="p"/>
          </m:rPr>
          <m:t>)</m:t>
        </m:r>
      </m:oMath>
      <w:r>
        <w:t xml:space="preserve"> </w:t>
      </w:r>
      <w:r>
        <w:t xml:space="preserve">non-dominated sorting procedure, and (b) a crowding distance metric that promotes solution diversity along the Pareto front. These properties make it particularly suited for SCND problems where the objective landscape is non-convex and discontinuous. In this thesis, NSGA-II is used to solve the three-objective problem via the pymoo library implementation.</w:t>
      </w:r>
    </w:p>
    <w:bookmarkEnd w:id="36"/>
    <w:bookmarkStart w:id="37" w:name="Xd4014a6490b1ccc7cfcffbd0def541b840099ce"/>
    <w:p>
      <w:pPr>
        <w:pStyle w:val="Heading3"/>
      </w:pPr>
      <w:r>
        <w:rPr>
          <w:rStyle w:val="SectionNumber"/>
        </w:rPr>
        <w:t xml:space="preserve">7.3</w:t>
      </w:r>
      <w:r>
        <w:tab/>
      </w:r>
      <w:r>
        <w:t xml:space="preserve">2.3 Green Supply Chain and Emission Modelling</w:t>
      </w:r>
    </w:p>
    <w:p>
      <w:pPr>
        <w:pStyle w:val="FirstParagraph"/>
      </w:pPr>
      <w:r>
        <w:t xml:space="preserve">Environmental considerations in SCND have received growing attention.</w:t>
      </w:r>
    </w:p>
    <w:p>
      <w:pPr>
        <w:pStyle w:val="BodyText"/>
      </w:pPr>
      <w:r>
        <w:rPr>
          <w:b/>
          <w:bCs/>
        </w:rPr>
        <w:t xml:space="preserve">Pishvaee and Razmi (2012)</w:t>
      </w:r>
      <w:r>
        <w:t xml:space="preserve"> </w:t>
      </w:r>
      <w:r>
        <w:t xml:space="preserve">pioneered the integration of Life Cycle Assessment (LCA) methodology into SCND optimisation. Their contribution is the recognition that a comprehensive emission model must account for emissions at every stage of the supply chain life cycle, not merely transport. Specifically, they decompose total emissions into: (a) emissions from raw material extraction and processing at suppliers, (b) production emissions at manufacturing facilities, (c) transport emissions across arcs, and (d) warehousing emissions from energy consumption at storage facilities. Our emission objective (Equation 4.3 in Chapter 4) directly implements this four-component LCA structure.</w:t>
      </w:r>
    </w:p>
    <w:p>
      <w:pPr>
        <w:pStyle w:val="BodyText"/>
      </w:pPr>
      <w:r>
        <w:rPr>
          <w:b/>
          <w:bCs/>
        </w:rPr>
        <w:t xml:space="preserve">Pishvaee, Torabi, and Razmi (2012)</w:t>
      </w:r>
      <w:r>
        <w:t xml:space="preserve"> </w:t>
      </w:r>
      <w:r>
        <w:t xml:space="preserve">extended this work by introducing congestion-weighted transport emission factors. They observe that transport emissions are not simply proportional to distance</w:t>
      </w:r>
      <w:r>
        <w:t xml:space="preserve"> </w:t>
      </w:r>
      <m:oMath>
        <m:r>
          <m:rPr>
            <m:sty m:val="p"/>
          </m:rPr>
          <m:t>×</m:t>
        </m:r>
      </m:oMath>
      <w:r>
        <w:t xml:space="preserve"> </w:t>
      </w:r>
      <w:r>
        <w:t xml:space="preserve">volume; urban congestion, terrain, and road quality cause deviations from base emission rates. They model this by multiplying the base transport emission factor by a route-specific congestion multiplier</w:t>
      </w:r>
      <w:r>
        <w:t xml:space="preserve"> </w:t>
      </w:r>
      <m:oMath>
        <m:sSub>
          <m:e>
            <m:r>
              <m:t>γ</m:t>
            </m:r>
          </m:e>
          <m:sub>
            <m:r>
              <m:t>a</m:t>
            </m:r>
            <m:r>
              <m:t>b</m:t>
            </m:r>
          </m:sub>
        </m:sSub>
        <m:r>
          <m:rPr>
            <m:sty m:val="p"/>
          </m:rPr>
          <m:t>≥</m:t>
        </m:r>
        <m:r>
          <m:t>1</m:t>
        </m:r>
      </m:oMath>
      <w:r>
        <w:t xml:space="preserve">. Our formulation adopts this congestion-weighting approach for both cost and emission transport terms.</w:t>
      </w:r>
    </w:p>
    <w:bookmarkEnd w:id="37"/>
    <w:bookmarkStart w:id="38" w:name="supply-chain-resilience"/>
    <w:p>
      <w:pPr>
        <w:pStyle w:val="Heading3"/>
      </w:pPr>
      <w:r>
        <w:rPr>
          <w:rStyle w:val="SectionNumber"/>
        </w:rPr>
        <w:t xml:space="preserve">7.4</w:t>
      </w:r>
      <w:r>
        <w:tab/>
      </w:r>
      <w:r>
        <w:t xml:space="preserve">2.4 Supply Chain Resilience</w:t>
      </w:r>
    </w:p>
    <w:p>
      <w:pPr>
        <w:pStyle w:val="FirstParagraph"/>
      </w:pPr>
      <w:r>
        <w:t xml:space="preserve">Resilience in supply chains refers to the ability of a network to withstand, adapt to, and recover from disruptions. The literature approaches resilience through two complementary paradigms:</w:t>
      </w:r>
    </w:p>
    <w:p>
      <w:pPr>
        <w:pStyle w:val="BodyText"/>
      </w:pPr>
      <w:r>
        <w:rPr>
          <w:b/>
          <w:bCs/>
        </w:rPr>
        <w:t xml:space="preserve">Hasani and Khosrojerdi (2016)</w:t>
      </w:r>
      <w:r>
        <w:t xml:space="preserve"> </w:t>
      </w:r>
      <w:r>
        <w:t xml:space="preserve">address resilience from a</w:t>
      </w:r>
      <w:r>
        <w:t xml:space="preserve"> </w:t>
      </w:r>
      <w:r>
        <w:rPr>
          <w:i/>
          <w:iCs/>
        </w:rPr>
        <w:t xml:space="preserve">structural diversification</w:t>
      </w:r>
      <w:r>
        <w:t xml:space="preserve"> </w:t>
      </w:r>
      <w:r>
        <w:t xml:space="preserve">perspective. Their insight is that supply chain vulnerability is fundamentally about concentration risk: a network where all demand is served by a single supplier or a single distribution centre is inherently fragile, regardless of how reliable that individual node is. They adopt the Herfindahl–Hirschman Index (HHI)—a measure originally developed for market concentration in antitrust economics—as a quantitative proxy for supply concentration. The HHI is defined as the sum of squared market shares; in the supply chain context,</w:t>
      </w:r>
      <w:r>
        <w:t xml:space="preserve"> </w:t>
      </w:r>
      <w:r>
        <w:t xml:space="preserve">“market shares”</w:t>
      </w:r>
      <w:r>
        <w:t xml:space="preserve"> </w:t>
      </w:r>
      <w:r>
        <w:t xml:space="preserve">become</w:t>
      </w:r>
      <w:r>
        <w:t xml:space="preserve"> </w:t>
      </w:r>
      <w:r>
        <w:t xml:space="preserve">“flow shares”</w:t>
      </w:r>
      <w:r>
        <w:t xml:space="preserve"> </w:t>
      </w:r>
      <w:r>
        <w:t xml:space="preserve">through each node. An HHI of 1.0 indicates total concentration (all flow through one node), while</w:t>
      </w:r>
      <w:r>
        <w:t xml:space="preserve"> </w:t>
      </w:r>
      <m:oMath>
        <m:r>
          <m:t>1</m:t>
        </m:r>
        <m:r>
          <m:rPr>
            <m:sty m:val="p"/>
          </m:rPr>
          <m:t>/</m:t>
        </m:r>
        <m:r>
          <m:t>n</m:t>
        </m:r>
      </m:oMath>
      <w:r>
        <w:t xml:space="preserve"> </w:t>
      </w:r>
      <w:r>
        <w:t xml:space="preserve">indicates perfect diversification across</w:t>
      </w:r>
      <w:r>
        <w:t xml:space="preserve"> </w:t>
      </w:r>
      <m:oMath>
        <m:r>
          <m:t>n</m:t>
        </m:r>
      </m:oMath>
      <w:r>
        <w:t xml:space="preserve"> </w:t>
      </w:r>
      <w:r>
        <w:t xml:space="preserve">nodes. Their model includes the HHI as a penalty term to encourage multi-sourcing. In our resilience objective (Section 4.4.1), we compute the HHI separately for upstream (supplier</w:t>
      </w:r>
      <w:r>
        <w:t xml:space="preserve"> </w:t>
      </w:r>
      <m:oMath>
        <m:r>
          <m:rPr>
            <m:sty m:val="p"/>
          </m:rPr>
          <m:t>→</m:t>
        </m:r>
      </m:oMath>
      <w:r>
        <w:t xml:space="preserve"> </w:t>
      </w:r>
      <w:r>
        <w:t xml:space="preserve">factory) and downstream (DC</w:t>
      </w:r>
      <w:r>
        <w:t xml:space="preserve"> </w:t>
      </w:r>
      <m:oMath>
        <m:r>
          <m:rPr>
            <m:sty m:val="p"/>
          </m:rPr>
          <m:t>→</m:t>
        </m:r>
      </m:oMath>
      <w:r>
        <w:t xml:space="preserve"> </w:t>
      </w:r>
      <w:r>
        <w:t xml:space="preserve">customer) flows, then average them to capture diversification at both ends of the supply chain.</w:t>
      </w:r>
    </w:p>
    <w:p>
      <w:pPr>
        <w:pStyle w:val="BodyText"/>
      </w:pPr>
      <w:r>
        <w:rPr>
          <w:b/>
          <w:bCs/>
        </w:rPr>
        <w:t xml:space="preserve">Snyder and Daskin (2005)</w:t>
      </w:r>
      <w:r>
        <w:t xml:space="preserve"> </w:t>
      </w:r>
      <w:r>
        <w:t xml:space="preserve">approach resilience from a</w:t>
      </w:r>
      <w:r>
        <w:t xml:space="preserve"> </w:t>
      </w:r>
      <w:r>
        <w:rPr>
          <w:i/>
          <w:iCs/>
        </w:rPr>
        <w:t xml:space="preserve">failure scenario</w:t>
      </w:r>
      <w:r>
        <w:t xml:space="preserve"> </w:t>
      </w:r>
      <w:r>
        <w:t xml:space="preserve">perspective. Rather than measuring diversification as a structural property, they directly quantify how much demand can still be served when specific nodes fail. Their</w:t>
      </w:r>
      <w:r>
        <w:t xml:space="preserve"> </w:t>
      </w:r>
      <w:r>
        <w:t xml:space="preserve">“reliability model for facility location”</w:t>
      </w:r>
      <w:r>
        <w:t xml:space="preserve"> </w:t>
      </w:r>
      <w:r>
        <w:t xml:space="preserve">defines the expected failure cost as the weighted sum of demand coverage losses across all possible facility failure scenarios. For a level-</w:t>
      </w:r>
      <m:oMath>
        <m:r>
          <m:t>r</m:t>
        </m:r>
      </m:oMath>
      <w:r>
        <w:t xml:space="preserve"> </w:t>
      </w:r>
      <w:r>
        <w:t xml:space="preserve">model, each demand point has</w:t>
      </w:r>
      <w:r>
        <w:t xml:space="preserve"> </w:t>
      </w:r>
      <m:oMath>
        <m:r>
          <m:t>r</m:t>
        </m:r>
      </m:oMath>
      <w:r>
        <w:t xml:space="preserve"> </w:t>
      </w:r>
      <w:r>
        <w:t xml:space="preserve">backup facilities assigned. In our adaptation (Section 4.4.2), we compute the worst-case single-node failure coverage: for each node</w:t>
      </w:r>
      <w:r>
        <w:t xml:space="preserve"> </w:t>
      </w:r>
      <m:oMath>
        <m:r>
          <m:t>n</m:t>
        </m:r>
      </m:oMath>
      <w:r>
        <w:t xml:space="preserve"> </w:t>
      </w:r>
      <w:r>
        <w:t xml:space="preserve">(supplier, factory, or DC), we calculate the fraction of total flow that passes through</w:t>
      </w:r>
      <w:r>
        <w:t xml:space="preserve"> </w:t>
      </w:r>
      <m:oMath>
        <m:r>
          <m:t>n</m:t>
        </m:r>
      </m:oMath>
      <w:r>
        <w:t xml:space="preserve">, and the coverage ratio is</w:t>
      </w:r>
      <w:r>
        <w:t xml:space="preserve"> </w:t>
      </w:r>
      <m:oMath>
        <m:r>
          <m:t>1</m:t>
        </m:r>
      </m:oMath>
      <w:r>
        <w:t xml:space="preserve"> </w:t>
      </w:r>
      <w:r>
        <w:t xml:space="preserve">minus that fraction. The minimum coverage across all nodes gives the worst-case vulnerability.</w:t>
      </w:r>
    </w:p>
    <w:p>
      <w:pPr>
        <w:pStyle w:val="BodyText"/>
      </w:pPr>
      <w:r>
        <w:rPr>
          <w:b/>
          <w:bCs/>
        </w:rPr>
        <w:t xml:space="preserve">Jabbarzadeh, Fahimnia, and Sabouhi (2018)</w:t>
      </w:r>
      <w:r>
        <w:t xml:space="preserve"> </w:t>
      </w:r>
      <w:r>
        <w:t xml:space="preserve">bridge cost and resilience by introducing unmet demand penalties. In their stochastic programming model for resilient and sustainable SCND, they penalise unmet demand with a cost of</w:t>
      </w:r>
      <w:r>
        <w:t xml:space="preserve"> </w:t>
      </w:r>
      <m:oMath>
        <m:r>
          <m:t>π</m:t>
        </m:r>
      </m:oMath>
      <w:r>
        <w:t xml:space="preserve"> </w:t>
      </w:r>
      <w:r>
        <w:t xml:space="preserve">per unit. This converts the hard demand constraint (</w:t>
      </w:r>
      <m:oMath>
        <m:r>
          <m:rPr>
            <m:nor/>
            <m:sty m:val="p"/>
          </m:rPr>
          <m:t>supply</m:t>
        </m:r>
        <m:r>
          <m:rPr>
            <m:sty m:val="p"/>
          </m:rPr>
          <m:t>≥</m:t>
        </m:r>
        <m:r>
          <m:rPr>
            <m:nor/>
            <m:sty m:val="p"/>
          </m:rPr>
          <m:t>demand</m:t>
        </m:r>
      </m:oMath>
      <w:r>
        <w:t xml:space="preserve">) into a soft penalty that naturally captures the trade-off between cost and service level under disruptions. Our cost objective (Equation 4.2) adopts their penalty formulation with</w:t>
      </w:r>
      <w:r>
        <w:t xml:space="preserve"> </w:t>
      </w:r>
      <m:oMath>
        <m:r>
          <m:t>π</m:t>
        </m:r>
        <m:r>
          <m:rPr>
            <m:sty m:val="p"/>
          </m:rPr>
          <m:t>=</m:t>
        </m:r>
        <m:r>
          <m:t>500</m:t>
        </m:r>
      </m:oMath>
      <w:r>
        <w:t xml:space="preserve"> </w:t>
      </w:r>
      <w:r>
        <w:t xml:space="preserve">$/unit.</w:t>
      </w:r>
    </w:p>
    <w:bookmarkEnd w:id="38"/>
    <w:bookmarkStart w:id="39" w:name="demand-forecasting"/>
    <w:p>
      <w:pPr>
        <w:pStyle w:val="Heading3"/>
      </w:pPr>
      <w:r>
        <w:rPr>
          <w:rStyle w:val="SectionNumber"/>
        </w:rPr>
        <w:t xml:space="preserve">7.5</w:t>
      </w:r>
      <w:r>
        <w:tab/>
      </w:r>
      <w:r>
        <w:t xml:space="preserve">2.5 Demand Forecasting</w:t>
      </w:r>
    </w:p>
    <w:p>
      <w:pPr>
        <w:pStyle w:val="FirstParagraph"/>
      </w:pPr>
      <w:r>
        <w:t xml:space="preserve">Accurate demand estimation is a prerequisite for meaningful network design.</w:t>
      </w:r>
      <w:r>
        <w:t xml:space="preserve"> </w:t>
      </w:r>
      <w:r>
        <w:rPr>
          <w:b/>
          <w:bCs/>
        </w:rPr>
        <w:t xml:space="preserve">Random Forest regression</w:t>
      </w:r>
      <w:r>
        <w:t xml:space="preserve">, introduced by</w:t>
      </w:r>
      <w:r>
        <w:t xml:space="preserve"> </w:t>
      </w:r>
      <w:r>
        <w:rPr>
          <w:b/>
          <w:bCs/>
        </w:rPr>
        <w:t xml:space="preserve">Breiman (2001)</w:t>
      </w:r>
      <w:r>
        <w:t xml:space="preserve">, is an ensemble method that constructs multiple decision trees on bootstrapped samples and averages their predictions. It is well-suited for supply chain demand forecasting because: (a) it captures non-linear demand patterns that arise from seasonality and regime changes, (b) it handles feature interactions without explicit specification, and (c) it is robust to outliers common in demand data. In this thesis, we enhance the basic Random Forest with engineered features including lag variables, Fourier seasonal components, and rolling statistics.</w:t>
      </w:r>
    </w:p>
    <w:bookmarkEnd w:id="39"/>
    <w:bookmarkStart w:id="40" w:name="research-gap"/>
    <w:p>
      <w:pPr>
        <w:pStyle w:val="Heading3"/>
      </w:pPr>
      <w:r>
        <w:rPr>
          <w:rStyle w:val="SectionNumber"/>
        </w:rPr>
        <w:t xml:space="preserve">7.6</w:t>
      </w:r>
      <w:r>
        <w:tab/>
      </w:r>
      <w:r>
        <w:t xml:space="preserve">2.6 Research Gap</w:t>
      </w:r>
    </w:p>
    <w:p>
      <w:pPr>
        <w:pStyle w:val="FirstParagraph"/>
      </w:pPr>
      <w:r>
        <w:t xml:space="preserve">While individual aspects of cost-efficient, green, and resilient SCND are well studied, there is a notable gap in works that integrate all three objectives in a single framework that additionally incorporates: (a) multi-modal transport mode decisions (road vs. rail), (b) congestion effects on both cost and emissions, (c) machine learning-based demand forecasting, and (d) simulation-based validation of the resilience metric. This thesis addresses this gap by developing an integrated pipeline that is reproducible and academically traceable.</w:t>
      </w:r>
    </w:p>
    <w:bookmarkEnd w:id="40"/>
    <w:bookmarkEnd w:id="41"/>
    <w:bookmarkStart w:id="49" w:name="X714a23803f5416611b36658a0e430c04bd09263"/>
    <w:p>
      <w:pPr>
        <w:pStyle w:val="Heading2"/>
      </w:pPr>
      <w:r>
        <w:rPr>
          <w:rStyle w:val="SectionNumber"/>
        </w:rPr>
        <w:t xml:space="preserve">8</w:t>
      </w:r>
      <w:r>
        <w:tab/>
      </w:r>
      <w:r>
        <w:t xml:space="preserve">Chapter 3: Problem Definition and Network Structure</w:t>
      </w:r>
    </w:p>
    <w:bookmarkStart w:id="45" w:name="network-topology"/>
    <w:p>
      <w:pPr>
        <w:pStyle w:val="Heading3"/>
      </w:pPr>
      <w:r>
        <w:rPr>
          <w:rStyle w:val="SectionNumber"/>
        </w:rPr>
        <w:t xml:space="preserve">8.1</w:t>
      </w:r>
      <w:r>
        <w:tab/>
      </w:r>
      <w:r>
        <w:t xml:space="preserve">3.1 Network Topology</w:t>
      </w:r>
    </w:p>
    <w:p>
      <w:pPr>
        <w:pStyle w:val="FirstParagraph"/>
      </w:pPr>
      <w:r>
        <w:t xml:space="preserve">The supply chain considered in this thesis is a</w:t>
      </w:r>
      <w:r>
        <w:t xml:space="preserve"> </w:t>
      </w:r>
      <w:r>
        <w:rPr>
          <w:b/>
          <w:bCs/>
        </w:rPr>
        <w:t xml:space="preserve">four-echelon, multi-modal network</w:t>
      </w:r>
      <w:r>
        <w:t xml:space="preserve"> </w:t>
      </w:r>
      <w:r>
        <w:t xml:space="preserve">mapped to the Indian automotive sector.</w:t>
      </w:r>
    </w:p>
    <w:p>
      <w:pPr>
        <w:pStyle w:val="BodyText"/>
      </w:pPr>
      <w:r>
        <w:rPr>
          <w:b/>
          <w:bCs/>
        </w:rPr>
        <w:t xml:space="preserve">Table 3.1: Network echelons and representative locations</w:t>
      </w:r>
    </w:p>
    <w:tbl>
      <w:tblPr>
        <w:tblStyle w:val="Table"/>
        <w:tblW w:type="pct" w:w="5000"/>
        <w:tblLayout w:type="fixed"/>
        <w:tblLook w:firstRow="1" w:lastRow="0" w:firstColumn="0" w:lastColumn="0" w:noHBand="0" w:noVBand="0" w:val="0020"/>
      </w:tblPr>
      <w:tblGrid>
        <w:gridCol w:w="1370"/>
        <w:gridCol w:w="1523"/>
        <w:gridCol w:w="1066"/>
        <w:gridCol w:w="3960"/>
      </w:tblGrid>
      <w:tr>
        <w:trPr>
          <w:tblHeader w:val="on"/>
        </w:trPr>
        <w:tc>
          <w:tcPr/>
          <w:p>
            <w:pPr>
              <w:pStyle w:val="Compact"/>
            </w:pPr>
            <w:r>
              <w:t xml:space="preserve">Echelon</w:t>
            </w:r>
          </w:p>
        </w:tc>
        <w:tc>
          <w:tcPr/>
          <w:p>
            <w:pPr>
              <w:pStyle w:val="Compact"/>
            </w:pPr>
            <w:r>
              <w:t xml:space="preserve">Notation</w:t>
            </w:r>
          </w:p>
        </w:tc>
        <w:tc>
          <w:tcPr/>
          <w:p>
            <w:pPr>
              <w:pStyle w:val="Compact"/>
            </w:pPr>
            <w:r>
              <w:t xml:space="preserve">Count</w:t>
            </w:r>
          </w:p>
        </w:tc>
        <w:tc>
          <w:tcPr/>
          <w:p>
            <w:pPr>
              <w:pStyle w:val="Compact"/>
            </w:pPr>
            <w:r>
              <w:t xml:space="preserve">Representative Locations</w:t>
            </w:r>
          </w:p>
        </w:tc>
      </w:tr>
      <w:tr>
        <w:tc>
          <w:tcPr/>
          <w:p>
            <w:pPr>
              <w:pStyle w:val="Compact"/>
            </w:pPr>
            <w:r>
              <w:t xml:space="preserve">Suppliers</w:t>
            </w:r>
          </w:p>
        </w:tc>
        <w:tc>
          <w:tcPr/>
          <w:p>
            <w:pPr>
              <w:pStyle w:val="Compact"/>
            </w:pPr>
            <m:oMath>
              <m:r>
                <m:t>I</m:t>
              </m:r>
              <m:r>
                <m:rPr>
                  <m:sty m:val="p"/>
                </m:rPr>
                <m:t>=</m:t>
              </m:r>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oMath>
          </w:p>
        </w:tc>
        <w:tc>
          <w:tcPr/>
          <w:p>
            <w:pPr>
              <w:pStyle w:val="Compact"/>
            </w:pPr>
            <w:r>
              <w:t xml:space="preserve">3</w:t>
            </w:r>
          </w:p>
        </w:tc>
        <w:tc>
          <w:tcPr/>
          <w:p>
            <w:pPr>
              <w:pStyle w:val="Compact"/>
            </w:pPr>
            <w:r>
              <w:t xml:space="preserve">Pune, Chennai, Manesar</w:t>
            </w:r>
          </w:p>
        </w:tc>
      </w:tr>
      <w:tr>
        <w:tc>
          <w:tcPr/>
          <w:p>
            <w:pPr>
              <w:pStyle w:val="Compact"/>
            </w:pPr>
            <w:r>
              <w:t xml:space="preserve">Factories</w:t>
            </w:r>
          </w:p>
        </w:tc>
        <w:tc>
          <w:tcPr/>
          <w:p>
            <w:pPr>
              <w:pStyle w:val="Compact"/>
            </w:pPr>
            <m:oMath>
              <m:r>
                <m:t>J</m:t>
              </m:r>
              <m:r>
                <m:rPr>
                  <m:sty m:val="p"/>
                </m:rPr>
                <m:t>=</m:t>
              </m:r>
              <m:r>
                <m:rPr>
                  <m:sty m:val="p"/>
                </m:rPr>
                <m:t>{</m:t>
              </m:r>
              <m:sSub>
                <m:e>
                  <m:r>
                    <m:t>F</m:t>
                  </m:r>
                </m:e>
                <m:sub>
                  <m:r>
                    <m:t>1</m:t>
                  </m:r>
                </m:sub>
              </m:sSub>
              <m:r>
                <m:rPr>
                  <m:sty m:val="p"/>
                </m:rPr>
                <m:t>,</m:t>
              </m:r>
              <m:sSub>
                <m:e>
                  <m:r>
                    <m:t>F</m:t>
                  </m:r>
                </m:e>
                <m:sub>
                  <m:r>
                    <m:t>2</m:t>
                  </m:r>
                </m:sub>
              </m:sSub>
              <m:r>
                <m:rPr>
                  <m:sty m:val="p"/>
                </m:rPr>
                <m:t>}</m:t>
              </m:r>
            </m:oMath>
          </w:p>
        </w:tc>
        <w:tc>
          <w:tcPr/>
          <w:p>
            <w:pPr>
              <w:pStyle w:val="Compact"/>
            </w:pPr>
            <w:r>
              <w:t xml:space="preserve">2</w:t>
            </w:r>
          </w:p>
        </w:tc>
        <w:tc>
          <w:tcPr/>
          <w:p>
            <w:pPr>
              <w:pStyle w:val="Compact"/>
            </w:pPr>
            <w:r>
              <w:t xml:space="preserve">Gujarat, Haryana</w:t>
            </w:r>
          </w:p>
        </w:tc>
      </w:tr>
      <w:tr>
        <w:tc>
          <w:tcPr/>
          <w:p>
            <w:pPr>
              <w:pStyle w:val="Compact"/>
            </w:pPr>
            <w:r>
              <w:t xml:space="preserve">Distribution Centres</w:t>
            </w:r>
          </w:p>
        </w:tc>
        <w:tc>
          <w:tcPr/>
          <w:p>
            <w:pPr>
              <w:pStyle w:val="Compact"/>
            </w:pPr>
            <m:oMath>
              <m:r>
                <m:t>K</m:t>
              </m:r>
              <m:r>
                <m:rPr>
                  <m:sty m:val="p"/>
                </m:rPr>
                <m:t>=</m:t>
              </m:r>
              <m:r>
                <m:rPr>
                  <m:sty m:val="p"/>
                </m:rPr>
                <m:t>{</m:t>
              </m:r>
              <m:sSub>
                <m:e>
                  <m:r>
                    <m:t>D</m:t>
                  </m:r>
                </m:e>
                <m:sub>
                  <m:r>
                    <m:t>1</m:t>
                  </m:r>
                </m:sub>
              </m:sSub>
              <m:r>
                <m:rPr>
                  <m:sty m:val="p"/>
                </m:rPr>
                <m:t>,</m:t>
              </m:r>
              <m:sSub>
                <m:e>
                  <m:r>
                    <m:t>D</m:t>
                  </m:r>
                </m:e>
                <m:sub>
                  <m:r>
                    <m:t>2</m:t>
                  </m:r>
                </m:sub>
              </m:sSub>
              <m:r>
                <m:rPr>
                  <m:sty m:val="p"/>
                </m:rPr>
                <m:t>,</m:t>
              </m:r>
              <m:sSub>
                <m:e>
                  <m:r>
                    <m:t>D</m:t>
                  </m:r>
                </m:e>
                <m:sub>
                  <m:r>
                    <m:t>3</m:t>
                  </m:r>
                </m:sub>
              </m:sSub>
              <m:r>
                <m:rPr>
                  <m:sty m:val="p"/>
                </m:rPr>
                <m:t>}</m:t>
              </m:r>
            </m:oMath>
          </w:p>
        </w:tc>
        <w:tc>
          <w:tcPr/>
          <w:p>
            <w:pPr>
              <w:pStyle w:val="Compact"/>
            </w:pPr>
            <w:r>
              <w:t xml:space="preserve">3</w:t>
            </w:r>
          </w:p>
        </w:tc>
        <w:tc>
          <w:tcPr/>
          <w:p>
            <w:pPr>
              <w:pStyle w:val="Compact"/>
            </w:pPr>
            <w:r>
              <w:t xml:space="preserve">Delhi, Mumbai, Bangalore</w:t>
            </w:r>
          </w:p>
        </w:tc>
      </w:tr>
      <w:tr>
        <w:tc>
          <w:tcPr/>
          <w:p>
            <w:pPr>
              <w:pStyle w:val="Compact"/>
            </w:pPr>
            <w:r>
              <w:t xml:space="preserve">Customers</w:t>
            </w:r>
          </w:p>
        </w:tc>
        <w:tc>
          <w:tcPr/>
          <w:p>
            <w:pPr>
              <w:pStyle w:val="Compact"/>
            </w:pPr>
            <m:oMath>
              <m:r>
                <m:t>L</m:t>
              </m:r>
              <m:r>
                <m:rPr>
                  <m:sty m:val="p"/>
                </m:rPr>
                <m:t>=</m:t>
              </m:r>
              <m:r>
                <m:rPr>
                  <m:sty m:val="p"/>
                </m:rPr>
                <m:t>{</m:t>
              </m:r>
              <m:sSub>
                <m:e>
                  <m:r>
                    <m:t>C</m:t>
                  </m:r>
                </m:e>
                <m:sub>
                  <m:r>
                    <m:t>1</m:t>
                  </m:r>
                </m:sub>
              </m:sSub>
              <m:r>
                <m:rPr>
                  <m:sty m:val="p"/>
                </m:rPr>
                <m:t>,</m:t>
              </m:r>
              <m:r>
                <m:rPr>
                  <m:sty m:val="p"/>
                </m:rPr>
                <m:t>…</m:t>
              </m:r>
              <m:r>
                <m:rPr>
                  <m:sty m:val="p"/>
                </m:rPr>
                <m:t>,</m:t>
              </m:r>
              <m:sSub>
                <m:e>
                  <m:r>
                    <m:t>C</m:t>
                  </m:r>
                </m:e>
                <m:sub>
                  <m:r>
                    <m:t>5</m:t>
                  </m:r>
                </m:sub>
              </m:sSub>
              <m:r>
                <m:rPr>
                  <m:sty m:val="p"/>
                </m:rPr>
                <m:t>}</m:t>
              </m:r>
            </m:oMath>
          </w:p>
        </w:tc>
        <w:tc>
          <w:tcPr/>
          <w:p>
            <w:pPr>
              <w:pStyle w:val="Compact"/>
            </w:pPr>
            <w:r>
              <w:t xml:space="preserve">5</w:t>
            </w:r>
          </w:p>
        </w:tc>
        <w:tc>
          <w:tcPr/>
          <w:p>
            <w:pPr>
              <w:pStyle w:val="Compact"/>
            </w:pPr>
            <w:r>
              <w:t xml:space="preserve">Lucknow, Nagpur, Hyderabad, Ahmedabad, Coimbatore</w:t>
            </w:r>
          </w:p>
        </w:tc>
      </w:tr>
      <w:tr>
        <w:tc>
          <w:tcPr/>
          <w:p>
            <w:pPr>
              <w:pStyle w:val="Compact"/>
            </w:pPr>
            <w:r>
              <w:t xml:space="preserve">Transport Modes</w:t>
            </w:r>
          </w:p>
        </w:tc>
        <w:tc>
          <w:tcPr/>
          <w:p>
            <w:pPr>
              <w:pStyle w:val="Compact"/>
            </w:pPr>
            <m:oMath>
              <m:r>
                <m:t>M</m:t>
              </m:r>
              <m:r>
                <m:rPr>
                  <m:sty m:val="p"/>
                </m:rPr>
                <m:t>=</m:t>
              </m:r>
              <m:r>
                <m:rPr>
                  <m:sty m:val="p"/>
                </m:rPr>
                <m:t>{</m:t>
              </m:r>
              <m:sSub>
                <m:e>
                  <m:r>
                    <m:t>m</m:t>
                  </m:r>
                </m:e>
                <m:sub>
                  <m:r>
                    <m:t>1</m:t>
                  </m:r>
                </m:sub>
              </m:sSub>
              <m:r>
                <m:rPr>
                  <m:sty m:val="p"/>
                </m:rPr>
                <m:t>,</m:t>
              </m:r>
              <m:sSub>
                <m:e>
                  <m:r>
                    <m:t>m</m:t>
                  </m:r>
                </m:e>
                <m:sub>
                  <m:r>
                    <m:t>2</m:t>
                  </m:r>
                </m:sub>
              </m:sSub>
              <m:r>
                <m:rPr>
                  <m:sty m:val="p"/>
                </m:rPr>
                <m:t>}</m:t>
              </m:r>
            </m:oMath>
          </w:p>
        </w:tc>
        <w:tc>
          <w:tcPr/>
          <w:p>
            <w:pPr>
              <w:pStyle w:val="Compact"/>
            </w:pPr>
            <w:r>
              <w:t xml:space="preserve">2</w:t>
            </w:r>
          </w:p>
        </w:tc>
        <w:tc>
          <w:tcPr/>
          <w:p>
            <w:pPr>
              <w:pStyle w:val="Compact"/>
            </w:pPr>
            <w:r>
              <w:t xml:space="preserve">Road, Rail</w:t>
            </w:r>
          </w:p>
        </w:tc>
      </w:tr>
    </w:tbl>
    <w:p>
      <w:pPr>
        <w:pStyle w:val="BodyText"/>
      </w:pPr>
      <w:r>
        <w:t xml:space="preserve">Material flows follow the sequence Suppliers</w:t>
      </w:r>
      <w:r>
        <w:t xml:space="preserve"> </w:t>
      </w:r>
      <m:oMath>
        <m:r>
          <m:rPr>
            <m:sty m:val="p"/>
          </m:rPr>
          <m:t>→</m:t>
        </m:r>
      </m:oMath>
      <w:r>
        <w:t xml:space="preserve"> </w:t>
      </w:r>
      <w:r>
        <w:t xml:space="preserve">Factories</w:t>
      </w:r>
      <w:r>
        <w:t xml:space="preserve"> </w:t>
      </w:r>
      <m:oMath>
        <m:r>
          <m:rPr>
            <m:sty m:val="p"/>
          </m:rPr>
          <m:t>→</m:t>
        </m:r>
      </m:oMath>
      <w:r>
        <w:t xml:space="preserve"> </w:t>
      </w:r>
      <w:r>
        <w:t xml:space="preserve">DCs</w:t>
      </w:r>
      <w:r>
        <w:t xml:space="preserve"> </w:t>
      </w:r>
      <m:oMath>
        <m:r>
          <m:rPr>
            <m:sty m:val="p"/>
          </m:rPr>
          <m:t>→</m:t>
        </m:r>
      </m:oMath>
      <w:r>
        <w:t xml:space="preserve"> </w:t>
      </w:r>
      <w:r>
        <w:t xml:space="preserve">Customers. Each arc between consecutive echelons can utilise either road or rail transport, yielding a bimodal network with three layers of flow decisions. The geographic layout of the network is shown in Figure 3.1.</w:t>
      </w:r>
    </w:p>
    <w:p>
      <w:pPr>
        <w:pStyle w:val="CaptionedFigure"/>
      </w:pPr>
      <w:r>
        <w:drawing>
          <wp:inline>
            <wp:extent cx="5334000" cy="4253696"/>
            <wp:effectExtent b="0" l="0" r="0" t="0"/>
            <wp:docPr descr="Figure 3.1: Supply chain network topology mapped to Indian automotive geography. Suppliers (green squares), Factories (blue triangles), DCs (orange diamonds), and Customers (red circles)." title="" id="43" name="Picture"/>
            <a:graphic>
              <a:graphicData uri="http://schemas.openxmlformats.org/drawingml/2006/picture">
                <pic:pic>
                  <pic:nvPicPr>
                    <pic:cNvPr descr="results/figures/network_topology.png" id="44" name="Picture"/>
                    <pic:cNvPicPr>
                      <a:picLocks noChangeArrowheads="1" noChangeAspect="1"/>
                    </pic:cNvPicPr>
                  </pic:nvPicPr>
                  <pic:blipFill>
                    <a:blip r:embed="rId42"/>
                    <a:stretch>
                      <a:fillRect/>
                    </a:stretch>
                  </pic:blipFill>
                  <pic:spPr bwMode="auto">
                    <a:xfrm>
                      <a:off x="0" y="0"/>
                      <a:ext cx="5334000" cy="4253696"/>
                    </a:xfrm>
                    <a:prstGeom prst="rect">
                      <a:avLst/>
                    </a:prstGeom>
                    <a:noFill/>
                    <a:ln w="9525">
                      <a:noFill/>
                      <a:headEnd/>
                      <a:tailEnd/>
                    </a:ln>
                  </pic:spPr>
                </pic:pic>
              </a:graphicData>
            </a:graphic>
          </wp:inline>
        </w:drawing>
      </w:r>
    </w:p>
    <w:p>
      <w:pPr>
        <w:pStyle w:val="ImageCaption"/>
      </w:pPr>
      <w:r>
        <w:t xml:space="preserve">Figure 3.1: Supply chain network topology mapped to Indian automotive geography. Suppliers (green squares), Factories (blue triangles), DCs (orange diamonds), and Customers (red circles).</w:t>
      </w:r>
    </w:p>
    <w:bookmarkEnd w:id="45"/>
    <w:bookmarkStart w:id="46" w:name="decision-variables-1"/>
    <w:p>
      <w:pPr>
        <w:pStyle w:val="Heading3"/>
      </w:pPr>
      <w:r>
        <w:rPr>
          <w:rStyle w:val="SectionNumber"/>
        </w:rPr>
        <w:t xml:space="preserve">8.2</w:t>
      </w:r>
      <w:r>
        <w:tab/>
      </w:r>
      <w:r>
        <w:t xml:space="preserve">3.2 Decision Variables</w:t>
      </w:r>
    </w:p>
    <w:p>
      <w:pPr>
        <w:pStyle w:val="Compact"/>
        <w:numPr>
          <w:ilvl w:val="0"/>
          <w:numId w:val="1005"/>
        </w:numPr>
      </w:pPr>
      <m:oMath>
        <m:sSub>
          <m:e>
            <m:r>
              <m:t>x</m:t>
            </m:r>
          </m:e>
          <m:sub>
            <m:r>
              <m:t>i</m:t>
            </m:r>
            <m:r>
              <m:t>j</m:t>
            </m:r>
            <m:r>
              <m:t>m</m:t>
            </m:r>
          </m:sub>
        </m:sSub>
        <m:r>
          <m:rPr>
            <m:sty m:val="p"/>
          </m:rPr>
          <m:t>≥</m:t>
        </m:r>
        <m:r>
          <m:t>0</m:t>
        </m:r>
      </m:oMath>
      <w:r>
        <w:t xml:space="preserve">: Units shipped from supplier</w:t>
      </w:r>
      <w:r>
        <w:t xml:space="preserve"> </w:t>
      </w:r>
      <m:oMath>
        <m:r>
          <m:t>i</m:t>
        </m:r>
        <m:r>
          <m:rPr>
            <m:sty m:val="p"/>
          </m:rPr>
          <m:t>∈</m:t>
        </m:r>
        <m:r>
          <m:t>I</m:t>
        </m:r>
      </m:oMath>
      <w:r>
        <w:t xml:space="preserve"> </w:t>
      </w:r>
      <w:r>
        <w:t xml:space="preserve">to factory</w:t>
      </w:r>
      <w:r>
        <w:t xml:space="preserve"> </w:t>
      </w:r>
      <m:oMath>
        <m:r>
          <m:t>j</m:t>
        </m:r>
        <m:r>
          <m:rPr>
            <m:sty m:val="p"/>
          </m:rPr>
          <m:t>∈</m:t>
        </m:r>
        <m:r>
          <m:t>J</m:t>
        </m:r>
      </m:oMath>
      <w:r>
        <w:t xml:space="preserve"> </w:t>
      </w:r>
      <w:r>
        <w:t xml:space="preserve">via mode</w:t>
      </w:r>
      <w:r>
        <w:t xml:space="preserve"> </w:t>
      </w:r>
      <m:oMath>
        <m:r>
          <m:t>m</m:t>
        </m:r>
        <m:r>
          <m:rPr>
            <m:sty m:val="p"/>
          </m:rPr>
          <m:t>∈</m:t>
        </m:r>
        <m:r>
          <m:t>M</m:t>
        </m:r>
      </m:oMath>
    </w:p>
    <w:p>
      <w:pPr>
        <w:pStyle w:val="Compact"/>
        <w:numPr>
          <w:ilvl w:val="0"/>
          <w:numId w:val="1005"/>
        </w:numPr>
      </w:pPr>
      <m:oMath>
        <m:sSub>
          <m:e>
            <m:r>
              <m:t>y</m:t>
            </m:r>
          </m:e>
          <m:sub>
            <m:r>
              <m:t>j</m:t>
            </m:r>
            <m:r>
              <m:t>k</m:t>
            </m:r>
            <m:r>
              <m:t>m</m:t>
            </m:r>
          </m:sub>
        </m:sSub>
        <m:r>
          <m:rPr>
            <m:sty m:val="p"/>
          </m:rPr>
          <m:t>≥</m:t>
        </m:r>
        <m:r>
          <m:t>0</m:t>
        </m:r>
      </m:oMath>
      <w:r>
        <w:t xml:space="preserve">: Units shipped from factory</w:t>
      </w:r>
      <w:r>
        <w:t xml:space="preserve"> </w:t>
      </w:r>
      <m:oMath>
        <m:r>
          <m:t>j</m:t>
        </m:r>
        <m:r>
          <m:rPr>
            <m:sty m:val="p"/>
          </m:rPr>
          <m:t>∈</m:t>
        </m:r>
        <m:r>
          <m:t>J</m:t>
        </m:r>
      </m:oMath>
      <w:r>
        <w:t xml:space="preserve"> </w:t>
      </w:r>
      <w:r>
        <w:t xml:space="preserve">to DC</w:t>
      </w:r>
      <w:r>
        <w:t xml:space="preserve"> </w:t>
      </w:r>
      <m:oMath>
        <m:r>
          <m:t>k</m:t>
        </m:r>
        <m:r>
          <m:rPr>
            <m:sty m:val="p"/>
          </m:rPr>
          <m:t>∈</m:t>
        </m:r>
        <m:r>
          <m:t>K</m:t>
        </m:r>
      </m:oMath>
      <w:r>
        <w:t xml:space="preserve"> </w:t>
      </w:r>
      <w:r>
        <w:t xml:space="preserve">via mode</w:t>
      </w:r>
      <w:r>
        <w:t xml:space="preserve"> </w:t>
      </w:r>
      <m:oMath>
        <m:r>
          <m:t>m</m:t>
        </m:r>
        <m:r>
          <m:rPr>
            <m:sty m:val="p"/>
          </m:rPr>
          <m:t>∈</m:t>
        </m:r>
        <m:r>
          <m:t>M</m:t>
        </m:r>
      </m:oMath>
    </w:p>
    <w:p>
      <w:pPr>
        <w:pStyle w:val="Compact"/>
        <w:numPr>
          <w:ilvl w:val="0"/>
          <w:numId w:val="1005"/>
        </w:numPr>
      </w:pPr>
      <m:oMath>
        <m:sSub>
          <m:e>
            <m:r>
              <m:t>z</m:t>
            </m:r>
          </m:e>
          <m:sub>
            <m:r>
              <m:t>k</m:t>
            </m:r>
            <m:r>
              <m:t>l</m:t>
            </m:r>
            <m:r>
              <m:t>m</m:t>
            </m:r>
          </m:sub>
        </m:sSub>
        <m:r>
          <m:rPr>
            <m:sty m:val="p"/>
          </m:rPr>
          <m:t>≥</m:t>
        </m:r>
        <m:r>
          <m:t>0</m:t>
        </m:r>
      </m:oMath>
      <w:r>
        <w:t xml:space="preserve">: Units shipped from DC</w:t>
      </w:r>
      <w:r>
        <w:t xml:space="preserve"> </w:t>
      </w:r>
      <m:oMath>
        <m:r>
          <m:t>k</m:t>
        </m:r>
        <m:r>
          <m:rPr>
            <m:sty m:val="p"/>
          </m:rPr>
          <m:t>∈</m:t>
        </m:r>
        <m:r>
          <m:t>K</m:t>
        </m:r>
      </m:oMath>
      <w:r>
        <w:t xml:space="preserve"> </w:t>
      </w:r>
      <w:r>
        <w:t xml:space="preserve">to customer</w:t>
      </w:r>
      <w:r>
        <w:t xml:space="preserve"> </w:t>
      </w:r>
      <m:oMath>
        <m:r>
          <m:t>l</m:t>
        </m:r>
        <m:r>
          <m:rPr>
            <m:sty m:val="p"/>
          </m:rPr>
          <m:t>∈</m:t>
        </m:r>
        <m:r>
          <m:t>L</m:t>
        </m:r>
      </m:oMath>
      <w:r>
        <w:t xml:space="preserve"> </w:t>
      </w:r>
      <w:r>
        <w:t xml:space="preserve">via mode</w:t>
      </w:r>
      <w:r>
        <w:t xml:space="preserve"> </w:t>
      </w:r>
      <m:oMath>
        <m:r>
          <m:t>m</m:t>
        </m:r>
        <m:r>
          <m:rPr>
            <m:sty m:val="p"/>
          </m:rPr>
          <m:t>∈</m:t>
        </m:r>
        <m:r>
          <m:t>M</m:t>
        </m:r>
      </m:oMath>
    </w:p>
    <w:p>
      <w:pPr>
        <w:pStyle w:val="FirstParagraph"/>
      </w:pPr>
      <w:r>
        <w:t xml:space="preserve">The total number of continuous decision variables is:</w:t>
      </w:r>
    </w:p>
    <w:p>
      <w:pPr>
        <w:pStyle w:val="BodyText"/>
      </w:pPr>
      <m:oMathPara>
        <m:oMathParaPr>
          <m:jc m:val="center"/>
        </m:oMathParaPr>
        <m:oMath>
          <m:sSub>
            <m:e>
              <m:r>
                <m:t>n</m:t>
              </m:r>
            </m:e>
            <m:sub>
              <m:r>
                <m:rPr>
                  <m:nor/>
                  <m:sty m:val="p"/>
                </m:rPr>
                <m:t>vars</m:t>
              </m:r>
            </m:sub>
          </m:sSub>
          <m:r>
            <m:rPr>
              <m:sty m:val="p"/>
            </m:rPr>
            <m:t>=</m:t>
          </m:r>
          <m:r>
            <m:rPr>
              <m:sty m:val="p"/>
            </m:rPr>
            <m:t>|</m:t>
          </m:r>
          <m:r>
            <m:t>I</m:t>
          </m:r>
          <m:r>
            <m:rPr>
              <m:sty m:val="p"/>
            </m:rPr>
            <m:t>|</m:t>
          </m:r>
          <m:r>
            <m:rPr>
              <m:sty m:val="p"/>
            </m:rPr>
            <m:t>⋅</m:t>
          </m:r>
          <m:r>
            <m:rPr>
              <m:sty m:val="p"/>
            </m:rPr>
            <m:t>|</m:t>
          </m:r>
          <m:r>
            <m:t>J</m:t>
          </m:r>
          <m:r>
            <m:rPr>
              <m:sty m:val="p"/>
            </m:rPr>
            <m:t>|</m:t>
          </m:r>
          <m:r>
            <m:rPr>
              <m:sty m:val="p"/>
            </m:rPr>
            <m:t>⋅</m:t>
          </m:r>
          <m:r>
            <m:rPr>
              <m:sty m:val="p"/>
            </m:rPr>
            <m:t>|</m:t>
          </m:r>
          <m:r>
            <m:t>M</m:t>
          </m:r>
          <m:r>
            <m:rPr>
              <m:sty m:val="p"/>
            </m:rPr>
            <m:t>|</m:t>
          </m:r>
          <m:r>
            <m:rPr>
              <m:sty m:val="p"/>
            </m:rPr>
            <m:t>+</m:t>
          </m:r>
          <m:r>
            <m:rPr>
              <m:sty m:val="p"/>
            </m:rPr>
            <m:t>|</m:t>
          </m:r>
          <m:r>
            <m:t>J</m:t>
          </m:r>
          <m:r>
            <m:rPr>
              <m:sty m:val="p"/>
            </m:rPr>
            <m:t>|</m:t>
          </m:r>
          <m:r>
            <m:rPr>
              <m:sty m:val="p"/>
            </m:rPr>
            <m:t>⋅</m:t>
          </m:r>
          <m:r>
            <m:rPr>
              <m:sty m:val="p"/>
            </m:rPr>
            <m:t>|</m:t>
          </m:r>
          <m:r>
            <m:t>K</m:t>
          </m:r>
          <m:r>
            <m:rPr>
              <m:sty m:val="p"/>
            </m:rPr>
            <m:t>|</m:t>
          </m:r>
          <m:r>
            <m:rPr>
              <m:sty m:val="p"/>
            </m:rPr>
            <m:t>⋅</m:t>
          </m:r>
          <m:r>
            <m:rPr>
              <m:sty m:val="p"/>
            </m:rPr>
            <m:t>|</m:t>
          </m:r>
          <m:r>
            <m:t>M</m:t>
          </m:r>
          <m:r>
            <m:rPr>
              <m:sty m:val="p"/>
            </m:rPr>
            <m:t>|</m:t>
          </m:r>
          <m:r>
            <m:rPr>
              <m:sty m:val="p"/>
            </m:rPr>
            <m:t>+</m:t>
          </m:r>
          <m:r>
            <m:rPr>
              <m:sty m:val="p"/>
            </m:rPr>
            <m:t>|</m:t>
          </m:r>
          <m:r>
            <m:t>K</m:t>
          </m:r>
          <m:r>
            <m:rPr>
              <m:sty m:val="p"/>
            </m:rPr>
            <m:t>|</m:t>
          </m:r>
          <m:r>
            <m:rPr>
              <m:sty m:val="p"/>
            </m:rPr>
            <m:t>⋅</m:t>
          </m:r>
          <m:r>
            <m:rPr>
              <m:sty m:val="p"/>
            </m:rPr>
            <m:t>|</m:t>
          </m:r>
          <m:r>
            <m:t>L</m:t>
          </m:r>
          <m:r>
            <m:rPr>
              <m:sty m:val="p"/>
            </m:rPr>
            <m:t>|</m:t>
          </m:r>
          <m:r>
            <m:rPr>
              <m:sty m:val="p"/>
            </m:rPr>
            <m:t>⋅</m:t>
          </m:r>
          <m:r>
            <m:rPr>
              <m:sty m:val="p"/>
            </m:rPr>
            <m:t>|</m:t>
          </m:r>
          <m:r>
            <m:t>M</m:t>
          </m:r>
          <m:r>
            <m:rPr>
              <m:sty m:val="p"/>
            </m:rPr>
            <m:t>|</m:t>
          </m:r>
          <m:r>
            <m:rPr>
              <m:sty m:val="p"/>
            </m:rPr>
            <m:t>=</m:t>
          </m:r>
          <m:r>
            <m:t>3</m:t>
          </m:r>
          <m:r>
            <m:rPr>
              <m:sty m:val="p"/>
            </m:rPr>
            <m:t>×</m:t>
          </m:r>
          <m:r>
            <m:t>2</m:t>
          </m:r>
          <m:r>
            <m:rPr>
              <m:sty m:val="p"/>
            </m:rPr>
            <m:t>×</m:t>
          </m:r>
          <m:r>
            <m:t>2</m:t>
          </m:r>
          <m:r>
            <m:rPr>
              <m:sty m:val="p"/>
            </m:rPr>
            <m:t>+</m:t>
          </m:r>
          <m:r>
            <m:t>2</m:t>
          </m:r>
          <m:r>
            <m:rPr>
              <m:sty m:val="p"/>
            </m:rPr>
            <m:t>×</m:t>
          </m:r>
          <m:r>
            <m:t>3</m:t>
          </m:r>
          <m:r>
            <m:rPr>
              <m:sty m:val="p"/>
            </m:rPr>
            <m:t>×</m:t>
          </m:r>
          <m:r>
            <m:t>2</m:t>
          </m:r>
          <m:r>
            <m:rPr>
              <m:sty m:val="p"/>
            </m:rPr>
            <m:t>+</m:t>
          </m:r>
          <m:r>
            <m:t>3</m:t>
          </m:r>
          <m:r>
            <m:rPr>
              <m:sty m:val="p"/>
            </m:rPr>
            <m:t>×</m:t>
          </m:r>
          <m:r>
            <m:t>5</m:t>
          </m:r>
          <m:r>
            <m:rPr>
              <m:sty m:val="p"/>
            </m:rPr>
            <m:t>×</m:t>
          </m:r>
          <m:r>
            <m:t>2</m:t>
          </m:r>
          <m:r>
            <m:rPr>
              <m:sty m:val="p"/>
            </m:rPr>
            <m:t>=</m:t>
          </m:r>
          <m:r>
            <m:t>54</m:t>
          </m:r>
        </m:oMath>
      </m:oMathPara>
    </w:p>
    <w:bookmarkEnd w:id="46"/>
    <w:bookmarkStart w:id="47" w:name="constraints"/>
    <w:p>
      <w:pPr>
        <w:pStyle w:val="Heading3"/>
      </w:pPr>
      <w:r>
        <w:rPr>
          <w:rStyle w:val="SectionNumber"/>
        </w:rPr>
        <w:t xml:space="preserve">8.3</w:t>
      </w:r>
      <w:r>
        <w:tab/>
      </w:r>
      <w:r>
        <w:t xml:space="preserve">3.3 Constraints</w:t>
      </w:r>
    </w:p>
    <w:p>
      <w:pPr>
        <w:pStyle w:val="FirstParagraph"/>
      </w:pPr>
      <w:r>
        <w:rPr>
          <w:b/>
          <w:bCs/>
        </w:rPr>
        <w:t xml:space="preserve">Constraint 1 — Supply capacity.</w:t>
      </w:r>
      <w:r>
        <w:t xml:space="preserve"> </w:t>
      </w:r>
      <w:r>
        <w:t xml:space="preserve">The total outflow from each supplier must not exceed its capacity:</w:t>
      </w:r>
    </w:p>
    <w:p>
      <w:pPr>
        <w:pStyle w:val="BodyText"/>
      </w:pPr>
      <m:oMathPara>
        <m:oMathParaPr>
          <m:jc m:val="center"/>
        </m:oMathParaPr>
        <m:oMath>
          <m:nary>
            <m:naryPr>
              <m:chr m:val="∑"/>
              <m:limLoc m:val="undOvr"/>
              <m:subHide m:val="off"/>
              <m:supHide m:val="on"/>
            </m:naryPr>
            <m:sub>
              <m:r>
                <m:t>j</m:t>
              </m:r>
              <m:r>
                <m:rPr>
                  <m:sty m:val="p"/>
                </m:rPr>
                <m:t>∈</m:t>
              </m:r>
              <m:r>
                <m:t>J</m:t>
              </m:r>
            </m:sub>
            <m:sup>
              <m:r>
                <m:t>​</m:t>
              </m:r>
            </m:sup>
            <m:e>
              <m:nary>
                <m:naryPr>
                  <m:chr m:val="∑"/>
                  <m:limLoc m:val="undOvr"/>
                  <m:subHide m:val="off"/>
                  <m:supHide m:val="on"/>
                </m:naryPr>
                <m:sub>
                  <m:r>
                    <m:t>m</m:t>
                  </m:r>
                  <m:r>
                    <m:rPr>
                      <m:sty m:val="p"/>
                    </m:rPr>
                    <m:t>∈</m:t>
                  </m:r>
                  <m:r>
                    <m:t>M</m:t>
                  </m:r>
                </m:sub>
                <m:sup>
                  <m:r>
                    <m:t>​</m:t>
                  </m:r>
                </m:sup>
                <m:e>
                  <m:sSub>
                    <m:e>
                      <m:r>
                        <m:t>x</m:t>
                      </m:r>
                    </m:e>
                    <m:sub>
                      <m:r>
                        <m:t>i</m:t>
                      </m:r>
                      <m:r>
                        <m:t>j</m:t>
                      </m:r>
                      <m:r>
                        <m:t>m</m:t>
                      </m:r>
                    </m:sub>
                  </m:sSub>
                </m:e>
              </m:nary>
            </m:e>
          </m:nary>
          <m:r>
            <m:rPr>
              <m:sty m:val="p"/>
            </m:rPr>
            <m:t>≤</m:t>
          </m:r>
          <m:sSub>
            <m:e>
              <m:r>
                <m:t>C</m:t>
              </m:r>
            </m:e>
            <m:sub>
              <m:r>
                <m:t>i</m:t>
              </m:r>
            </m:sub>
          </m:sSub>
          <m:r>
            <m:t> </m:t>
          </m:r>
          <m:r>
            <m:rPr>
              <m:sty m:val="p"/>
            </m:rPr>
            <m:t>∀</m:t>
          </m:r>
          <m:r>
            <m:t> </m:t>
          </m:r>
          <m:r>
            <m:t>i</m:t>
          </m:r>
          <m:r>
            <m:rPr>
              <m:sty m:val="p"/>
            </m:rPr>
            <m:t>∈</m:t>
          </m:r>
          <m:r>
            <m:t>I</m:t>
          </m:r>
        </m:oMath>
      </m:oMathPara>
    </w:p>
    <w:p>
      <w:pPr>
        <w:pStyle w:val="FirstParagraph"/>
      </w:pPr>
      <w:r>
        <w:rPr>
          <w:b/>
          <w:bCs/>
        </w:rPr>
        <w:t xml:space="preserve">Constraint 2 — Factory flow balance.</w:t>
      </w:r>
      <w:r>
        <w:t xml:space="preserve"> </w:t>
      </w:r>
      <w:r>
        <w:t xml:space="preserve">Material conservation at each factory (inflow = outflow):</w:t>
      </w:r>
    </w:p>
    <w:p>
      <w:pPr>
        <w:pStyle w:val="BodyText"/>
      </w:pPr>
      <m:oMathPara>
        <m:oMathParaPr>
          <m:jc m:val="center"/>
        </m:oMathParaPr>
        <m:oMath>
          <m:nary>
            <m:naryPr>
              <m:chr m:val="∑"/>
              <m:limLoc m:val="undOvr"/>
              <m:subHide m:val="off"/>
              <m:supHide m:val="on"/>
            </m:naryPr>
            <m:sub>
              <m:r>
                <m:t>i</m:t>
              </m:r>
              <m:r>
                <m:rPr>
                  <m:sty m:val="p"/>
                </m:rPr>
                <m:t>∈</m:t>
              </m:r>
              <m:r>
                <m:t>I</m:t>
              </m:r>
            </m:sub>
            <m:sup>
              <m:r>
                <m:t>​</m:t>
              </m:r>
            </m:sup>
            <m:e>
              <m:nary>
                <m:naryPr>
                  <m:chr m:val="∑"/>
                  <m:limLoc m:val="undOvr"/>
                  <m:subHide m:val="off"/>
                  <m:supHide m:val="on"/>
                </m:naryPr>
                <m:sub>
                  <m:r>
                    <m:t>m</m:t>
                  </m:r>
                  <m:r>
                    <m:rPr>
                      <m:sty m:val="p"/>
                    </m:rPr>
                    <m:t>∈</m:t>
                  </m:r>
                  <m:r>
                    <m:t>M</m:t>
                  </m:r>
                </m:sub>
                <m:sup>
                  <m:r>
                    <m:t>​</m:t>
                  </m:r>
                </m:sup>
                <m:e>
                  <m:sSub>
                    <m:e>
                      <m:r>
                        <m:t>x</m:t>
                      </m:r>
                    </m:e>
                    <m:sub>
                      <m:r>
                        <m:t>i</m:t>
                      </m:r>
                      <m:r>
                        <m:t>j</m:t>
                      </m:r>
                      <m:r>
                        <m:t>m</m:t>
                      </m:r>
                    </m:sub>
                  </m:sSub>
                </m:e>
              </m:nary>
            </m:e>
          </m:nary>
          <m:r>
            <m:rPr>
              <m:sty m:val="p"/>
            </m:rPr>
            <m:t>=</m:t>
          </m:r>
          <m:nary>
            <m:naryPr>
              <m:chr m:val="∑"/>
              <m:limLoc m:val="undOvr"/>
              <m:subHide m:val="off"/>
              <m:supHide m:val="on"/>
            </m:naryPr>
            <m:sub>
              <m:r>
                <m:t>k</m:t>
              </m:r>
              <m:r>
                <m:rPr>
                  <m:sty m:val="p"/>
                </m:rPr>
                <m:t>∈</m:t>
              </m:r>
              <m:r>
                <m:t>K</m:t>
              </m:r>
            </m:sub>
            <m:sup>
              <m:r>
                <m:t>​</m:t>
              </m:r>
            </m:sup>
            <m:e>
              <m:nary>
                <m:naryPr>
                  <m:chr m:val="∑"/>
                  <m:limLoc m:val="undOvr"/>
                  <m:subHide m:val="off"/>
                  <m:supHide m:val="on"/>
                </m:naryPr>
                <m:sub>
                  <m:r>
                    <m:t>m</m:t>
                  </m:r>
                  <m:r>
                    <m:rPr>
                      <m:sty m:val="p"/>
                    </m:rPr>
                    <m:t>∈</m:t>
                  </m:r>
                  <m:r>
                    <m:t>M</m:t>
                  </m:r>
                </m:sub>
                <m:sup>
                  <m:r>
                    <m:t>​</m:t>
                  </m:r>
                </m:sup>
                <m:e>
                  <m:sSub>
                    <m:e>
                      <m:r>
                        <m:t>y</m:t>
                      </m:r>
                    </m:e>
                    <m:sub>
                      <m:r>
                        <m:t>j</m:t>
                      </m:r>
                      <m:r>
                        <m:t>k</m:t>
                      </m:r>
                      <m:r>
                        <m:t>m</m:t>
                      </m:r>
                    </m:sub>
                  </m:sSub>
                </m:e>
              </m:nary>
            </m:e>
          </m:nary>
          <m:r>
            <m:t> </m:t>
          </m:r>
          <m:r>
            <m:rPr>
              <m:sty m:val="p"/>
            </m:rPr>
            <m:t>∀</m:t>
          </m:r>
          <m:r>
            <m:t> </m:t>
          </m:r>
          <m:r>
            <m:t>j</m:t>
          </m:r>
          <m:r>
            <m:rPr>
              <m:sty m:val="p"/>
            </m:rPr>
            <m:t>∈</m:t>
          </m:r>
          <m:r>
            <m:t>J</m:t>
          </m:r>
        </m:oMath>
      </m:oMathPara>
    </w:p>
    <w:p>
      <w:pPr>
        <w:pStyle w:val="FirstParagraph"/>
      </w:pPr>
      <w:r>
        <w:rPr>
          <w:b/>
          <w:bCs/>
        </w:rPr>
        <w:t xml:space="preserve">Constraint 3 — Factory capacity.</w:t>
      </w:r>
      <w:r>
        <w:t xml:space="preserve"> </w:t>
      </w:r>
      <w:r>
        <w:t xml:space="preserve">The total throughput at each factory must not exceed its production capacity:</w:t>
      </w:r>
    </w:p>
    <w:p>
      <w:pPr>
        <w:pStyle w:val="BodyText"/>
      </w:pPr>
      <m:oMathPara>
        <m:oMathParaPr>
          <m:jc m:val="center"/>
        </m:oMathParaPr>
        <m:oMath>
          <m:nary>
            <m:naryPr>
              <m:chr m:val="∑"/>
              <m:limLoc m:val="undOvr"/>
              <m:subHide m:val="off"/>
              <m:supHide m:val="on"/>
            </m:naryPr>
            <m:sub>
              <m:r>
                <m:t>i</m:t>
              </m:r>
              <m:r>
                <m:rPr>
                  <m:sty m:val="p"/>
                </m:rPr>
                <m:t>∈</m:t>
              </m:r>
              <m:r>
                <m:t>I</m:t>
              </m:r>
            </m:sub>
            <m:sup>
              <m:r>
                <m:t>​</m:t>
              </m:r>
            </m:sup>
            <m:e>
              <m:nary>
                <m:naryPr>
                  <m:chr m:val="∑"/>
                  <m:limLoc m:val="undOvr"/>
                  <m:subHide m:val="off"/>
                  <m:supHide m:val="on"/>
                </m:naryPr>
                <m:sub>
                  <m:r>
                    <m:t>m</m:t>
                  </m:r>
                  <m:r>
                    <m:rPr>
                      <m:sty m:val="p"/>
                    </m:rPr>
                    <m:t>∈</m:t>
                  </m:r>
                  <m:r>
                    <m:t>M</m:t>
                  </m:r>
                </m:sub>
                <m:sup>
                  <m:r>
                    <m:t>​</m:t>
                  </m:r>
                </m:sup>
                <m:e>
                  <m:sSub>
                    <m:e>
                      <m:r>
                        <m:t>x</m:t>
                      </m:r>
                    </m:e>
                    <m:sub>
                      <m:r>
                        <m:t>i</m:t>
                      </m:r>
                      <m:r>
                        <m:t>j</m:t>
                      </m:r>
                      <m:r>
                        <m:t>m</m:t>
                      </m:r>
                    </m:sub>
                  </m:sSub>
                </m:e>
              </m:nary>
            </m:e>
          </m:nary>
          <m:r>
            <m:rPr>
              <m:sty m:val="p"/>
            </m:rPr>
            <m:t>≤</m:t>
          </m:r>
          <m:sSub>
            <m:e>
              <m:r>
                <m:t>F</m:t>
              </m:r>
            </m:e>
            <m:sub>
              <m:r>
                <m:t>j</m:t>
              </m:r>
            </m:sub>
          </m:sSub>
          <m:r>
            <m:t> </m:t>
          </m:r>
          <m:r>
            <m:rPr>
              <m:sty m:val="p"/>
            </m:rPr>
            <m:t>∀</m:t>
          </m:r>
          <m:r>
            <m:t> </m:t>
          </m:r>
          <m:r>
            <m:t>j</m:t>
          </m:r>
          <m:r>
            <m:rPr>
              <m:sty m:val="p"/>
            </m:rPr>
            <m:t>∈</m:t>
          </m:r>
          <m:r>
            <m:t>J</m:t>
          </m:r>
        </m:oMath>
      </m:oMathPara>
    </w:p>
    <w:p>
      <w:pPr>
        <w:pStyle w:val="FirstParagraph"/>
      </w:pPr>
      <w:r>
        <w:rPr>
          <w:b/>
          <w:bCs/>
        </w:rPr>
        <w:t xml:space="preserve">Constraint 4 — DC flow balance.</w:t>
      </w:r>
      <w:r>
        <w:t xml:space="preserve"> </w:t>
      </w:r>
      <w:r>
        <w:t xml:space="preserve">Material conservation at each distribution centre:</w:t>
      </w:r>
    </w:p>
    <w:p>
      <w:pPr>
        <w:pStyle w:val="BodyText"/>
      </w:pPr>
      <m:oMathPara>
        <m:oMathParaPr>
          <m:jc m:val="center"/>
        </m:oMathParaPr>
        <m:oMath>
          <m:nary>
            <m:naryPr>
              <m:chr m:val="∑"/>
              <m:limLoc m:val="undOvr"/>
              <m:subHide m:val="off"/>
              <m:supHide m:val="on"/>
            </m:naryPr>
            <m:sub>
              <m:r>
                <m:t>j</m:t>
              </m:r>
              <m:r>
                <m:rPr>
                  <m:sty m:val="p"/>
                </m:rPr>
                <m:t>∈</m:t>
              </m:r>
              <m:r>
                <m:t>J</m:t>
              </m:r>
            </m:sub>
            <m:sup>
              <m:r>
                <m:t>​</m:t>
              </m:r>
            </m:sup>
            <m:e>
              <m:nary>
                <m:naryPr>
                  <m:chr m:val="∑"/>
                  <m:limLoc m:val="undOvr"/>
                  <m:subHide m:val="off"/>
                  <m:supHide m:val="on"/>
                </m:naryPr>
                <m:sub>
                  <m:r>
                    <m:t>m</m:t>
                  </m:r>
                  <m:r>
                    <m:rPr>
                      <m:sty m:val="p"/>
                    </m:rPr>
                    <m:t>∈</m:t>
                  </m:r>
                  <m:r>
                    <m:t>M</m:t>
                  </m:r>
                </m:sub>
                <m:sup>
                  <m:r>
                    <m:t>​</m:t>
                  </m:r>
                </m:sup>
                <m:e>
                  <m:sSub>
                    <m:e>
                      <m:r>
                        <m:t>y</m:t>
                      </m:r>
                    </m:e>
                    <m:sub>
                      <m:r>
                        <m:t>j</m:t>
                      </m:r>
                      <m:r>
                        <m:t>k</m:t>
                      </m:r>
                      <m:r>
                        <m:t>m</m:t>
                      </m:r>
                    </m:sub>
                  </m:sSub>
                </m:e>
              </m:nary>
            </m:e>
          </m:nary>
          <m:r>
            <m:rPr>
              <m:sty m:val="p"/>
            </m:rPr>
            <m:t>=</m:t>
          </m:r>
          <m:nary>
            <m:naryPr>
              <m:chr m:val="∑"/>
              <m:limLoc m:val="undOvr"/>
              <m:subHide m:val="off"/>
              <m:supHide m:val="on"/>
            </m:naryPr>
            <m:sub>
              <m:r>
                <m:t>l</m:t>
              </m:r>
              <m:r>
                <m:rPr>
                  <m:sty m:val="p"/>
                </m:rPr>
                <m:t>∈</m:t>
              </m:r>
              <m:r>
                <m:t>L</m:t>
              </m:r>
            </m:sub>
            <m:sup>
              <m:r>
                <m:t>​</m:t>
              </m:r>
            </m:sup>
            <m:e>
              <m:nary>
                <m:naryPr>
                  <m:chr m:val="∑"/>
                  <m:limLoc m:val="undOvr"/>
                  <m:subHide m:val="off"/>
                  <m:supHide m:val="on"/>
                </m:naryPr>
                <m:sub>
                  <m:r>
                    <m:t>m</m:t>
                  </m:r>
                  <m:r>
                    <m:rPr>
                      <m:sty m:val="p"/>
                    </m:rPr>
                    <m:t>∈</m:t>
                  </m:r>
                  <m:r>
                    <m:t>M</m:t>
                  </m:r>
                </m:sub>
                <m:sup>
                  <m:r>
                    <m:t>​</m:t>
                  </m:r>
                </m:sup>
                <m:e>
                  <m:sSub>
                    <m:e>
                      <m:r>
                        <m:t>z</m:t>
                      </m:r>
                    </m:e>
                    <m:sub>
                      <m:r>
                        <m:t>k</m:t>
                      </m:r>
                      <m:r>
                        <m:t>l</m:t>
                      </m:r>
                      <m:r>
                        <m:t>m</m:t>
                      </m:r>
                    </m:sub>
                  </m:sSub>
                </m:e>
              </m:nary>
            </m:e>
          </m:nary>
          <m:r>
            <m:t> </m:t>
          </m:r>
          <m:r>
            <m:rPr>
              <m:sty m:val="p"/>
            </m:rPr>
            <m:t>∀</m:t>
          </m:r>
          <m:r>
            <m:t> </m:t>
          </m:r>
          <m:r>
            <m:t>k</m:t>
          </m:r>
          <m:r>
            <m:rPr>
              <m:sty m:val="p"/>
            </m:rPr>
            <m:t>∈</m:t>
          </m:r>
          <m:r>
            <m:t>K</m:t>
          </m:r>
        </m:oMath>
      </m:oMathPara>
    </w:p>
    <w:p>
      <w:pPr>
        <w:pStyle w:val="FirstParagraph"/>
      </w:pPr>
      <w:r>
        <w:rPr>
          <w:b/>
          <w:bCs/>
        </w:rPr>
        <w:t xml:space="preserve">Constraint 5 — DC capacity.</w:t>
      </w:r>
      <w:r>
        <w:t xml:space="preserve"> </w:t>
      </w:r>
      <w:r>
        <w:t xml:space="preserve">The total throughput at each DC must not exceed its storage capacity:</w:t>
      </w:r>
    </w:p>
    <w:p>
      <w:pPr>
        <w:pStyle w:val="BodyText"/>
      </w:pPr>
      <m:oMathPara>
        <m:oMathParaPr>
          <m:jc m:val="center"/>
        </m:oMathParaPr>
        <m:oMath>
          <m:nary>
            <m:naryPr>
              <m:chr m:val="∑"/>
              <m:limLoc m:val="undOvr"/>
              <m:subHide m:val="off"/>
              <m:supHide m:val="on"/>
            </m:naryPr>
            <m:sub>
              <m:r>
                <m:t>j</m:t>
              </m:r>
              <m:r>
                <m:rPr>
                  <m:sty m:val="p"/>
                </m:rPr>
                <m:t>∈</m:t>
              </m:r>
              <m:r>
                <m:t>J</m:t>
              </m:r>
            </m:sub>
            <m:sup>
              <m:r>
                <m:t>​</m:t>
              </m:r>
            </m:sup>
            <m:e>
              <m:nary>
                <m:naryPr>
                  <m:chr m:val="∑"/>
                  <m:limLoc m:val="undOvr"/>
                  <m:subHide m:val="off"/>
                  <m:supHide m:val="on"/>
                </m:naryPr>
                <m:sub>
                  <m:r>
                    <m:t>m</m:t>
                  </m:r>
                  <m:r>
                    <m:rPr>
                      <m:sty m:val="p"/>
                    </m:rPr>
                    <m:t>∈</m:t>
                  </m:r>
                  <m:r>
                    <m:t>M</m:t>
                  </m:r>
                </m:sub>
                <m:sup>
                  <m:r>
                    <m:t>​</m:t>
                  </m:r>
                </m:sup>
                <m:e>
                  <m:sSub>
                    <m:e>
                      <m:r>
                        <m:t>y</m:t>
                      </m:r>
                    </m:e>
                    <m:sub>
                      <m:r>
                        <m:t>j</m:t>
                      </m:r>
                      <m:r>
                        <m:t>k</m:t>
                      </m:r>
                      <m:r>
                        <m:t>m</m:t>
                      </m:r>
                    </m:sub>
                  </m:sSub>
                </m:e>
              </m:nary>
            </m:e>
          </m:nary>
          <m:r>
            <m:rPr>
              <m:sty m:val="p"/>
            </m:rPr>
            <m:t>≤</m:t>
          </m:r>
          <m:sSub>
            <m:e>
              <m:r>
                <m:t>D</m:t>
              </m:r>
            </m:e>
            <m:sub>
              <m:r>
                <m:t>k</m:t>
              </m:r>
            </m:sub>
          </m:sSub>
          <m:r>
            <m:t> </m:t>
          </m:r>
          <m:r>
            <m:rPr>
              <m:sty m:val="p"/>
            </m:rPr>
            <m:t>∀</m:t>
          </m:r>
          <m:r>
            <m:t> </m:t>
          </m:r>
          <m:r>
            <m:t>k</m:t>
          </m:r>
          <m:r>
            <m:rPr>
              <m:sty m:val="p"/>
            </m:rPr>
            <m:t>∈</m:t>
          </m:r>
          <m:r>
            <m:t>K</m:t>
          </m:r>
        </m:oMath>
      </m:oMathPara>
    </w:p>
    <w:p>
      <w:pPr>
        <w:pStyle w:val="FirstParagraph"/>
      </w:pPr>
      <w:r>
        <w:rPr>
          <w:b/>
          <w:bCs/>
        </w:rPr>
        <w:t xml:space="preserve">Constraint 6 — Demand satisfaction.</w:t>
      </w:r>
      <w:r>
        <w:t xml:space="preserve"> </w:t>
      </w:r>
      <w:r>
        <w:t xml:space="preserve">The total supply to each customer must meet or exceed its demand:</w:t>
      </w:r>
    </w:p>
    <w:p>
      <w:pPr>
        <w:pStyle w:val="BodyText"/>
      </w:pPr>
      <m:oMathPara>
        <m:oMathParaPr>
          <m:jc m:val="center"/>
        </m:oMathParaPr>
        <m:oMath>
          <m:nary>
            <m:naryPr>
              <m:chr m:val="∑"/>
              <m:limLoc m:val="undOvr"/>
              <m:subHide m:val="off"/>
              <m:supHide m:val="on"/>
            </m:naryPr>
            <m:sub>
              <m:r>
                <m:t>k</m:t>
              </m:r>
              <m:r>
                <m:rPr>
                  <m:sty m:val="p"/>
                </m:rPr>
                <m:t>∈</m:t>
              </m:r>
              <m:r>
                <m:t>K</m:t>
              </m:r>
            </m:sub>
            <m:sup>
              <m:r>
                <m:t>​</m:t>
              </m:r>
            </m:sup>
            <m:e>
              <m:nary>
                <m:naryPr>
                  <m:chr m:val="∑"/>
                  <m:limLoc m:val="undOvr"/>
                  <m:subHide m:val="off"/>
                  <m:supHide m:val="on"/>
                </m:naryPr>
                <m:sub>
                  <m:r>
                    <m:t>m</m:t>
                  </m:r>
                  <m:r>
                    <m:rPr>
                      <m:sty m:val="p"/>
                    </m:rPr>
                    <m:t>∈</m:t>
                  </m:r>
                  <m:r>
                    <m:t>M</m:t>
                  </m:r>
                </m:sub>
                <m:sup>
                  <m:r>
                    <m:t>​</m:t>
                  </m:r>
                </m:sup>
                <m:e>
                  <m:sSub>
                    <m:e>
                      <m:r>
                        <m:t>z</m:t>
                      </m:r>
                    </m:e>
                    <m:sub>
                      <m:r>
                        <m:t>k</m:t>
                      </m:r>
                      <m:r>
                        <m:t>l</m:t>
                      </m:r>
                      <m:r>
                        <m:t>m</m:t>
                      </m:r>
                    </m:sub>
                  </m:sSub>
                </m:e>
              </m:nary>
            </m:e>
          </m:nary>
          <m:r>
            <m:rPr>
              <m:sty m:val="p"/>
            </m:rPr>
            <m:t>≥</m:t>
          </m:r>
          <m:sSub>
            <m:e>
              <m:r>
                <m:t>d</m:t>
              </m:r>
            </m:e>
            <m:sub>
              <m:r>
                <m:t>l</m:t>
              </m:r>
            </m:sub>
          </m:sSub>
          <m:r>
            <m:t> </m:t>
          </m:r>
          <m:r>
            <m:rPr>
              <m:sty m:val="p"/>
            </m:rPr>
            <m:t>∀</m:t>
          </m:r>
          <m:r>
            <m:t> </m:t>
          </m:r>
          <m:r>
            <m:t>l</m:t>
          </m:r>
          <m:r>
            <m:rPr>
              <m:sty m:val="p"/>
            </m:rPr>
            <m:t>∈</m:t>
          </m:r>
          <m:r>
            <m:t>L</m:t>
          </m:r>
        </m:oMath>
      </m:oMathPara>
    </w:p>
    <w:p>
      <w:pPr>
        <w:pStyle w:val="FirstParagraph"/>
      </w:pPr>
      <w:r>
        <w:rPr>
          <w:b/>
          <w:bCs/>
        </w:rPr>
        <w:t xml:space="preserve">Constraint 7 — Non-negativity:</w:t>
      </w:r>
    </w:p>
    <w:p>
      <w:pPr>
        <w:pStyle w:val="BodyText"/>
      </w:pPr>
      <m:oMathPara>
        <m:oMathParaPr>
          <m:jc m:val="center"/>
        </m:oMathParaPr>
        <m:oMath>
          <m:sSub>
            <m:e>
              <m:r>
                <m:t>x</m:t>
              </m:r>
            </m:e>
            <m:sub>
              <m:r>
                <m:t>i</m:t>
              </m:r>
              <m:r>
                <m:t>j</m:t>
              </m:r>
              <m:r>
                <m:t>m</m:t>
              </m:r>
            </m:sub>
          </m:sSub>
          <m:r>
            <m:rPr>
              <m:sty m:val="p"/>
            </m:rPr>
            <m:t>,</m:t>
          </m:r>
          <m:r>
            <m:t> </m:t>
          </m:r>
          <m:sSub>
            <m:e>
              <m:r>
                <m:t>y</m:t>
              </m:r>
            </m:e>
            <m:sub>
              <m:r>
                <m:t>j</m:t>
              </m:r>
              <m:r>
                <m:t>k</m:t>
              </m:r>
              <m:r>
                <m:t>m</m:t>
              </m:r>
            </m:sub>
          </m:sSub>
          <m:r>
            <m:rPr>
              <m:sty m:val="p"/>
            </m:rPr>
            <m:t>,</m:t>
          </m:r>
          <m:r>
            <m:t> </m:t>
          </m:r>
          <m:sSub>
            <m:e>
              <m:r>
                <m:t>z</m:t>
              </m:r>
            </m:e>
            <m:sub>
              <m:r>
                <m:t>k</m:t>
              </m:r>
              <m:r>
                <m:t>l</m:t>
              </m:r>
              <m:r>
                <m:t>m</m:t>
              </m:r>
            </m:sub>
          </m:sSub>
          <m:r>
            <m:rPr>
              <m:sty m:val="p"/>
            </m:rPr>
            <m:t>≥</m:t>
          </m:r>
          <m:r>
            <m:t>0</m:t>
          </m:r>
          <m:r>
            <m:t> </m:t>
          </m:r>
          <m:r>
            <m:rPr>
              <m:sty m:val="p"/>
            </m:rPr>
            <m:t>∀</m:t>
          </m:r>
          <m:r>
            <m:t> </m:t>
          </m:r>
          <m:r>
            <m:t>i</m:t>
          </m:r>
          <m:r>
            <m:rPr>
              <m:sty m:val="p"/>
            </m:rPr>
            <m:t>,</m:t>
          </m:r>
          <m:r>
            <m:t>j</m:t>
          </m:r>
          <m:r>
            <m:rPr>
              <m:sty m:val="p"/>
            </m:rPr>
            <m:t>,</m:t>
          </m:r>
          <m:r>
            <m:t>k</m:t>
          </m:r>
          <m:r>
            <m:rPr>
              <m:sty m:val="p"/>
            </m:rPr>
            <m:t>,</m:t>
          </m:r>
          <m:r>
            <m:t>l</m:t>
          </m:r>
          <m:r>
            <m:rPr>
              <m:sty m:val="p"/>
            </m:rPr>
            <m:t>,</m:t>
          </m:r>
          <m:r>
            <m:t>m</m:t>
          </m:r>
        </m:oMath>
      </m:oMathPara>
    </w:p>
    <w:bookmarkEnd w:id="47"/>
    <w:bookmarkStart w:id="48" w:name="assumptions"/>
    <w:p>
      <w:pPr>
        <w:pStyle w:val="Heading3"/>
      </w:pPr>
      <w:r>
        <w:rPr>
          <w:rStyle w:val="SectionNumber"/>
        </w:rPr>
        <w:t xml:space="preserve">8.4</w:t>
      </w:r>
      <w:r>
        <w:tab/>
      </w:r>
      <w:r>
        <w:t xml:space="preserve">3.4 Assumptions</w:t>
      </w:r>
    </w:p>
    <w:p>
      <w:pPr>
        <w:pStyle w:val="Compact"/>
        <w:numPr>
          <w:ilvl w:val="0"/>
          <w:numId w:val="1006"/>
        </w:numPr>
      </w:pPr>
      <w:r>
        <w:t xml:space="preserve">Single product type, single planning period; demand obtained from the forecasting module.</w:t>
      </w:r>
    </w:p>
    <w:p>
      <w:pPr>
        <w:pStyle w:val="Compact"/>
        <w:numPr>
          <w:ilvl w:val="0"/>
          <w:numId w:val="1006"/>
        </w:numPr>
      </w:pPr>
      <w:r>
        <w:t xml:space="preserve">Facility locations are fixed and predetermined; capacities are deterministic.</w:t>
      </w:r>
    </w:p>
    <w:p>
      <w:pPr>
        <w:pStyle w:val="Compact"/>
        <w:numPr>
          <w:ilvl w:val="0"/>
          <w:numId w:val="1006"/>
        </w:numPr>
      </w:pPr>
      <w:r>
        <w:t xml:space="preserve">Cost and emission functions are linear in the flow variables.</w:t>
      </w:r>
    </w:p>
    <w:p>
      <w:pPr>
        <w:pStyle w:val="Compact"/>
        <w:numPr>
          <w:ilvl w:val="0"/>
          <w:numId w:val="1006"/>
        </w:numPr>
      </w:pPr>
      <w:r>
        <w:t xml:space="preserve">Congestion factors are static during optimisation but stochastic during simulation.</w:t>
      </w:r>
    </w:p>
    <w:p>
      <w:pPr>
        <w:pStyle w:val="Compact"/>
        <w:numPr>
          <w:ilvl w:val="0"/>
          <w:numId w:val="1006"/>
        </w:numPr>
      </w:pPr>
      <w:r>
        <w:t xml:space="preserve">Facility failures follow exponential distributions (MTTF and MTTR) for simulation.</w:t>
      </w:r>
    </w:p>
    <w:bookmarkEnd w:id="48"/>
    <w:bookmarkEnd w:id="49"/>
    <w:bookmarkStart w:id="58" w:name="chapter-4-mathematical-model-formulation"/>
    <w:p>
      <w:pPr>
        <w:pStyle w:val="Heading2"/>
      </w:pPr>
      <w:r>
        <w:rPr>
          <w:rStyle w:val="SectionNumber"/>
        </w:rPr>
        <w:t xml:space="preserve">9</w:t>
      </w:r>
      <w:r>
        <w:tab/>
      </w:r>
      <w:r>
        <w:t xml:space="preserve">Chapter 4: Mathematical Model Formulation</w:t>
      </w:r>
    </w:p>
    <w:p>
      <w:pPr>
        <w:pStyle w:val="FirstParagraph"/>
      </w:pPr>
      <w:r>
        <w:t xml:space="preserve">This chapter develops the three objective functions that constitute the multi-objective optimisation problem. A key contribution of this thesis is that</w:t>
      </w:r>
      <w:r>
        <w:t xml:space="preserve"> </w:t>
      </w:r>
      <w:r>
        <w:rPr>
          <w:b/>
          <w:bCs/>
        </w:rPr>
        <w:t xml:space="preserve">every component of every objective function is explicitly traced to a specific published paper</w:t>
      </w:r>
      <w:r>
        <w:t xml:space="preserve">, enabling the reader to verify the academic basis for each modelling decision.</w:t>
      </w:r>
    </w:p>
    <w:bookmarkStart w:id="50" w:name="multi-objective-problem-statement"/>
    <w:p>
      <w:pPr>
        <w:pStyle w:val="Heading3"/>
      </w:pPr>
      <w:r>
        <w:rPr>
          <w:rStyle w:val="SectionNumber"/>
        </w:rPr>
        <w:t xml:space="preserve">9.1</w:t>
      </w:r>
      <w:r>
        <w:tab/>
      </w:r>
      <w:r>
        <w:t xml:space="preserve">4.1 Multi-Objective Problem Statement</w:t>
      </w:r>
    </w:p>
    <w:p>
      <w:pPr>
        <w:pStyle w:val="FirstParagraph"/>
      </w:pPr>
      <w:r>
        <w:t xml:space="preserve">The problem is formulated as:</w:t>
      </w:r>
    </w:p>
    <w:p>
      <w:pPr>
        <w:pStyle w:val="BodyText"/>
      </w:pPr>
      <m:oMathPara>
        <m:oMathParaPr>
          <m:jc m:val="center"/>
        </m:oMathParaPr>
        <m:oMath>
          <m:r>
            <m:rPr>
              <m:sty m:val="p"/>
            </m:rPr>
            <m:t>min</m:t>
          </m:r>
          <m:r>
            <m:t> </m:t>
          </m:r>
          <m:sSub>
            <m:e>
              <m:r>
                <m:t>f</m:t>
              </m:r>
            </m:e>
            <m:sub>
              <m:r>
                <m:t>1</m:t>
              </m:r>
            </m:sub>
          </m:sSub>
          <m:r>
            <m:rPr>
              <m:sty m:val="p"/>
            </m:rPr>
            <m:t>(</m:t>
          </m:r>
          <m:r>
            <m:rPr>
              <m:sty m:val="b"/>
            </m:rPr>
            <m:t>x</m:t>
          </m:r>
          <m:r>
            <m:rPr>
              <m:sty m:val="p"/>
            </m:rPr>
            <m:t>,</m:t>
          </m:r>
          <m:r>
            <m:rPr>
              <m:sty m:val="b"/>
            </m:rPr>
            <m:t>y</m:t>
          </m:r>
          <m:r>
            <m:rPr>
              <m:sty m:val="p"/>
            </m:rPr>
            <m:t>,</m:t>
          </m:r>
          <m:r>
            <m:rPr>
              <m:sty m:val="b"/>
            </m:rPr>
            <m:t>z</m:t>
          </m:r>
          <m:r>
            <m:rPr>
              <m:sty m:val="p"/>
            </m:rPr>
            <m:t>)</m:t>
          </m:r>
          <m:r>
            <m:rPr>
              <m:sty m:val="p"/>
            </m:rPr>
            <m:t>,</m:t>
          </m:r>
          <m:r>
            <m:t> </m:t>
          </m:r>
          <m:r>
            <m:rPr>
              <m:sty m:val="p"/>
            </m:rPr>
            <m:t>min</m:t>
          </m:r>
          <m:r>
            <m:t> </m:t>
          </m:r>
          <m:sSub>
            <m:e>
              <m:r>
                <m:t>f</m:t>
              </m:r>
            </m:e>
            <m:sub>
              <m:r>
                <m:t>2</m:t>
              </m:r>
            </m:sub>
          </m:sSub>
          <m:r>
            <m:rPr>
              <m:sty m:val="p"/>
            </m:rPr>
            <m:t>(</m:t>
          </m:r>
          <m:r>
            <m:rPr>
              <m:sty m:val="b"/>
            </m:rPr>
            <m:t>x</m:t>
          </m:r>
          <m:r>
            <m:rPr>
              <m:sty m:val="p"/>
            </m:rPr>
            <m:t>,</m:t>
          </m:r>
          <m:r>
            <m:rPr>
              <m:sty m:val="b"/>
            </m:rPr>
            <m:t>y</m:t>
          </m:r>
          <m:r>
            <m:rPr>
              <m:sty m:val="p"/>
            </m:rPr>
            <m:t>,</m:t>
          </m:r>
          <m:r>
            <m:rPr>
              <m:sty m:val="b"/>
            </m:rPr>
            <m:t>z</m:t>
          </m:r>
          <m:r>
            <m:rPr>
              <m:sty m:val="p"/>
            </m:rPr>
            <m:t>)</m:t>
          </m:r>
          <m:r>
            <m:rPr>
              <m:sty m:val="p"/>
            </m:rPr>
            <m:t>,</m:t>
          </m:r>
          <m:r>
            <m:t> </m:t>
          </m:r>
          <m:r>
            <m:rPr>
              <m:sty m:val="p"/>
            </m:rPr>
            <m:t>max</m:t>
          </m:r>
          <m:r>
            <m:t> </m:t>
          </m:r>
          <m:sSub>
            <m:e>
              <m:r>
                <m:t>f</m:t>
              </m:r>
            </m:e>
            <m:sub>
              <m:r>
                <m:t>3</m:t>
              </m:r>
            </m:sub>
          </m:sSub>
          <m:r>
            <m:rPr>
              <m:sty m:val="p"/>
            </m:rPr>
            <m:t>(</m:t>
          </m:r>
          <m:r>
            <m:rPr>
              <m:sty m:val="b"/>
            </m:rPr>
            <m:t>x</m:t>
          </m:r>
          <m:r>
            <m:rPr>
              <m:sty m:val="p"/>
            </m:rPr>
            <m:t>,</m:t>
          </m:r>
          <m:r>
            <m:rPr>
              <m:sty m:val="b"/>
            </m:rPr>
            <m:t>y</m:t>
          </m:r>
          <m:r>
            <m:rPr>
              <m:sty m:val="p"/>
            </m:rPr>
            <m:t>,</m:t>
          </m:r>
          <m:r>
            <m:rPr>
              <m:sty m:val="b"/>
            </m:rPr>
            <m:t>z</m:t>
          </m:r>
          <m:r>
            <m:rPr>
              <m:sty m:val="p"/>
            </m:rPr>
            <m:t>)</m:t>
          </m:r>
        </m:oMath>
      </m:oMathPara>
    </w:p>
    <w:p>
      <w:pPr>
        <w:pStyle w:val="FirstParagraph"/>
      </w:pPr>
      <w:r>
        <w:t xml:space="preserve">subject to constraints (3.2)–(3.8), where</w:t>
      </w:r>
      <w:r>
        <w:t xml:space="preserve"> </w:t>
      </w:r>
      <m:oMath>
        <m:sSub>
          <m:e>
            <m:r>
              <m:t>f</m:t>
            </m:r>
          </m:e>
          <m:sub>
            <m:r>
              <m:t>1</m:t>
            </m:r>
          </m:sub>
        </m:sSub>
      </m:oMath>
      <w:r>
        <w:t xml:space="preserve"> </w:t>
      </w:r>
      <w:r>
        <w:t xml:space="preserve">is total cost,</w:t>
      </w:r>
      <w:r>
        <w:t xml:space="preserve"> </w:t>
      </w:r>
      <m:oMath>
        <m:sSub>
          <m:e>
            <m:r>
              <m:t>f</m:t>
            </m:r>
          </m:e>
          <m:sub>
            <m:r>
              <m:t>2</m:t>
            </m:r>
          </m:sub>
        </m:sSub>
      </m:oMath>
      <w:r>
        <w:t xml:space="preserve"> </w:t>
      </w:r>
      <w:r>
        <w:t xml:space="preserve">is total carbon emissions, and</w:t>
      </w:r>
      <w:r>
        <w:t xml:space="preserve"> </w:t>
      </w:r>
      <m:oMath>
        <m:sSub>
          <m:e>
            <m:r>
              <m:t>f</m:t>
            </m:r>
          </m:e>
          <m:sub>
            <m:r>
              <m:t>3</m:t>
            </m:r>
          </m:sub>
        </m:sSub>
      </m:oMath>
      <w:r>
        <w:t xml:space="preserve"> </w:t>
      </w:r>
      <w:r>
        <w:t xml:space="preserve">is the composite resilience score.</w:t>
      </w:r>
    </w:p>
    <w:bookmarkEnd w:id="50"/>
    <w:bookmarkStart w:id="51" w:name="objective-1-total-cost-minimisation"/>
    <w:p>
      <w:pPr>
        <w:pStyle w:val="Heading3"/>
      </w:pPr>
      <w:r>
        <w:rPr>
          <w:rStyle w:val="SectionNumber"/>
        </w:rPr>
        <w:t xml:space="preserve">9.2</w:t>
      </w:r>
      <w:r>
        <w:tab/>
      </w:r>
      <w:r>
        <w:t xml:space="preserve">4.2 Objective 1: Total Cost Minimisation</w:t>
      </w:r>
    </w:p>
    <w:p>
      <w:pPr>
        <w:pStyle w:val="FirstParagraph"/>
      </w:pPr>
      <w:r>
        <w:rPr>
          <w:b/>
          <w:bCs/>
        </w:rPr>
        <w:t xml:space="preserve">Primary source: Melo, Nickel, and Saldanha-da-Gama (2009),</w:t>
      </w:r>
      <w:r>
        <w:rPr>
          <w:b/>
          <w:bCs/>
        </w:rPr>
        <w:t xml:space="preserve"> </w:t>
      </w:r>
      <w:r>
        <w:rPr>
          <w:b/>
          <w:bCs/>
          <w:i/>
          <w:iCs/>
        </w:rPr>
        <w:t xml:space="preserve">European Journal of Operational Research</w:t>
      </w:r>
      <w:r>
        <w:rPr>
          <w:b/>
          <w:bCs/>
        </w:rPr>
        <w:t xml:space="preserve">, 196(2), 401–412.</w:t>
      </w:r>
    </w:p>
    <w:p>
      <w:pPr>
        <w:pStyle w:val="BodyText"/>
      </w:pPr>
      <w:r>
        <w:t xml:space="preserve">Melo et al. (2009) review over 200 papers on facility location in supply chain management and identify a canonical cost structure for multi-echelon SCND. They establish that total supply chain cost should be decomposed into: (i) procurement costs at source nodes, (ii) processing/production costs at transformation nodes, (iii) transportation costs on inter-echelon arcs, and (iv) inventory holding costs at storage nodes. Their argument is that this decomposition captures the full</w:t>
      </w:r>
      <w:r>
        <w:t xml:space="preserve"> </w:t>
      </w:r>
      <w:r>
        <w:t xml:space="preserve">“total landed cost”</w:t>
      </w:r>
      <w:r>
        <w:t xml:space="preserve"> </w:t>
      </w:r>
      <w:r>
        <w:t xml:space="preserve">and generalises across single-product and multi-product networks, single-period and multi-period settings, and various echelon configurations. We adopt their four-component decomposition for our four-echelon network.</w:t>
      </w:r>
    </w:p>
    <w:p>
      <w:pPr>
        <w:pStyle w:val="BodyText"/>
      </w:pPr>
      <w:r>
        <w:rPr>
          <w:b/>
          <w:bCs/>
        </w:rPr>
        <w:t xml:space="preserve">Extension source: Jabbarzadeh, Fahimnia, and Sabouhi (2018),</w:t>
      </w:r>
      <w:r>
        <w:rPr>
          <w:b/>
          <w:bCs/>
        </w:rPr>
        <w:t xml:space="preserve"> </w:t>
      </w:r>
      <w:r>
        <w:rPr>
          <w:b/>
          <w:bCs/>
          <w:i/>
          <w:iCs/>
        </w:rPr>
        <w:t xml:space="preserve">International Journal of Production Research</w:t>
      </w:r>
      <w:r>
        <w:rPr>
          <w:b/>
          <w:bCs/>
        </w:rPr>
        <w:t xml:space="preserve">, 56(17), 5945–5968.</w:t>
      </w:r>
    </w:p>
    <w:p>
      <w:pPr>
        <w:pStyle w:val="BodyText"/>
      </w:pPr>
      <w:r>
        <w:t xml:space="preserve">Jabbarzadeh et al. (2018) develop a stochastic programming model for resilient and sustainable SCND under disruption risks. A key contribution of their paper is the introduction of</w:t>
      </w:r>
      <w:r>
        <w:t xml:space="preserve"> </w:t>
      </w:r>
      <w:r>
        <w:rPr>
          <w:b/>
          <w:bCs/>
        </w:rPr>
        <w:t xml:space="preserve">unmet demand penalty costs</w:t>
      </w:r>
      <w:r>
        <w:t xml:space="preserve">: rather than treating demand satisfaction as a hard constraint (which can make the problem infeasible under disruptions), they penalise unmet demand with a cost</w:t>
      </w:r>
      <w:r>
        <w:t xml:space="preserve"> </w:t>
      </w:r>
      <m:oMath>
        <m:r>
          <m:t>π</m:t>
        </m:r>
      </m:oMath>
      <w:r>
        <w:t xml:space="preserve"> </w:t>
      </w:r>
      <w:r>
        <w:t xml:space="preserve">per unit of shortfall. This formulation has two advantages: (a) it keeps the problem feasible even when supply capacity is insufficient, and (b) it directly quantifies the economic impact of service failures, enabling trade-off analysis between cost and service level. We adopt their shortage penalty formulation as the seventh term in our cost objective, setting</w:t>
      </w:r>
      <w:r>
        <w:t xml:space="preserve"> </w:t>
      </w:r>
      <m:oMath>
        <m:r>
          <m:t>π</m:t>
        </m:r>
        <m:r>
          <m:rPr>
            <m:sty m:val="p"/>
          </m:rPr>
          <m:t>=</m:t>
        </m:r>
        <m:r>
          <m:t>500</m:t>
        </m:r>
      </m:oMath>
      <w:r>
        <w:t xml:space="preserve"> </w:t>
      </w:r>
      <w:r>
        <w:t xml:space="preserve">$/unit based on their recommended range for automotive components.</w:t>
      </w:r>
    </w:p>
    <w:p>
      <w:pPr>
        <w:pStyle w:val="BodyText"/>
      </w:pPr>
      <w:r>
        <w:rPr>
          <w:b/>
          <w:bCs/>
        </w:rPr>
        <w:t xml:space="preserve">Complete cost formulation:</w:t>
      </w:r>
    </w:p>
    <w:p>
      <w:pPr>
        <w:pStyle w:val="BodyText"/>
      </w:pPr>
      <w:r>
        <w:t xml:space="preserve">The total cost</w:t>
      </w:r>
      <w:r>
        <w:t xml:space="preserve"> </w:t>
      </w:r>
      <m:oMath>
        <m:sSub>
          <m:e>
            <m:r>
              <m:t>f</m:t>
            </m:r>
          </m:e>
          <m:sub>
            <m:r>
              <m:t>1</m:t>
            </m:r>
          </m:sub>
        </m:sSub>
      </m:oMath>
      <w:r>
        <w:t xml:space="preserve"> </w:t>
      </w:r>
      <w:r>
        <w:t xml:space="preserve">is the sum of five components:</w:t>
      </w:r>
    </w:p>
    <w:p>
      <w:pPr>
        <w:pStyle w:val="BodyText"/>
      </w:pPr>
      <m:oMathPara>
        <m:oMathParaPr>
          <m:jc m:val="center"/>
        </m:oMathParaPr>
        <m:oMath>
          <m:sSub>
            <m:e>
              <m:r>
                <m:t>f</m:t>
              </m:r>
            </m:e>
            <m:sub>
              <m:r>
                <m:t>1</m:t>
              </m:r>
            </m:sub>
          </m:sSub>
          <m:r>
            <m:rPr>
              <m:sty m:val="p"/>
            </m:rPr>
            <m:t>=</m:t>
          </m:r>
          <m:sSub>
            <m:e>
              <m:r>
                <m:t>C</m:t>
              </m:r>
            </m:e>
            <m:sub>
              <m:r>
                <m:rPr>
                  <m:nor/>
                  <m:sty m:val="p"/>
                </m:rPr>
                <m:t>proc</m:t>
              </m:r>
            </m:sub>
          </m:sSub>
          <m:r>
            <m:rPr>
              <m:sty m:val="p"/>
            </m:rPr>
            <m:t>+</m:t>
          </m:r>
          <m:sSub>
            <m:e>
              <m:r>
                <m:t>C</m:t>
              </m:r>
            </m:e>
            <m:sub>
              <m:r>
                <m:rPr>
                  <m:nor/>
                  <m:sty m:val="p"/>
                </m:rPr>
                <m:t>prod</m:t>
              </m:r>
            </m:sub>
          </m:sSub>
          <m:r>
            <m:rPr>
              <m:sty m:val="p"/>
            </m:rPr>
            <m:t>+</m:t>
          </m:r>
          <m:sSub>
            <m:e>
              <m:r>
                <m:t>C</m:t>
              </m:r>
            </m:e>
            <m:sub>
              <m:r>
                <m:rPr>
                  <m:nor/>
                  <m:sty m:val="p"/>
                </m:rPr>
                <m:t>trans</m:t>
              </m:r>
            </m:sub>
          </m:sSub>
          <m:r>
            <m:rPr>
              <m:sty m:val="p"/>
            </m:rPr>
            <m:t>+</m:t>
          </m:r>
          <m:sSub>
            <m:e>
              <m:r>
                <m:t>C</m:t>
              </m:r>
            </m:e>
            <m:sub>
              <m:r>
                <m:rPr>
                  <m:nor/>
                  <m:sty m:val="p"/>
                </m:rPr>
                <m:t>hold</m:t>
              </m:r>
            </m:sub>
          </m:sSub>
          <m:r>
            <m:rPr>
              <m:sty m:val="p"/>
            </m:rPr>
            <m:t>+</m:t>
          </m:r>
          <m:sSub>
            <m:e>
              <m:r>
                <m:t>C</m:t>
              </m:r>
            </m:e>
            <m:sub>
              <m:r>
                <m:rPr>
                  <m:nor/>
                  <m:sty m:val="p"/>
                </m:rPr>
                <m:t>short</m:t>
              </m:r>
            </m:sub>
          </m:sSub>
        </m:oMath>
      </m:oMathPara>
    </w:p>
    <w:p>
      <w:pPr>
        <w:pStyle w:val="FirstParagraph"/>
      </w:pPr>
      <w:r>
        <w:rPr>
          <w:i/>
          <w:iCs/>
        </w:rPr>
        <w:t xml:space="preserve">Term 1 — Procurement cost (Melo et al., 2009):</w:t>
      </w:r>
    </w:p>
    <w:p>
      <w:pPr>
        <w:pStyle w:val="BodyText"/>
      </w:pPr>
      <m:oMathPara>
        <m:oMathParaPr>
          <m:jc m:val="center"/>
        </m:oMathParaPr>
        <m:oMath>
          <m:sSub>
            <m:e>
              <m:r>
                <m:t>C</m:t>
              </m:r>
            </m:e>
            <m:sub>
              <m:r>
                <m:rPr>
                  <m:nor/>
                  <m:sty m:val="p"/>
                </m:rPr>
                <m:t>proc</m:t>
              </m:r>
            </m:sub>
          </m:sSub>
          <m:r>
            <m:rPr>
              <m:sty m:val="p"/>
            </m:rPr>
            <m:t>=</m:t>
          </m:r>
          <m:nary>
            <m:naryPr>
              <m:chr m:val="∑"/>
              <m:limLoc m:val="undOvr"/>
              <m:subHide m:val="off"/>
              <m:supHide m:val="on"/>
            </m:naryPr>
            <m:sub>
              <m:r>
                <m:t>i</m:t>
              </m:r>
              <m:r>
                <m:rPr>
                  <m:sty m:val="p"/>
                </m:rPr>
                <m:t>∈</m:t>
              </m:r>
              <m:r>
                <m:t>I</m:t>
              </m:r>
            </m:sub>
            <m:sup>
              <m:r>
                <m:t>​</m:t>
              </m:r>
            </m:sup>
            <m:e>
              <m:nary>
                <m:naryPr>
                  <m:chr m:val="∑"/>
                  <m:limLoc m:val="undOvr"/>
                  <m:subHide m:val="off"/>
                  <m:supHide m:val="on"/>
                </m:naryPr>
                <m:sub>
                  <m:r>
                    <m:t>j</m:t>
                  </m:r>
                  <m:r>
                    <m:rPr>
                      <m:sty m:val="p"/>
                    </m:rPr>
                    <m:t>∈</m:t>
                  </m:r>
                  <m:r>
                    <m:t>J</m:t>
                  </m:r>
                </m:sub>
                <m:sup>
                  <m:r>
                    <m:t>​</m:t>
                  </m:r>
                </m:sup>
                <m:e>
                  <m:nary>
                    <m:naryPr>
                      <m:chr m:val="∑"/>
                      <m:limLoc m:val="undOvr"/>
                      <m:subHide m:val="off"/>
                      <m:supHide m:val="on"/>
                    </m:naryPr>
                    <m:sub>
                      <m:r>
                        <m:t>m</m:t>
                      </m:r>
                      <m:r>
                        <m:rPr>
                          <m:sty m:val="p"/>
                        </m:rPr>
                        <m:t>∈</m:t>
                      </m:r>
                      <m:r>
                        <m:t>M</m:t>
                      </m:r>
                    </m:sub>
                    <m:sup>
                      <m:r>
                        <m:t>​</m:t>
                      </m:r>
                    </m:sup>
                    <m:e>
                      <m:sSub>
                        <m:e>
                          <m:r>
                            <m:t>s</m:t>
                          </m:r>
                        </m:e>
                        <m:sub>
                          <m:r>
                            <m:t>i</m:t>
                          </m:r>
                        </m:sub>
                      </m:sSub>
                    </m:e>
                  </m:nary>
                </m:e>
              </m:nary>
            </m:e>
          </m:nary>
          <m:r>
            <m:rPr>
              <m:sty m:val="p"/>
            </m:rPr>
            <m:t>⋅</m:t>
          </m:r>
          <m:sSub>
            <m:e>
              <m:r>
                <m:t>x</m:t>
              </m:r>
            </m:e>
            <m:sub>
              <m:r>
                <m:t>i</m:t>
              </m:r>
              <m:r>
                <m:t>j</m:t>
              </m:r>
              <m:r>
                <m:t>m</m:t>
              </m:r>
            </m:sub>
          </m:sSub>
        </m:oMath>
      </m:oMathPara>
    </w:p>
    <w:p>
      <w:pPr>
        <w:pStyle w:val="FirstParagraph"/>
      </w:pPr>
      <w:r>
        <w:rPr>
          <w:i/>
          <w:iCs/>
        </w:rPr>
        <w:t xml:space="preserve">Term 2 — Production cost (Melo et al., 2009):</w:t>
      </w:r>
    </w:p>
    <w:p>
      <w:pPr>
        <w:pStyle w:val="BodyText"/>
      </w:pPr>
      <m:oMathPara>
        <m:oMathParaPr>
          <m:jc m:val="center"/>
        </m:oMathParaPr>
        <m:oMath>
          <m:sSub>
            <m:e>
              <m:r>
                <m:t>C</m:t>
              </m:r>
            </m:e>
            <m:sub>
              <m:r>
                <m:rPr>
                  <m:nor/>
                  <m:sty m:val="p"/>
                </m:rPr>
                <m:t>prod</m:t>
              </m:r>
            </m:sub>
          </m:sSub>
          <m:r>
            <m:rPr>
              <m:sty m:val="p"/>
            </m:rPr>
            <m:t>=</m:t>
          </m:r>
          <m:nary>
            <m:naryPr>
              <m:chr m:val="∑"/>
              <m:limLoc m:val="undOvr"/>
              <m:subHide m:val="off"/>
              <m:supHide m:val="on"/>
            </m:naryPr>
            <m:sub>
              <m:r>
                <m:t>j</m:t>
              </m:r>
              <m:r>
                <m:rPr>
                  <m:sty m:val="p"/>
                </m:rPr>
                <m:t>∈</m:t>
              </m:r>
              <m:r>
                <m:t>J</m:t>
              </m:r>
            </m:sub>
            <m:sup>
              <m:r>
                <m:t>​</m:t>
              </m:r>
            </m:sup>
            <m:e>
              <m:sSub>
                <m:e>
                  <m:r>
                    <m:t>p</m:t>
                  </m:r>
                </m:e>
                <m:sub>
                  <m:r>
                    <m:t>j</m:t>
                  </m:r>
                </m:sub>
              </m:sSub>
            </m:e>
          </m:nary>
          <m:r>
            <m:rPr>
              <m:sty m:val="p"/>
            </m:rPr>
            <m:t>⋅</m:t>
          </m:r>
          <m:d>
            <m:dPr>
              <m:begChr m:val="("/>
              <m:sepChr m:val=""/>
              <m:endChr m:val=")"/>
              <m:grow/>
            </m:dPr>
            <m:e>
              <m:nary>
                <m:naryPr>
                  <m:chr m:val="∑"/>
                  <m:limLoc m:val="undOvr"/>
                  <m:subHide m:val="off"/>
                  <m:supHide m:val="on"/>
                </m:naryPr>
                <m:sub>
                  <m:r>
                    <m:t>i</m:t>
                  </m:r>
                  <m:r>
                    <m:rPr>
                      <m:sty m:val="p"/>
                    </m:rPr>
                    <m:t>∈</m:t>
                  </m:r>
                  <m:r>
                    <m:t>I</m:t>
                  </m:r>
                </m:sub>
                <m:sup>
                  <m:r>
                    <m:t>​</m:t>
                  </m:r>
                </m:sup>
                <m:e>
                  <m:nary>
                    <m:naryPr>
                      <m:chr m:val="∑"/>
                      <m:limLoc m:val="undOvr"/>
                      <m:subHide m:val="off"/>
                      <m:supHide m:val="on"/>
                    </m:naryPr>
                    <m:sub>
                      <m:r>
                        <m:t>m</m:t>
                      </m:r>
                      <m:r>
                        <m:rPr>
                          <m:sty m:val="p"/>
                        </m:rPr>
                        <m:t>∈</m:t>
                      </m:r>
                      <m:r>
                        <m:t>M</m:t>
                      </m:r>
                    </m:sub>
                    <m:sup>
                      <m:r>
                        <m:t>​</m:t>
                      </m:r>
                    </m:sup>
                    <m:e>
                      <m:sSub>
                        <m:e>
                          <m:r>
                            <m:t>x</m:t>
                          </m:r>
                        </m:e>
                        <m:sub>
                          <m:r>
                            <m:t>i</m:t>
                          </m:r>
                          <m:r>
                            <m:t>j</m:t>
                          </m:r>
                          <m:r>
                            <m:t>m</m:t>
                          </m:r>
                        </m:sub>
                      </m:sSub>
                    </m:e>
                  </m:nary>
                </m:e>
              </m:nary>
            </m:e>
          </m:d>
        </m:oMath>
      </m:oMathPara>
    </w:p>
    <w:p>
      <w:pPr>
        <w:pStyle w:val="FirstParagraph"/>
      </w:pPr>
      <w:r>
        <w:rPr>
          <w:i/>
          <w:iCs/>
        </w:rPr>
        <w:t xml:space="preserve">Term 3 — Transport cost across all echelon transitions (Melo et al., 2009; congestion from Pishvaee, Torabi, and Razmi, 2012):</w:t>
      </w:r>
    </w:p>
    <w:p>
      <w:pPr>
        <w:pStyle w:val="BodyText"/>
      </w:pPr>
      <m:oMathPara>
        <m:oMathParaPr>
          <m:jc m:val="center"/>
        </m:oMathParaPr>
        <m:oMath>
          <m:sSub>
            <m:e>
              <m:r>
                <m:t>C</m:t>
              </m:r>
            </m:e>
            <m:sub>
              <m:r>
                <m:rPr>
                  <m:nor/>
                  <m:sty m:val="p"/>
                </m:rPr>
                <m:t>trans</m:t>
              </m:r>
            </m:sub>
          </m:sSub>
          <m:r>
            <m:rPr>
              <m:sty m:val="p"/>
            </m:rPr>
            <m:t>=</m:t>
          </m:r>
          <m:nary>
            <m:naryPr>
              <m:chr m:val="∑"/>
              <m:limLoc m:val="undOvr"/>
              <m:subHide m:val="off"/>
              <m:supHide m:val="on"/>
            </m:naryPr>
            <m:sub>
              <m:r>
                <m:t>i</m:t>
              </m:r>
              <m:r>
                <m:rPr>
                  <m:sty m:val="p"/>
                </m:rPr>
                <m:t>,</m:t>
              </m:r>
              <m:r>
                <m:t>j</m:t>
              </m:r>
              <m:r>
                <m:rPr>
                  <m:sty m:val="p"/>
                </m:rPr>
                <m:t>,</m:t>
              </m:r>
              <m:r>
                <m:t>m</m:t>
              </m:r>
            </m:sub>
            <m:sup>
              <m:r>
                <m:t>​</m:t>
              </m:r>
            </m:sup>
            <m:e>
              <m:sSub>
                <m:e>
                  <m:r>
                    <m:t>t</m:t>
                  </m:r>
                </m:e>
                <m:sub>
                  <m:r>
                    <m:t>m</m:t>
                  </m:r>
                </m:sub>
              </m:sSub>
            </m:e>
          </m:nary>
          <m:r>
            <m:rPr>
              <m:sty m:val="p"/>
            </m:rPr>
            <m:t>⋅</m:t>
          </m:r>
          <m:sSub>
            <m:e>
              <m:r>
                <m:t>δ</m:t>
              </m:r>
            </m:e>
            <m:sub>
              <m:r>
                <m:t>i</m:t>
              </m:r>
              <m:r>
                <m:t>j</m:t>
              </m:r>
            </m:sub>
          </m:sSub>
          <m:r>
            <m:rPr>
              <m:sty m:val="p"/>
            </m:rPr>
            <m:t>⋅</m:t>
          </m:r>
          <m:sSub>
            <m:e>
              <m:r>
                <m:t>γ</m:t>
              </m:r>
            </m:e>
            <m:sub>
              <m:r>
                <m:t>i</m:t>
              </m:r>
              <m:r>
                <m:t>j</m:t>
              </m:r>
            </m:sub>
          </m:sSub>
          <m:r>
            <m:rPr>
              <m:sty m:val="p"/>
            </m:rPr>
            <m:t>⋅</m:t>
          </m:r>
          <m:sSub>
            <m:e>
              <m:r>
                <m:t>x</m:t>
              </m:r>
            </m:e>
            <m:sub>
              <m:r>
                <m:t>i</m:t>
              </m:r>
              <m:r>
                <m:t>j</m:t>
              </m:r>
              <m:r>
                <m:t>m</m:t>
              </m:r>
            </m:sub>
          </m:sSub>
          <m:r>
            <m:rPr>
              <m:sty m:val="p"/>
            </m:rPr>
            <m:t>+</m:t>
          </m:r>
          <m:nary>
            <m:naryPr>
              <m:chr m:val="∑"/>
              <m:limLoc m:val="undOvr"/>
              <m:subHide m:val="off"/>
              <m:supHide m:val="on"/>
            </m:naryPr>
            <m:sub>
              <m:r>
                <m:t>j</m:t>
              </m:r>
              <m:r>
                <m:rPr>
                  <m:sty m:val="p"/>
                </m:rPr>
                <m:t>,</m:t>
              </m:r>
              <m:r>
                <m:t>k</m:t>
              </m:r>
              <m:r>
                <m:rPr>
                  <m:sty m:val="p"/>
                </m:rPr>
                <m:t>,</m:t>
              </m:r>
              <m:r>
                <m:t>m</m:t>
              </m:r>
            </m:sub>
            <m:sup>
              <m:r>
                <m:t>​</m:t>
              </m:r>
            </m:sup>
            <m:e>
              <m:sSub>
                <m:e>
                  <m:r>
                    <m:t>t</m:t>
                  </m:r>
                </m:e>
                <m:sub>
                  <m:r>
                    <m:t>m</m:t>
                  </m:r>
                </m:sub>
              </m:sSub>
            </m:e>
          </m:nary>
          <m:r>
            <m:rPr>
              <m:sty m:val="p"/>
            </m:rPr>
            <m:t>⋅</m:t>
          </m:r>
          <m:sSub>
            <m:e>
              <m:r>
                <m:t>δ</m:t>
              </m:r>
            </m:e>
            <m:sub>
              <m:r>
                <m:t>j</m:t>
              </m:r>
              <m:r>
                <m:t>k</m:t>
              </m:r>
            </m:sub>
          </m:sSub>
          <m:r>
            <m:rPr>
              <m:sty m:val="p"/>
            </m:rPr>
            <m:t>⋅</m:t>
          </m:r>
          <m:sSub>
            <m:e>
              <m:r>
                <m:t>γ</m:t>
              </m:r>
            </m:e>
            <m:sub>
              <m:r>
                <m:t>j</m:t>
              </m:r>
              <m:r>
                <m:t>k</m:t>
              </m:r>
            </m:sub>
          </m:sSub>
          <m:r>
            <m:rPr>
              <m:sty m:val="p"/>
            </m:rPr>
            <m:t>⋅</m:t>
          </m:r>
          <m:sSub>
            <m:e>
              <m:r>
                <m:t>y</m:t>
              </m:r>
            </m:e>
            <m:sub>
              <m:r>
                <m:t>j</m:t>
              </m:r>
              <m:r>
                <m:t>k</m:t>
              </m:r>
              <m:r>
                <m:t>m</m:t>
              </m:r>
            </m:sub>
          </m:sSub>
          <m:r>
            <m:rPr>
              <m:sty m:val="p"/>
            </m:rPr>
            <m:t>+</m:t>
          </m:r>
          <m:nary>
            <m:naryPr>
              <m:chr m:val="∑"/>
              <m:limLoc m:val="undOvr"/>
              <m:subHide m:val="off"/>
              <m:supHide m:val="on"/>
            </m:naryPr>
            <m:sub>
              <m:r>
                <m:t>k</m:t>
              </m:r>
              <m:r>
                <m:rPr>
                  <m:sty m:val="p"/>
                </m:rPr>
                <m:t>,</m:t>
              </m:r>
              <m:r>
                <m:t>l</m:t>
              </m:r>
              <m:r>
                <m:rPr>
                  <m:sty m:val="p"/>
                </m:rPr>
                <m:t>,</m:t>
              </m:r>
              <m:r>
                <m:t>m</m:t>
              </m:r>
            </m:sub>
            <m:sup>
              <m:r>
                <m:t>​</m:t>
              </m:r>
            </m:sup>
            <m:e>
              <m:sSub>
                <m:e>
                  <m:r>
                    <m:t>t</m:t>
                  </m:r>
                </m:e>
                <m:sub>
                  <m:r>
                    <m:t>m</m:t>
                  </m:r>
                </m:sub>
              </m:sSub>
            </m:e>
          </m:nary>
          <m:r>
            <m:rPr>
              <m:sty m:val="p"/>
            </m:rPr>
            <m:t>⋅</m:t>
          </m:r>
          <m:sSub>
            <m:e>
              <m:r>
                <m:t>δ</m:t>
              </m:r>
            </m:e>
            <m:sub>
              <m:r>
                <m:t>k</m:t>
              </m:r>
              <m:r>
                <m:t>l</m:t>
              </m:r>
            </m:sub>
          </m:sSub>
          <m:r>
            <m:rPr>
              <m:sty m:val="p"/>
            </m:rPr>
            <m:t>⋅</m:t>
          </m:r>
          <m:sSub>
            <m:e>
              <m:r>
                <m:t>γ</m:t>
              </m:r>
            </m:e>
            <m:sub>
              <m:r>
                <m:t>k</m:t>
              </m:r>
              <m:r>
                <m:t>l</m:t>
              </m:r>
            </m:sub>
          </m:sSub>
          <m:r>
            <m:rPr>
              <m:sty m:val="p"/>
            </m:rPr>
            <m:t>⋅</m:t>
          </m:r>
          <m:sSub>
            <m:e>
              <m:r>
                <m:t>z</m:t>
              </m:r>
            </m:e>
            <m:sub>
              <m:r>
                <m:t>k</m:t>
              </m:r>
              <m:r>
                <m:t>l</m:t>
              </m:r>
              <m:r>
                <m:t>m</m:t>
              </m:r>
            </m:sub>
          </m:sSub>
        </m:oMath>
      </m:oMathPara>
    </w:p>
    <w:p>
      <w:pPr>
        <w:pStyle w:val="FirstParagraph"/>
      </w:pPr>
      <w:r>
        <w:rPr>
          <w:i/>
          <w:iCs/>
        </w:rPr>
        <w:t xml:space="preserve">Term 4 — Holding cost at DCs (Melo et al., 2009):</w:t>
      </w:r>
    </w:p>
    <w:p>
      <w:pPr>
        <w:pStyle w:val="BodyText"/>
      </w:pPr>
      <m:oMathPara>
        <m:oMathParaPr>
          <m:jc m:val="center"/>
        </m:oMathParaPr>
        <m:oMath>
          <m:sSub>
            <m:e>
              <m:r>
                <m:t>C</m:t>
              </m:r>
            </m:e>
            <m:sub>
              <m:r>
                <m:rPr>
                  <m:nor/>
                  <m:sty m:val="p"/>
                </m:rPr>
                <m:t>hold</m:t>
              </m:r>
            </m:sub>
          </m:sSub>
          <m:r>
            <m:rPr>
              <m:sty m:val="p"/>
            </m:rPr>
            <m:t>=</m:t>
          </m:r>
          <m:nary>
            <m:naryPr>
              <m:chr m:val="∑"/>
              <m:limLoc m:val="undOvr"/>
              <m:subHide m:val="off"/>
              <m:supHide m:val="on"/>
            </m:naryPr>
            <m:sub>
              <m:r>
                <m:t>k</m:t>
              </m:r>
              <m:r>
                <m:rPr>
                  <m:sty m:val="p"/>
                </m:rPr>
                <m:t>∈</m:t>
              </m:r>
              <m:r>
                <m:t>K</m:t>
              </m:r>
            </m:sub>
            <m:sup>
              <m:r>
                <m:t>​</m:t>
              </m:r>
            </m:sup>
            <m:e>
              <m:sSub>
                <m:e>
                  <m:r>
                    <m:t>h</m:t>
                  </m:r>
                </m:e>
                <m:sub>
                  <m:r>
                    <m:t>k</m:t>
                  </m:r>
                </m:sub>
              </m:sSub>
            </m:e>
          </m:nary>
          <m:r>
            <m:rPr>
              <m:sty m:val="p"/>
            </m:rPr>
            <m:t>⋅</m:t>
          </m:r>
          <m:d>
            <m:dPr>
              <m:begChr m:val="("/>
              <m:sepChr m:val=""/>
              <m:endChr m:val=")"/>
              <m:grow/>
            </m:dPr>
            <m:e>
              <m:nary>
                <m:naryPr>
                  <m:chr m:val="∑"/>
                  <m:limLoc m:val="undOvr"/>
                  <m:subHide m:val="off"/>
                  <m:supHide m:val="on"/>
                </m:naryPr>
                <m:sub>
                  <m:r>
                    <m:t>j</m:t>
                  </m:r>
                  <m:r>
                    <m:rPr>
                      <m:sty m:val="p"/>
                    </m:rPr>
                    <m:t>∈</m:t>
                  </m:r>
                  <m:r>
                    <m:t>J</m:t>
                  </m:r>
                </m:sub>
                <m:sup>
                  <m:r>
                    <m:t>​</m:t>
                  </m:r>
                </m:sup>
                <m:e>
                  <m:nary>
                    <m:naryPr>
                      <m:chr m:val="∑"/>
                      <m:limLoc m:val="undOvr"/>
                      <m:subHide m:val="off"/>
                      <m:supHide m:val="on"/>
                    </m:naryPr>
                    <m:sub>
                      <m:r>
                        <m:t>m</m:t>
                      </m:r>
                      <m:r>
                        <m:rPr>
                          <m:sty m:val="p"/>
                        </m:rPr>
                        <m:t>∈</m:t>
                      </m:r>
                      <m:r>
                        <m:t>M</m:t>
                      </m:r>
                    </m:sub>
                    <m:sup>
                      <m:r>
                        <m:t>​</m:t>
                      </m:r>
                    </m:sup>
                    <m:e>
                      <m:sSub>
                        <m:e>
                          <m:r>
                            <m:t>y</m:t>
                          </m:r>
                        </m:e>
                        <m:sub>
                          <m:r>
                            <m:t>j</m:t>
                          </m:r>
                          <m:r>
                            <m:t>k</m:t>
                          </m:r>
                          <m:r>
                            <m:t>m</m:t>
                          </m:r>
                        </m:sub>
                      </m:sSub>
                    </m:e>
                  </m:nary>
                </m:e>
              </m:nary>
            </m:e>
          </m:d>
        </m:oMath>
      </m:oMathPara>
    </w:p>
    <w:p>
      <w:pPr>
        <w:pStyle w:val="FirstParagraph"/>
      </w:pPr>
      <w:r>
        <w:rPr>
          <w:i/>
          <w:iCs/>
        </w:rPr>
        <w:t xml:space="preserve">Term 5 — Unmet demand penalty (Jabbarzadeh et al., 2018):</w:t>
      </w:r>
    </w:p>
    <w:p>
      <w:pPr>
        <w:pStyle w:val="BodyText"/>
      </w:pPr>
      <m:oMathPara>
        <m:oMathParaPr>
          <m:jc m:val="center"/>
        </m:oMathParaPr>
        <m:oMath>
          <m:sSub>
            <m:e>
              <m:r>
                <m:t>C</m:t>
              </m:r>
            </m:e>
            <m:sub>
              <m:r>
                <m:rPr>
                  <m:nor/>
                  <m:sty m:val="p"/>
                </m:rPr>
                <m:t>short</m:t>
              </m:r>
            </m:sub>
          </m:sSub>
          <m:r>
            <m:rPr>
              <m:sty m:val="p"/>
            </m:rPr>
            <m:t>=</m:t>
          </m:r>
          <m:r>
            <m:t>π</m:t>
          </m:r>
          <m:r>
            <m:rPr>
              <m:sty m:val="p"/>
            </m:rPr>
            <m:t>⋅</m:t>
          </m:r>
          <m:nary>
            <m:naryPr>
              <m:chr m:val="∑"/>
              <m:limLoc m:val="undOvr"/>
              <m:subHide m:val="off"/>
              <m:supHide m:val="on"/>
            </m:naryPr>
            <m:sub>
              <m:r>
                <m:t>l</m:t>
              </m:r>
              <m:r>
                <m:rPr>
                  <m:sty m:val="p"/>
                </m:rPr>
                <m:t>∈</m:t>
              </m:r>
              <m:r>
                <m:t>L</m:t>
              </m:r>
            </m:sub>
            <m:sup>
              <m:r>
                <m:t>​</m:t>
              </m:r>
            </m:sup>
            <m:e>
              <m:r>
                <m:rPr>
                  <m:sty m:val="p"/>
                </m:rPr>
                <m:t>max</m:t>
              </m:r>
            </m:e>
          </m:nary>
          <m:d>
            <m:dPr>
              <m:begChr m:val="("/>
              <m:sepChr m:val=""/>
              <m:endChr m:val=")"/>
              <m:grow/>
            </m:dPr>
            <m:e>
              <m:r>
                <m:t>0</m:t>
              </m:r>
              <m:r>
                <m:rPr>
                  <m:sty m:val="p"/>
                </m:rPr>
                <m:t>,</m:t>
              </m:r>
              <m:r>
                <m:t> </m:t>
              </m:r>
              <m:sSub>
                <m:e>
                  <m:r>
                    <m:t>d</m:t>
                  </m:r>
                </m:e>
                <m:sub>
                  <m:r>
                    <m:t>l</m:t>
                  </m:r>
                </m:sub>
              </m:sSub>
              <m:r>
                <m:rPr>
                  <m:sty m:val="p"/>
                </m:rPr>
                <m:t>−</m:t>
              </m:r>
              <m:nary>
                <m:naryPr>
                  <m:chr m:val="∑"/>
                  <m:limLoc m:val="undOvr"/>
                  <m:subHide m:val="off"/>
                  <m:supHide m:val="on"/>
                </m:naryPr>
                <m:sub>
                  <m:r>
                    <m:t>k</m:t>
                  </m:r>
                  <m:r>
                    <m:rPr>
                      <m:sty m:val="p"/>
                    </m:rPr>
                    <m:t>∈</m:t>
                  </m:r>
                  <m:r>
                    <m:t>K</m:t>
                  </m:r>
                </m:sub>
                <m:sup>
                  <m:r>
                    <m:t>​</m:t>
                  </m:r>
                </m:sup>
                <m:e>
                  <m:nary>
                    <m:naryPr>
                      <m:chr m:val="∑"/>
                      <m:limLoc m:val="undOvr"/>
                      <m:subHide m:val="off"/>
                      <m:supHide m:val="on"/>
                    </m:naryPr>
                    <m:sub>
                      <m:r>
                        <m:t>m</m:t>
                      </m:r>
                      <m:r>
                        <m:rPr>
                          <m:sty m:val="p"/>
                        </m:rPr>
                        <m:t>∈</m:t>
                      </m:r>
                      <m:r>
                        <m:t>M</m:t>
                      </m:r>
                    </m:sub>
                    <m:sup>
                      <m:r>
                        <m:t>​</m:t>
                      </m:r>
                    </m:sup>
                    <m:e>
                      <m:sSub>
                        <m:e>
                          <m:r>
                            <m:t>z</m:t>
                          </m:r>
                        </m:e>
                        <m:sub>
                          <m:r>
                            <m:t>k</m:t>
                          </m:r>
                          <m:r>
                            <m:t>l</m:t>
                          </m:r>
                          <m:r>
                            <m:t>m</m:t>
                          </m:r>
                        </m:sub>
                      </m:sSub>
                    </m:e>
                  </m:nary>
                </m:e>
              </m:nary>
            </m:e>
          </m:d>
        </m:oMath>
      </m:oMathPara>
    </w:p>
    <w:p>
      <w:pPr>
        <w:pStyle w:val="FirstParagraph"/>
      </w:pPr>
      <w:r>
        <w:rPr>
          <w:b/>
          <w:bCs/>
        </w:rPr>
        <w:t xml:space="preserve">Explanation of each term:</w:t>
      </w:r>
    </w:p>
    <w:p>
      <w:pPr>
        <w:numPr>
          <w:ilvl w:val="0"/>
          <w:numId w:val="1007"/>
        </w:numPr>
      </w:pPr>
      <w:r>
        <w:rPr>
          <w:b/>
          <w:bCs/>
        </w:rPr>
        <w:t xml:space="preserve">(4.2a) Procurement cost:</w:t>
      </w:r>
      <w:r>
        <w:t xml:space="preserve"> </w:t>
      </w:r>
      <w:r>
        <w:t xml:space="preserve">The cost of purchasing raw materials from suppliers. Each unit shipped from supplier</w:t>
      </w:r>
      <w:r>
        <w:t xml:space="preserve"> </w:t>
      </w:r>
      <m:oMath>
        <m:r>
          <m:t>i</m:t>
        </m:r>
      </m:oMath>
      <w:r>
        <w:t xml:space="preserve"> </w:t>
      </w:r>
      <w:r>
        <w:t xml:space="preserve">incurs a per-unit procurement cost</w:t>
      </w:r>
      <w:r>
        <w:t xml:space="preserve"> </w:t>
      </w:r>
      <m:oMath>
        <m:sSub>
          <m:e>
            <m:r>
              <m:t>s</m:t>
            </m:r>
          </m:e>
          <m:sub>
            <m:r>
              <m:t>i</m:t>
            </m:r>
          </m:sub>
        </m:sSub>
      </m:oMath>
      <w:r>
        <w:t xml:space="preserve">, regardless of destination or transport mode. This is the first-layer cost in the Melo et al. (2009) decomposition.</w:t>
      </w:r>
    </w:p>
    <w:p>
      <w:pPr>
        <w:numPr>
          <w:ilvl w:val="0"/>
          <w:numId w:val="1007"/>
        </w:numPr>
      </w:pPr>
      <w:r>
        <w:rPr>
          <w:b/>
          <w:bCs/>
        </w:rPr>
        <w:t xml:space="preserve">(4.2b) Production cost:</w:t>
      </w:r>
      <w:r>
        <w:t xml:space="preserve"> </w:t>
      </w:r>
      <w:r>
        <w:t xml:space="preserve">The cost of processing/manufacturing at factories. The total inflow to factory</w:t>
      </w:r>
      <w:r>
        <w:t xml:space="preserve"> </w:t>
      </w:r>
      <m:oMath>
        <m:r>
          <m:t>j</m:t>
        </m:r>
      </m:oMath>
      <w:r>
        <w:t xml:space="preserve"> </w:t>
      </w:r>
      <w:r>
        <w:t xml:space="preserve">(summed over all suppliers and modes) is multiplied by the per-unit production cost</w:t>
      </w:r>
      <w:r>
        <w:t xml:space="preserve"> </w:t>
      </w:r>
      <m:oMath>
        <m:sSub>
          <m:e>
            <m:r>
              <m:t>p</m:t>
            </m:r>
          </m:e>
          <m:sub>
            <m:r>
              <m:t>j</m:t>
            </m:r>
          </m:sub>
        </m:sSub>
      </m:oMath>
      <w:r>
        <w:t xml:space="preserve">. This is the second-layer cost in the Melo et al. (2009) decomposition.</w:t>
      </w:r>
    </w:p>
    <w:p>
      <w:pPr>
        <w:numPr>
          <w:ilvl w:val="0"/>
          <w:numId w:val="1007"/>
        </w:numPr>
      </w:pPr>
      <w:r>
        <w:rPr>
          <w:b/>
          <w:bCs/>
        </w:rPr>
        <w:t xml:space="preserve">(4.2c) Transport cost:</w:t>
      </w:r>
      <w:r>
        <w:t xml:space="preserve"> </w:t>
      </w:r>
      <w:r>
        <w:t xml:space="preserve">The cost of shipping goods across all three inter-echelon transitions (Supplier to Factory, Factory to DC, DC to Customer). For each arc, the cost is: unit transport rate</w:t>
      </w:r>
      <w:r>
        <w:t xml:space="preserve"> </w:t>
      </w:r>
      <m:oMath>
        <m:sSub>
          <m:e>
            <m:r>
              <m:t>t</m:t>
            </m:r>
          </m:e>
          <m:sub>
            <m:r>
              <m:t>m</m:t>
            </m:r>
          </m:sub>
        </m:sSub>
      </m:oMath>
      <w:r>
        <w:t xml:space="preserve"> </w:t>
      </w:r>
      <w:r>
        <w:t xml:space="preserve">for mode</w:t>
      </w:r>
      <w:r>
        <w:t xml:space="preserve"> </w:t>
      </w:r>
      <m:oMath>
        <m:r>
          <m:t>m</m:t>
        </m:r>
      </m:oMath>
      <w:r>
        <w:t xml:space="preserve"> </w:t>
      </w:r>
      <w:r>
        <w:t xml:space="preserve">multiplied by distance</w:t>
      </w:r>
      <w:r>
        <w:t xml:space="preserve"> </w:t>
      </w:r>
      <m:oMath>
        <m:sSub>
          <m:e>
            <m:r>
              <m:t>δ</m:t>
            </m:r>
          </m:e>
          <m:sub>
            <m:r>
              <m:t>a</m:t>
            </m:r>
            <m:r>
              <m:t>b</m:t>
            </m:r>
          </m:sub>
        </m:sSub>
      </m:oMath>
      <w:r>
        <w:t xml:space="preserve">, congestion factor</w:t>
      </w:r>
      <w:r>
        <w:t xml:space="preserve"> </w:t>
      </w:r>
      <m:oMath>
        <m:sSub>
          <m:e>
            <m:r>
              <m:t>γ</m:t>
            </m:r>
          </m:e>
          <m:sub>
            <m:r>
              <m:t>a</m:t>
            </m:r>
            <m:r>
              <m:t>b</m:t>
            </m:r>
          </m:sub>
        </m:sSub>
      </m:oMath>
      <w:r>
        <w:t xml:space="preserve">, and flow volume. The congestion factor</w:t>
      </w:r>
      <w:r>
        <w:t xml:space="preserve"> </w:t>
      </w:r>
      <m:oMath>
        <m:sSub>
          <m:e>
            <m:r>
              <m:t>γ</m:t>
            </m:r>
          </m:e>
          <m:sub>
            <m:r>
              <m:t>a</m:t>
            </m:r>
            <m:r>
              <m:t>b</m:t>
            </m:r>
          </m:sub>
        </m:sSub>
        <m:r>
          <m:rPr>
            <m:sty m:val="p"/>
          </m:rPr>
          <m:t>≥</m:t>
        </m:r>
        <m:r>
          <m:t>1</m:t>
        </m:r>
      </m:oMath>
      <w:r>
        <w:t xml:space="preserve"> </w:t>
      </w:r>
      <w:r>
        <w:t xml:space="preserve">inflates costs on congested routes; this element is adapted from Pishvaee, Torabi, and Razmi (2012), who argue that ignoring congestion systematically underestimates logistics costs.</w:t>
      </w:r>
    </w:p>
    <w:p>
      <w:pPr>
        <w:numPr>
          <w:ilvl w:val="0"/>
          <w:numId w:val="1007"/>
        </w:numPr>
      </w:pPr>
      <w:r>
        <w:rPr>
          <w:b/>
          <w:bCs/>
        </w:rPr>
        <w:t xml:space="preserve">(4.2d) Holding cost:</w:t>
      </w:r>
      <w:r>
        <w:t xml:space="preserve"> </w:t>
      </w:r>
      <w:r>
        <w:t xml:space="preserve">The cost of warehousing goods at distribution centres. Each unit flowing through DC</w:t>
      </w:r>
      <w:r>
        <w:t xml:space="preserve"> </w:t>
      </w:r>
      <m:oMath>
        <m:r>
          <m:t>k</m:t>
        </m:r>
      </m:oMath>
      <w:r>
        <w:t xml:space="preserve"> </w:t>
      </w:r>
      <w:r>
        <w:t xml:space="preserve">incurs a per-unit holding cost</w:t>
      </w:r>
      <w:r>
        <w:t xml:space="preserve"> </w:t>
      </w:r>
      <m:oMath>
        <m:sSub>
          <m:e>
            <m:r>
              <m:t>h</m:t>
            </m:r>
          </m:e>
          <m:sub>
            <m:r>
              <m:t>k</m:t>
            </m:r>
          </m:sub>
        </m:sSub>
      </m:oMath>
      <w:r>
        <w:t xml:space="preserve">. This is the fourth-layer cost in the Melo et al. (2009) decomposition.</w:t>
      </w:r>
    </w:p>
    <w:p>
      <w:pPr>
        <w:numPr>
          <w:ilvl w:val="0"/>
          <w:numId w:val="1007"/>
        </w:numPr>
      </w:pPr>
      <w:r>
        <w:rPr>
          <w:b/>
          <w:bCs/>
        </w:rPr>
        <w:t xml:space="preserve">(4.2e) Shortage penalty:</w:t>
      </w:r>
      <w:r>
        <w:t xml:space="preserve"> </w:t>
      </w:r>
      <w:r>
        <w:t xml:space="preserve">Adopted directly from Jabbarzadeh et al. (2018). When the supply to customer</w:t>
      </w:r>
      <w:r>
        <w:t xml:space="preserve"> </w:t>
      </w:r>
      <m:oMath>
        <m:r>
          <m:t>l</m:t>
        </m:r>
      </m:oMath>
      <w:r>
        <w:t xml:space="preserve"> </w:t>
      </w:r>
      <w:r>
        <w:t xml:space="preserve">falls short of demand</w:t>
      </w:r>
      <w:r>
        <w:t xml:space="preserve"> </w:t>
      </w:r>
      <m:oMath>
        <m:sSub>
          <m:e>
            <m:r>
              <m:t>d</m:t>
            </m:r>
          </m:e>
          <m:sub>
            <m:r>
              <m:t>l</m:t>
            </m:r>
          </m:sub>
        </m:sSub>
      </m:oMath>
      <w:r>
        <w:t xml:space="preserve">, the deficit</w:t>
      </w:r>
      <w:r>
        <w:t xml:space="preserve"> </w:t>
      </w:r>
      <m:oMath>
        <m:r>
          <m:rPr>
            <m:sty m:val="p"/>
          </m:rPr>
          <m:t>(</m:t>
        </m:r>
        <m:sSub>
          <m:e>
            <m:r>
              <m:t>d</m:t>
            </m:r>
          </m:e>
          <m:sub>
            <m:r>
              <m:t>l</m:t>
            </m:r>
          </m:sub>
        </m:sSub>
        <m:r>
          <m:rPr>
            <m:sty m:val="p"/>
          </m:rPr>
          <m:t>−</m:t>
        </m:r>
        <m:nary>
          <m:naryPr>
            <m:chr m:val="∑"/>
            <m:limLoc m:val="undOvr"/>
            <m:subHide m:val="off"/>
            <m:supHide m:val="on"/>
          </m:naryPr>
          <m:sub>
            <m:r>
              <m:t>k</m:t>
            </m:r>
            <m:r>
              <m:rPr>
                <m:sty m:val="p"/>
              </m:rPr>
              <m:t>,</m:t>
            </m:r>
            <m:r>
              <m:t>m</m:t>
            </m:r>
          </m:sub>
          <m:sup>
            <m:r>
              <m:t>​</m:t>
            </m:r>
          </m:sup>
          <m:e>
            <m:sSub>
              <m:e>
                <m:r>
                  <m:t>z</m:t>
                </m:r>
              </m:e>
              <m:sub>
                <m:r>
                  <m:t>k</m:t>
                </m:r>
                <m:r>
                  <m:t>l</m:t>
                </m:r>
                <m:r>
                  <m:t>m</m:t>
                </m:r>
              </m:sub>
            </m:sSub>
          </m:e>
        </m:nary>
        <m:r>
          <m:rPr>
            <m:sty m:val="p"/>
          </m:rPr>
          <m:t>)</m:t>
        </m:r>
      </m:oMath>
      <w:r>
        <w:t xml:space="preserve"> </w:t>
      </w:r>
      <w:r>
        <w:t xml:space="preserve">is penalised at rate</w:t>
      </w:r>
      <w:r>
        <w:t xml:space="preserve"> </w:t>
      </w:r>
      <m:oMath>
        <m:r>
          <m:t>π</m:t>
        </m:r>
        <m:r>
          <m:rPr>
            <m:sty m:val="p"/>
          </m:rPr>
          <m:t>=</m:t>
        </m:r>
        <m:r>
          <m:t>500</m:t>
        </m:r>
      </m:oMath>
      <w:r>
        <w:t xml:space="preserve"> </w:t>
      </w:r>
      <w:r>
        <w:t xml:space="preserve">$/unit. This term is zero when demand is fully met and positive when there is a shortfall, effectively converting the hard demand constraint into a soft objective component.</w:t>
      </w:r>
    </w:p>
    <w:bookmarkEnd w:id="51"/>
    <w:bookmarkStart w:id="52" w:name="Xc1140ec711ac3b42a506650c3c26e6967f3ce85"/>
    <w:p>
      <w:pPr>
        <w:pStyle w:val="Heading3"/>
      </w:pPr>
      <w:r>
        <w:rPr>
          <w:rStyle w:val="SectionNumber"/>
        </w:rPr>
        <w:t xml:space="preserve">9.3</w:t>
      </w:r>
      <w:r>
        <w:tab/>
      </w:r>
      <w:r>
        <w:t xml:space="preserve">4.3 Objective 2: Total Carbon Emissions Minimisation</w:t>
      </w:r>
    </w:p>
    <w:p>
      <w:pPr>
        <w:pStyle w:val="FirstParagraph"/>
      </w:pPr>
      <w:r>
        <w:rPr>
          <w:b/>
          <w:bCs/>
        </w:rPr>
        <w:t xml:space="preserve">Primary source: Pishvaee and Razmi (2012),</w:t>
      </w:r>
      <w:r>
        <w:rPr>
          <w:b/>
          <w:bCs/>
        </w:rPr>
        <w:t xml:space="preserve"> </w:t>
      </w:r>
      <w:r>
        <w:rPr>
          <w:b/>
          <w:bCs/>
          <w:i/>
          <w:iCs/>
        </w:rPr>
        <w:t xml:space="preserve">Applied Mathematical Modelling</w:t>
      </w:r>
      <w:r>
        <w:rPr>
          <w:b/>
          <w:bCs/>
        </w:rPr>
        <w:t xml:space="preserve">, 36(8), 3433–3446.</w:t>
      </w:r>
    </w:p>
    <w:p>
      <w:pPr>
        <w:pStyle w:val="BodyText"/>
      </w:pPr>
      <w:r>
        <w:t xml:space="preserve">Pishvaee and Razmi (2012) were among the first to apply Life Cycle Assessment (LCA) principles to SCND optimisation. Their key insight is that a naive emission model that only counts transport emissions severely underestimates the true environmental impact, because significant emissions occur at facilities themselves—from raw material processing at suppliers, energy-intensive manufacturing at factories, and electricity consumption for refrigeration and lighting at warehouses. Their LCA framework decomposes total emissions into facility-level and transport-level components at every stage of the supply chain, yielding a comprehensive environmental assessment.</w:t>
      </w:r>
    </w:p>
    <w:p>
      <w:pPr>
        <w:pStyle w:val="BodyText"/>
      </w:pPr>
      <w:r>
        <w:t xml:space="preserve">Specifically, their model introduces three types of facility emissions that are absent from transport-only models: (i)</w:t>
      </w:r>
      <w:r>
        <w:t xml:space="preserve"> </w:t>
      </w:r>
      <w:r>
        <w:rPr>
          <w:b/>
          <w:bCs/>
        </w:rPr>
        <w:t xml:space="preserve">supplier emissions</w:t>
      </w:r>
      <w:r>
        <w:t xml:space="preserve"> </w:t>
      </w:r>
      <w:r>
        <w:t xml:space="preserve">(</w:t>
      </w:r>
      <m:oMath>
        <m:sSub>
          <m:e>
            <m:r>
              <m:t>e</m:t>
            </m:r>
          </m:e>
          <m:sub>
            <m:r>
              <m:t>i</m:t>
            </m:r>
          </m:sub>
        </m:sSub>
      </m:oMath>
      <w:r>
        <w:t xml:space="preserve"> </w:t>
      </w:r>
      <w:r>
        <w:t xml:space="preserve">per unit), representing CO</w:t>
      </w:r>
      <m:oMath>
        <m:sSub>
          <m:e>
            <m:r>
              <m:t>​</m:t>
            </m:r>
          </m:e>
          <m:sub>
            <m:r>
              <m:t>2</m:t>
            </m:r>
          </m:sub>
        </m:sSub>
      </m:oMath>
      <w:r>
        <w:t xml:space="preserve"> </w:t>
      </w:r>
      <w:r>
        <w:t xml:space="preserve">from raw material extraction and processing; (ii)</w:t>
      </w:r>
      <w:r>
        <w:t xml:space="preserve"> </w:t>
      </w:r>
      <w:r>
        <w:rPr>
          <w:b/>
          <w:bCs/>
        </w:rPr>
        <w:t xml:space="preserve">production emissions</w:t>
      </w:r>
      <w:r>
        <w:t xml:space="preserve"> </w:t>
      </w:r>
      <w:r>
        <w:t xml:space="preserve">(</w:t>
      </w:r>
      <m:oMath>
        <m:sSub>
          <m:e>
            <m:r>
              <m:t>ε</m:t>
            </m:r>
          </m:e>
          <m:sub>
            <m:r>
              <m:t>j</m:t>
            </m:r>
          </m:sub>
        </m:sSub>
      </m:oMath>
      <w:r>
        <w:t xml:space="preserve"> </w:t>
      </w:r>
      <w:r>
        <w:t xml:space="preserve">per unit), representing CO</w:t>
      </w:r>
      <m:oMath>
        <m:sSub>
          <m:e>
            <m:r>
              <m:t>​</m:t>
            </m:r>
          </m:e>
          <m:sub>
            <m:r>
              <m:t>2</m:t>
            </m:r>
          </m:sub>
        </m:sSub>
      </m:oMath>
      <w:r>
        <w:t xml:space="preserve"> </w:t>
      </w:r>
      <w:r>
        <w:t xml:space="preserve">from manufacturing energy consumption; and (iii)</w:t>
      </w:r>
      <w:r>
        <w:t xml:space="preserve"> </w:t>
      </w:r>
      <w:r>
        <w:rPr>
          <w:b/>
          <w:bCs/>
        </w:rPr>
        <w:t xml:space="preserve">warehousing emissions</w:t>
      </w:r>
      <w:r>
        <w:t xml:space="preserve"> </w:t>
      </w:r>
      <w:r>
        <w:t xml:space="preserve">(</w:t>
      </w:r>
      <m:oMath>
        <m:sSub>
          <m:e>
            <m:r>
              <m:t>ξ</m:t>
            </m:r>
          </m:e>
          <m:sub>
            <m:r>
              <m:t>k</m:t>
            </m:r>
          </m:sub>
        </m:sSub>
      </m:oMath>
      <w:r>
        <w:t xml:space="preserve"> </w:t>
      </w:r>
      <w:r>
        <w:t xml:space="preserve">per unit), representing CO</w:t>
      </w:r>
      <m:oMath>
        <m:sSub>
          <m:e>
            <m:r>
              <m:t>​</m:t>
            </m:r>
          </m:e>
          <m:sub>
            <m:r>
              <m:t>2</m:t>
            </m:r>
          </m:sub>
        </m:sSub>
      </m:oMath>
      <w:r>
        <w:t xml:space="preserve"> </w:t>
      </w:r>
      <w:r>
        <w:t xml:space="preserve">from DC operations including climate control, material handling, and lighting. Our emission objective directly implements all three facility-level components.</w:t>
      </w:r>
    </w:p>
    <w:p>
      <w:pPr>
        <w:pStyle w:val="BodyText"/>
      </w:pPr>
      <w:r>
        <w:rPr>
          <w:b/>
          <w:bCs/>
        </w:rPr>
        <w:t xml:space="preserve">Extension source: Pishvaee, Torabi, and Razmi (2012),</w:t>
      </w:r>
      <w:r>
        <w:rPr>
          <w:b/>
          <w:bCs/>
        </w:rPr>
        <w:t xml:space="preserve"> </w:t>
      </w:r>
      <w:r>
        <w:rPr>
          <w:b/>
          <w:bCs/>
          <w:i/>
          <w:iCs/>
        </w:rPr>
        <w:t xml:space="preserve">Computers and Industrial Engineering</w:t>
      </w:r>
      <w:r>
        <w:rPr>
          <w:b/>
          <w:bCs/>
        </w:rPr>
        <w:t xml:space="preserve">, 62(2), 624–632.</w:t>
      </w:r>
    </w:p>
    <w:p>
      <w:pPr>
        <w:pStyle w:val="BodyText"/>
      </w:pPr>
      <w:r>
        <w:t xml:space="preserve">Pishvaee, Torabi, and Razmi (2012) extend the emission model by introducing</w:t>
      </w:r>
      <w:r>
        <w:t xml:space="preserve"> </w:t>
      </w:r>
      <w:r>
        <w:rPr>
          <w:b/>
          <w:bCs/>
        </w:rPr>
        <w:t xml:space="preserve">congestion-weighted transport emission factors</w:t>
      </w:r>
      <w:r>
        <w:t xml:space="preserve">. They argue that base emission rates (kg CO</w:t>
      </w:r>
      <m:oMath>
        <m:sSub>
          <m:e>
            <m:r>
              <m:t>​</m:t>
            </m:r>
          </m:e>
          <m:sub>
            <m:r>
              <m:t>2</m:t>
            </m:r>
          </m:sub>
        </m:sSub>
      </m:oMath>
      <w:r>
        <w:t xml:space="preserve">/unit-km) assume free-flow traffic conditions, which rarely hold in practice. Urban congestion causes vehicles to idle, accelerate, and decelerate repeatedly, increasing fuel consumption and emissions beyond the base rate. They model this by multiplying the base emission factor</w:t>
      </w:r>
      <w:r>
        <w:t xml:space="preserve"> </w:t>
      </w:r>
      <m:oMath>
        <m:sSub>
          <m:e>
            <m:r>
              <m:t>τ</m:t>
            </m:r>
          </m:e>
          <m:sub>
            <m:r>
              <m:t>m</m:t>
            </m:r>
          </m:sub>
        </m:sSub>
      </m:oMath>
      <w:r>
        <w:t xml:space="preserve"> </w:t>
      </w:r>
      <w:r>
        <w:t xml:space="preserve">by a route-specific congestion multiplier</w:t>
      </w:r>
      <w:r>
        <w:t xml:space="preserve"> </w:t>
      </w:r>
      <m:oMath>
        <m:sSub>
          <m:e>
            <m:r>
              <m:t>γ</m:t>
            </m:r>
          </m:e>
          <m:sub>
            <m:r>
              <m:t>a</m:t>
            </m:r>
            <m:r>
              <m:t>b</m:t>
            </m:r>
          </m:sub>
        </m:sSub>
        <m:r>
          <m:rPr>
            <m:sty m:val="p"/>
          </m:rPr>
          <m:t>≥</m:t>
        </m:r>
        <m:r>
          <m:t>1</m:t>
        </m:r>
      </m:oMath>
      <w:r>
        <w:t xml:space="preserve">. This same congestion factor simultaneously affects cost (vehicles spend more time and fuel on congested routes). Our formulation adopts this congestion-weighting for all three transport terms.</w:t>
      </w:r>
    </w:p>
    <w:p>
      <w:pPr>
        <w:pStyle w:val="BodyText"/>
      </w:pPr>
      <w:r>
        <w:rPr>
          <w:b/>
          <w:bCs/>
        </w:rPr>
        <w:t xml:space="preserve">Complete emission formulation:</w:t>
      </w:r>
    </w:p>
    <w:p>
      <w:pPr>
        <w:pStyle w:val="BodyText"/>
      </w:pPr>
      <w:r>
        <w:t xml:space="preserve">The total emissions</w:t>
      </w:r>
      <w:r>
        <w:t xml:space="preserve"> </w:t>
      </w:r>
      <m:oMath>
        <m:sSub>
          <m:e>
            <m:r>
              <m:t>f</m:t>
            </m:r>
          </m:e>
          <m:sub>
            <m:r>
              <m:t>2</m:t>
            </m:r>
          </m:sub>
        </m:sSub>
      </m:oMath>
      <w:r>
        <w:t xml:space="preserve"> </w:t>
      </w:r>
      <w:r>
        <w:t xml:space="preserve">comprise four components:</w:t>
      </w:r>
    </w:p>
    <w:p>
      <w:pPr>
        <w:pStyle w:val="BodyText"/>
      </w:pPr>
      <m:oMathPara>
        <m:oMathParaPr>
          <m:jc m:val="center"/>
        </m:oMathParaPr>
        <m:oMath>
          <m:sSub>
            <m:e>
              <m:r>
                <m:t>f</m:t>
              </m:r>
            </m:e>
            <m:sub>
              <m:r>
                <m:t>2</m:t>
              </m:r>
            </m:sub>
          </m:sSub>
          <m:r>
            <m:rPr>
              <m:sty m:val="p"/>
            </m:rPr>
            <m:t>=</m:t>
          </m:r>
          <m:sSub>
            <m:e>
              <m:r>
                <m:t>E</m:t>
              </m:r>
            </m:e>
            <m:sub>
              <m:r>
                <m:rPr>
                  <m:nor/>
                  <m:sty m:val="p"/>
                </m:rPr>
                <m:t>sup</m:t>
              </m:r>
            </m:sub>
          </m:sSub>
          <m:r>
            <m:rPr>
              <m:sty m:val="p"/>
            </m:rPr>
            <m:t>+</m:t>
          </m:r>
          <m:sSub>
            <m:e>
              <m:r>
                <m:t>E</m:t>
              </m:r>
            </m:e>
            <m:sub>
              <m:r>
                <m:rPr>
                  <m:nor/>
                  <m:sty m:val="p"/>
                </m:rPr>
                <m:t>prod</m:t>
              </m:r>
            </m:sub>
          </m:sSub>
          <m:r>
            <m:rPr>
              <m:sty m:val="p"/>
            </m:rPr>
            <m:t>+</m:t>
          </m:r>
          <m:sSub>
            <m:e>
              <m:r>
                <m:t>E</m:t>
              </m:r>
            </m:e>
            <m:sub>
              <m:r>
                <m:rPr>
                  <m:nor/>
                  <m:sty m:val="p"/>
                </m:rPr>
                <m:t>trans</m:t>
              </m:r>
            </m:sub>
          </m:sSub>
          <m:r>
            <m:rPr>
              <m:sty m:val="p"/>
            </m:rPr>
            <m:t>+</m:t>
          </m:r>
          <m:sSub>
            <m:e>
              <m:r>
                <m:t>E</m:t>
              </m:r>
            </m:e>
            <m:sub>
              <m:r>
                <m:rPr>
                  <m:nor/>
                  <m:sty m:val="p"/>
                </m:rPr>
                <m:t>wh</m:t>
              </m:r>
            </m:sub>
          </m:sSub>
        </m:oMath>
      </m:oMathPara>
    </w:p>
    <w:p>
      <w:pPr>
        <w:pStyle w:val="FirstParagraph"/>
      </w:pPr>
      <w:r>
        <w:rPr>
          <w:i/>
          <w:iCs/>
        </w:rPr>
        <w:t xml:space="preserve">Term 1 — Supplier emissions (Pishvaee and Razmi, 2012):</w:t>
      </w:r>
    </w:p>
    <w:p>
      <w:pPr>
        <w:pStyle w:val="BodyText"/>
      </w:pPr>
      <m:oMathPara>
        <m:oMathParaPr>
          <m:jc m:val="center"/>
        </m:oMathParaPr>
        <m:oMath>
          <m:sSub>
            <m:e>
              <m:r>
                <m:t>E</m:t>
              </m:r>
            </m:e>
            <m:sub>
              <m:r>
                <m:rPr>
                  <m:nor/>
                  <m:sty m:val="p"/>
                </m:rPr>
                <m:t>sup</m:t>
              </m:r>
            </m:sub>
          </m:sSub>
          <m:r>
            <m:rPr>
              <m:sty m:val="p"/>
            </m:rPr>
            <m:t>=</m:t>
          </m:r>
          <m:nary>
            <m:naryPr>
              <m:chr m:val="∑"/>
              <m:limLoc m:val="undOvr"/>
              <m:subHide m:val="off"/>
              <m:supHide m:val="on"/>
            </m:naryPr>
            <m:sub>
              <m:r>
                <m:t>i</m:t>
              </m:r>
              <m:r>
                <m:rPr>
                  <m:sty m:val="p"/>
                </m:rPr>
                <m:t>∈</m:t>
              </m:r>
              <m:r>
                <m:t>I</m:t>
              </m:r>
            </m:sub>
            <m:sup>
              <m:r>
                <m:t>​</m:t>
              </m:r>
            </m:sup>
            <m:e>
              <m:nary>
                <m:naryPr>
                  <m:chr m:val="∑"/>
                  <m:limLoc m:val="undOvr"/>
                  <m:subHide m:val="off"/>
                  <m:supHide m:val="on"/>
                </m:naryPr>
                <m:sub>
                  <m:r>
                    <m:t>j</m:t>
                  </m:r>
                  <m:r>
                    <m:rPr>
                      <m:sty m:val="p"/>
                    </m:rPr>
                    <m:t>∈</m:t>
                  </m:r>
                  <m:r>
                    <m:t>J</m:t>
                  </m:r>
                </m:sub>
                <m:sup>
                  <m:r>
                    <m:t>​</m:t>
                  </m:r>
                </m:sup>
                <m:e>
                  <m:nary>
                    <m:naryPr>
                      <m:chr m:val="∑"/>
                      <m:limLoc m:val="undOvr"/>
                      <m:subHide m:val="off"/>
                      <m:supHide m:val="on"/>
                    </m:naryPr>
                    <m:sub>
                      <m:r>
                        <m:t>m</m:t>
                      </m:r>
                      <m:r>
                        <m:rPr>
                          <m:sty m:val="p"/>
                        </m:rPr>
                        <m:t>∈</m:t>
                      </m:r>
                      <m:r>
                        <m:t>M</m:t>
                      </m:r>
                    </m:sub>
                    <m:sup>
                      <m:r>
                        <m:t>​</m:t>
                      </m:r>
                    </m:sup>
                    <m:e>
                      <m:sSub>
                        <m:e>
                          <m:r>
                            <m:t>e</m:t>
                          </m:r>
                        </m:e>
                        <m:sub>
                          <m:r>
                            <m:t>i</m:t>
                          </m:r>
                        </m:sub>
                      </m:sSub>
                    </m:e>
                  </m:nary>
                </m:e>
              </m:nary>
            </m:e>
          </m:nary>
          <m:r>
            <m:rPr>
              <m:sty m:val="p"/>
            </m:rPr>
            <m:t>⋅</m:t>
          </m:r>
          <m:sSub>
            <m:e>
              <m:r>
                <m:t>x</m:t>
              </m:r>
            </m:e>
            <m:sub>
              <m:r>
                <m:t>i</m:t>
              </m:r>
              <m:r>
                <m:t>j</m:t>
              </m:r>
              <m:r>
                <m:t>m</m:t>
              </m:r>
            </m:sub>
          </m:sSub>
        </m:oMath>
      </m:oMathPara>
    </w:p>
    <w:p>
      <w:pPr>
        <w:pStyle w:val="FirstParagraph"/>
      </w:pPr>
      <w:r>
        <w:rPr>
          <w:i/>
          <w:iCs/>
        </w:rPr>
        <w:t xml:space="preserve">Term 2 — Production emissions (Pishvaee and Razmi, 2012):</w:t>
      </w:r>
    </w:p>
    <w:p>
      <w:pPr>
        <w:pStyle w:val="BodyText"/>
      </w:pPr>
      <m:oMathPara>
        <m:oMathParaPr>
          <m:jc m:val="center"/>
        </m:oMathParaPr>
        <m:oMath>
          <m:sSub>
            <m:e>
              <m:r>
                <m:t>E</m:t>
              </m:r>
            </m:e>
            <m:sub>
              <m:r>
                <m:rPr>
                  <m:nor/>
                  <m:sty m:val="p"/>
                </m:rPr>
                <m:t>prod</m:t>
              </m:r>
            </m:sub>
          </m:sSub>
          <m:r>
            <m:rPr>
              <m:sty m:val="p"/>
            </m:rPr>
            <m:t>=</m:t>
          </m:r>
          <m:nary>
            <m:naryPr>
              <m:chr m:val="∑"/>
              <m:limLoc m:val="undOvr"/>
              <m:subHide m:val="off"/>
              <m:supHide m:val="on"/>
            </m:naryPr>
            <m:sub>
              <m:r>
                <m:t>j</m:t>
              </m:r>
              <m:r>
                <m:rPr>
                  <m:sty m:val="p"/>
                </m:rPr>
                <m:t>∈</m:t>
              </m:r>
              <m:r>
                <m:t>J</m:t>
              </m:r>
            </m:sub>
            <m:sup>
              <m:r>
                <m:t>​</m:t>
              </m:r>
            </m:sup>
            <m:e>
              <m:sSub>
                <m:e>
                  <m:r>
                    <m:t>ε</m:t>
                  </m:r>
                </m:e>
                <m:sub>
                  <m:r>
                    <m:t>j</m:t>
                  </m:r>
                </m:sub>
              </m:sSub>
            </m:e>
          </m:nary>
          <m:r>
            <m:rPr>
              <m:sty m:val="p"/>
            </m:rPr>
            <m:t>⋅</m:t>
          </m:r>
          <m:d>
            <m:dPr>
              <m:begChr m:val="("/>
              <m:sepChr m:val=""/>
              <m:endChr m:val=")"/>
              <m:grow/>
            </m:dPr>
            <m:e>
              <m:nary>
                <m:naryPr>
                  <m:chr m:val="∑"/>
                  <m:limLoc m:val="undOvr"/>
                  <m:subHide m:val="off"/>
                  <m:supHide m:val="on"/>
                </m:naryPr>
                <m:sub>
                  <m:r>
                    <m:t>i</m:t>
                  </m:r>
                  <m:r>
                    <m:rPr>
                      <m:sty m:val="p"/>
                    </m:rPr>
                    <m:t>∈</m:t>
                  </m:r>
                  <m:r>
                    <m:t>I</m:t>
                  </m:r>
                </m:sub>
                <m:sup>
                  <m:r>
                    <m:t>​</m:t>
                  </m:r>
                </m:sup>
                <m:e>
                  <m:nary>
                    <m:naryPr>
                      <m:chr m:val="∑"/>
                      <m:limLoc m:val="undOvr"/>
                      <m:subHide m:val="off"/>
                      <m:supHide m:val="on"/>
                    </m:naryPr>
                    <m:sub>
                      <m:r>
                        <m:t>m</m:t>
                      </m:r>
                      <m:r>
                        <m:rPr>
                          <m:sty m:val="p"/>
                        </m:rPr>
                        <m:t>∈</m:t>
                      </m:r>
                      <m:r>
                        <m:t>M</m:t>
                      </m:r>
                    </m:sub>
                    <m:sup>
                      <m:r>
                        <m:t>​</m:t>
                      </m:r>
                    </m:sup>
                    <m:e>
                      <m:sSub>
                        <m:e>
                          <m:r>
                            <m:t>x</m:t>
                          </m:r>
                        </m:e>
                        <m:sub>
                          <m:r>
                            <m:t>i</m:t>
                          </m:r>
                          <m:r>
                            <m:t>j</m:t>
                          </m:r>
                          <m:r>
                            <m:t>m</m:t>
                          </m:r>
                        </m:sub>
                      </m:sSub>
                    </m:e>
                  </m:nary>
                </m:e>
              </m:nary>
            </m:e>
          </m:d>
        </m:oMath>
      </m:oMathPara>
    </w:p>
    <w:p>
      <w:pPr>
        <w:pStyle w:val="FirstParagraph"/>
      </w:pPr>
      <w:r>
        <w:rPr>
          <w:i/>
          <w:iCs/>
        </w:rPr>
        <w:t xml:space="preserve">Term 3 — Congestion-weighted transport emissions (Pishvaee, Torabi, and Razmi, 2012):</w:t>
      </w:r>
    </w:p>
    <w:p>
      <w:pPr>
        <w:pStyle w:val="BodyText"/>
      </w:pPr>
      <m:oMathPara>
        <m:oMathParaPr>
          <m:jc m:val="center"/>
        </m:oMathParaPr>
        <m:oMath>
          <m:sSub>
            <m:e>
              <m:r>
                <m:t>E</m:t>
              </m:r>
            </m:e>
            <m:sub>
              <m:r>
                <m:rPr>
                  <m:nor/>
                  <m:sty m:val="p"/>
                </m:rPr>
                <m:t>trans</m:t>
              </m:r>
            </m:sub>
          </m:sSub>
          <m:r>
            <m:rPr>
              <m:sty m:val="p"/>
            </m:rPr>
            <m:t>=</m:t>
          </m:r>
          <m:nary>
            <m:naryPr>
              <m:chr m:val="∑"/>
              <m:limLoc m:val="undOvr"/>
              <m:subHide m:val="off"/>
              <m:supHide m:val="on"/>
            </m:naryPr>
            <m:sub>
              <m:r>
                <m:t>i</m:t>
              </m:r>
              <m:r>
                <m:rPr>
                  <m:sty m:val="p"/>
                </m:rPr>
                <m:t>,</m:t>
              </m:r>
              <m:r>
                <m:t>j</m:t>
              </m:r>
              <m:r>
                <m:rPr>
                  <m:sty m:val="p"/>
                </m:rPr>
                <m:t>,</m:t>
              </m:r>
              <m:r>
                <m:t>m</m:t>
              </m:r>
            </m:sub>
            <m:sup>
              <m:r>
                <m:t>​</m:t>
              </m:r>
            </m:sup>
            <m:e>
              <m:sSub>
                <m:e>
                  <m:r>
                    <m:t>τ</m:t>
                  </m:r>
                </m:e>
                <m:sub>
                  <m:r>
                    <m:t>m</m:t>
                  </m:r>
                </m:sub>
              </m:sSub>
            </m:e>
          </m:nary>
          <m:r>
            <m:rPr>
              <m:sty m:val="p"/>
            </m:rPr>
            <m:t>⋅</m:t>
          </m:r>
          <m:sSub>
            <m:e>
              <m:r>
                <m:t>δ</m:t>
              </m:r>
            </m:e>
            <m:sub>
              <m:r>
                <m:t>i</m:t>
              </m:r>
              <m:r>
                <m:t>j</m:t>
              </m:r>
            </m:sub>
          </m:sSub>
          <m:r>
            <m:rPr>
              <m:sty m:val="p"/>
            </m:rPr>
            <m:t>⋅</m:t>
          </m:r>
          <m:sSub>
            <m:e>
              <m:r>
                <m:t>γ</m:t>
              </m:r>
            </m:e>
            <m:sub>
              <m:r>
                <m:t>i</m:t>
              </m:r>
              <m:r>
                <m:t>j</m:t>
              </m:r>
            </m:sub>
          </m:sSub>
          <m:r>
            <m:rPr>
              <m:sty m:val="p"/>
            </m:rPr>
            <m:t>⋅</m:t>
          </m:r>
          <m:sSub>
            <m:e>
              <m:r>
                <m:t>x</m:t>
              </m:r>
            </m:e>
            <m:sub>
              <m:r>
                <m:t>i</m:t>
              </m:r>
              <m:r>
                <m:t>j</m:t>
              </m:r>
              <m:r>
                <m:t>m</m:t>
              </m:r>
            </m:sub>
          </m:sSub>
          <m:r>
            <m:rPr>
              <m:sty m:val="p"/>
            </m:rPr>
            <m:t>+</m:t>
          </m:r>
          <m:nary>
            <m:naryPr>
              <m:chr m:val="∑"/>
              <m:limLoc m:val="undOvr"/>
              <m:subHide m:val="off"/>
              <m:supHide m:val="on"/>
            </m:naryPr>
            <m:sub>
              <m:r>
                <m:t>j</m:t>
              </m:r>
              <m:r>
                <m:rPr>
                  <m:sty m:val="p"/>
                </m:rPr>
                <m:t>,</m:t>
              </m:r>
              <m:r>
                <m:t>k</m:t>
              </m:r>
              <m:r>
                <m:rPr>
                  <m:sty m:val="p"/>
                </m:rPr>
                <m:t>,</m:t>
              </m:r>
              <m:r>
                <m:t>m</m:t>
              </m:r>
            </m:sub>
            <m:sup>
              <m:r>
                <m:t>​</m:t>
              </m:r>
            </m:sup>
            <m:e>
              <m:sSub>
                <m:e>
                  <m:r>
                    <m:t>τ</m:t>
                  </m:r>
                </m:e>
                <m:sub>
                  <m:r>
                    <m:t>m</m:t>
                  </m:r>
                </m:sub>
              </m:sSub>
            </m:e>
          </m:nary>
          <m:r>
            <m:rPr>
              <m:sty m:val="p"/>
            </m:rPr>
            <m:t>⋅</m:t>
          </m:r>
          <m:sSub>
            <m:e>
              <m:r>
                <m:t>δ</m:t>
              </m:r>
            </m:e>
            <m:sub>
              <m:r>
                <m:t>j</m:t>
              </m:r>
              <m:r>
                <m:t>k</m:t>
              </m:r>
            </m:sub>
          </m:sSub>
          <m:r>
            <m:rPr>
              <m:sty m:val="p"/>
            </m:rPr>
            <m:t>⋅</m:t>
          </m:r>
          <m:sSub>
            <m:e>
              <m:r>
                <m:t>γ</m:t>
              </m:r>
            </m:e>
            <m:sub>
              <m:r>
                <m:t>j</m:t>
              </m:r>
              <m:r>
                <m:t>k</m:t>
              </m:r>
            </m:sub>
          </m:sSub>
          <m:r>
            <m:rPr>
              <m:sty m:val="p"/>
            </m:rPr>
            <m:t>⋅</m:t>
          </m:r>
          <m:sSub>
            <m:e>
              <m:r>
                <m:t>y</m:t>
              </m:r>
            </m:e>
            <m:sub>
              <m:r>
                <m:t>j</m:t>
              </m:r>
              <m:r>
                <m:t>k</m:t>
              </m:r>
              <m:r>
                <m:t>m</m:t>
              </m:r>
            </m:sub>
          </m:sSub>
          <m:r>
            <m:rPr>
              <m:sty m:val="p"/>
            </m:rPr>
            <m:t>+</m:t>
          </m:r>
          <m:nary>
            <m:naryPr>
              <m:chr m:val="∑"/>
              <m:limLoc m:val="undOvr"/>
              <m:subHide m:val="off"/>
              <m:supHide m:val="on"/>
            </m:naryPr>
            <m:sub>
              <m:r>
                <m:t>k</m:t>
              </m:r>
              <m:r>
                <m:rPr>
                  <m:sty m:val="p"/>
                </m:rPr>
                <m:t>,</m:t>
              </m:r>
              <m:r>
                <m:t>l</m:t>
              </m:r>
              <m:r>
                <m:rPr>
                  <m:sty m:val="p"/>
                </m:rPr>
                <m:t>,</m:t>
              </m:r>
              <m:r>
                <m:t>m</m:t>
              </m:r>
            </m:sub>
            <m:sup>
              <m:r>
                <m:t>​</m:t>
              </m:r>
            </m:sup>
            <m:e>
              <m:sSub>
                <m:e>
                  <m:r>
                    <m:t>τ</m:t>
                  </m:r>
                </m:e>
                <m:sub>
                  <m:r>
                    <m:t>m</m:t>
                  </m:r>
                </m:sub>
              </m:sSub>
            </m:e>
          </m:nary>
          <m:r>
            <m:rPr>
              <m:sty m:val="p"/>
            </m:rPr>
            <m:t>⋅</m:t>
          </m:r>
          <m:sSub>
            <m:e>
              <m:r>
                <m:t>δ</m:t>
              </m:r>
            </m:e>
            <m:sub>
              <m:r>
                <m:t>k</m:t>
              </m:r>
              <m:r>
                <m:t>l</m:t>
              </m:r>
            </m:sub>
          </m:sSub>
          <m:r>
            <m:rPr>
              <m:sty m:val="p"/>
            </m:rPr>
            <m:t>⋅</m:t>
          </m:r>
          <m:sSub>
            <m:e>
              <m:r>
                <m:t>γ</m:t>
              </m:r>
            </m:e>
            <m:sub>
              <m:r>
                <m:t>k</m:t>
              </m:r>
              <m:r>
                <m:t>l</m:t>
              </m:r>
            </m:sub>
          </m:sSub>
          <m:r>
            <m:rPr>
              <m:sty m:val="p"/>
            </m:rPr>
            <m:t>⋅</m:t>
          </m:r>
          <m:sSub>
            <m:e>
              <m:r>
                <m:t>z</m:t>
              </m:r>
            </m:e>
            <m:sub>
              <m:r>
                <m:t>k</m:t>
              </m:r>
              <m:r>
                <m:t>l</m:t>
              </m:r>
              <m:r>
                <m:t>m</m:t>
              </m:r>
            </m:sub>
          </m:sSub>
        </m:oMath>
      </m:oMathPara>
    </w:p>
    <w:p>
      <w:pPr>
        <w:pStyle w:val="FirstParagraph"/>
      </w:pPr>
      <w:r>
        <w:rPr>
          <w:i/>
          <w:iCs/>
        </w:rPr>
        <w:t xml:space="preserve">Term 4 — DC warehousing emissions (Pishvaee and Razmi, 2012):</w:t>
      </w:r>
    </w:p>
    <w:p>
      <w:pPr>
        <w:pStyle w:val="BodyText"/>
      </w:pPr>
      <m:oMathPara>
        <m:oMathParaPr>
          <m:jc m:val="center"/>
        </m:oMathParaPr>
        <m:oMath>
          <m:sSub>
            <m:e>
              <m:r>
                <m:t>E</m:t>
              </m:r>
            </m:e>
            <m:sub>
              <m:r>
                <m:rPr>
                  <m:nor/>
                  <m:sty m:val="p"/>
                </m:rPr>
                <m:t>wh</m:t>
              </m:r>
            </m:sub>
          </m:sSub>
          <m:r>
            <m:rPr>
              <m:sty m:val="p"/>
            </m:rPr>
            <m:t>=</m:t>
          </m:r>
          <m:nary>
            <m:naryPr>
              <m:chr m:val="∑"/>
              <m:limLoc m:val="undOvr"/>
              <m:subHide m:val="off"/>
              <m:supHide m:val="on"/>
            </m:naryPr>
            <m:sub>
              <m:r>
                <m:t>k</m:t>
              </m:r>
              <m:r>
                <m:rPr>
                  <m:sty m:val="p"/>
                </m:rPr>
                <m:t>∈</m:t>
              </m:r>
              <m:r>
                <m:t>K</m:t>
              </m:r>
            </m:sub>
            <m:sup>
              <m:r>
                <m:t>​</m:t>
              </m:r>
            </m:sup>
            <m:e>
              <m:sSub>
                <m:e>
                  <m:r>
                    <m:t>ξ</m:t>
                  </m:r>
                </m:e>
                <m:sub>
                  <m:r>
                    <m:t>k</m:t>
                  </m:r>
                </m:sub>
              </m:sSub>
            </m:e>
          </m:nary>
          <m:r>
            <m:rPr>
              <m:sty m:val="p"/>
            </m:rPr>
            <m:t>⋅</m:t>
          </m:r>
          <m:d>
            <m:dPr>
              <m:begChr m:val="("/>
              <m:sepChr m:val=""/>
              <m:endChr m:val=")"/>
              <m:grow/>
            </m:dPr>
            <m:e>
              <m:nary>
                <m:naryPr>
                  <m:chr m:val="∑"/>
                  <m:limLoc m:val="undOvr"/>
                  <m:subHide m:val="off"/>
                  <m:supHide m:val="on"/>
                </m:naryPr>
                <m:sub>
                  <m:r>
                    <m:t>j</m:t>
                  </m:r>
                  <m:r>
                    <m:rPr>
                      <m:sty m:val="p"/>
                    </m:rPr>
                    <m:t>∈</m:t>
                  </m:r>
                  <m:r>
                    <m:t>J</m:t>
                  </m:r>
                </m:sub>
                <m:sup>
                  <m:r>
                    <m:t>​</m:t>
                  </m:r>
                </m:sup>
                <m:e>
                  <m:nary>
                    <m:naryPr>
                      <m:chr m:val="∑"/>
                      <m:limLoc m:val="undOvr"/>
                      <m:subHide m:val="off"/>
                      <m:supHide m:val="on"/>
                    </m:naryPr>
                    <m:sub>
                      <m:r>
                        <m:t>m</m:t>
                      </m:r>
                      <m:r>
                        <m:rPr>
                          <m:sty m:val="p"/>
                        </m:rPr>
                        <m:t>∈</m:t>
                      </m:r>
                      <m:r>
                        <m:t>M</m:t>
                      </m:r>
                    </m:sub>
                    <m:sup>
                      <m:r>
                        <m:t>​</m:t>
                      </m:r>
                    </m:sup>
                    <m:e>
                      <m:sSub>
                        <m:e>
                          <m:r>
                            <m:t>y</m:t>
                          </m:r>
                        </m:e>
                        <m:sub>
                          <m:r>
                            <m:t>j</m:t>
                          </m:r>
                          <m:r>
                            <m:t>k</m:t>
                          </m:r>
                          <m:r>
                            <m:t>m</m:t>
                          </m:r>
                        </m:sub>
                      </m:sSub>
                    </m:e>
                  </m:nary>
                </m:e>
              </m:nary>
            </m:e>
          </m:d>
        </m:oMath>
      </m:oMathPara>
    </w:p>
    <w:p>
      <w:pPr>
        <w:pStyle w:val="FirstParagraph"/>
      </w:pPr>
      <w:r>
        <w:rPr>
          <w:b/>
          <w:bCs/>
        </w:rPr>
        <w:t xml:space="preserve">Explanation of each term:</w:t>
      </w:r>
    </w:p>
    <w:p>
      <w:pPr>
        <w:numPr>
          <w:ilvl w:val="0"/>
          <w:numId w:val="1008"/>
        </w:numPr>
      </w:pPr>
      <w:r>
        <w:rPr>
          <w:b/>
          <w:bCs/>
        </w:rPr>
        <w:t xml:space="preserve">(4.3a) Supplier emissions:</w:t>
      </w:r>
      <w:r>
        <w:t xml:space="preserve"> </w:t>
      </w:r>
      <w:r>
        <w:t xml:space="preserve">CO</w:t>
      </w:r>
      <m:oMath>
        <m:sSub>
          <m:e>
            <m:r>
              <m:t>​</m:t>
            </m:r>
          </m:e>
          <m:sub>
            <m:r>
              <m:t>2</m:t>
            </m:r>
          </m:sub>
        </m:sSub>
      </m:oMath>
      <w:r>
        <w:t xml:space="preserve"> </w:t>
      </w:r>
      <w:r>
        <w:t xml:space="preserve">released during raw material extraction and processing at each supplier. Each unit sourced from supplier</w:t>
      </w:r>
      <w:r>
        <w:t xml:space="preserve"> </w:t>
      </w:r>
      <m:oMath>
        <m:r>
          <m:t>i</m:t>
        </m:r>
      </m:oMath>
      <w:r>
        <w:t xml:space="preserve"> </w:t>
      </w:r>
      <w:r>
        <w:t xml:space="preserve">generates</w:t>
      </w:r>
      <w:r>
        <w:t xml:space="preserve"> </w:t>
      </w:r>
      <m:oMath>
        <m:sSub>
          <m:e>
            <m:r>
              <m:t>e</m:t>
            </m:r>
          </m:e>
          <m:sub>
            <m:r>
              <m:t>i</m:t>
            </m:r>
          </m:sub>
        </m:sSub>
      </m:oMath>
      <w:r>
        <w:t xml:space="preserve"> </w:t>
      </w:r>
      <w:r>
        <w:t xml:space="preserve">kg CO</w:t>
      </w:r>
      <m:oMath>
        <m:sSub>
          <m:e>
            <m:r>
              <m:t>​</m:t>
            </m:r>
          </m:e>
          <m:sub>
            <m:r>
              <m:t>2</m:t>
            </m:r>
          </m:sub>
        </m:sSub>
      </m:oMath>
      <w:r>
        <w:t xml:space="preserve">, regardless of its downstream destination. This is the first LCA component from Pishvaee and Razmi (2012).</w:t>
      </w:r>
    </w:p>
    <w:p>
      <w:pPr>
        <w:numPr>
          <w:ilvl w:val="0"/>
          <w:numId w:val="1008"/>
        </w:numPr>
      </w:pPr>
      <w:r>
        <w:rPr>
          <w:b/>
          <w:bCs/>
        </w:rPr>
        <w:t xml:space="preserve">(4.3b) Production emissions:</w:t>
      </w:r>
      <w:r>
        <w:t xml:space="preserve"> </w:t>
      </w:r>
      <w:r>
        <w:t xml:space="preserve">CO</w:t>
      </w:r>
      <m:oMath>
        <m:sSub>
          <m:e>
            <m:r>
              <m:t>​</m:t>
            </m:r>
          </m:e>
          <m:sub>
            <m:r>
              <m:t>2</m:t>
            </m:r>
          </m:sub>
        </m:sSub>
      </m:oMath>
      <w:r>
        <w:t xml:space="preserve"> </w:t>
      </w:r>
      <w:r>
        <w:t xml:space="preserve">released during manufacturing at each factory. The total throughput of factory</w:t>
      </w:r>
      <w:r>
        <w:t xml:space="preserve"> </w:t>
      </w:r>
      <m:oMath>
        <m:r>
          <m:t>j</m:t>
        </m:r>
      </m:oMath>
      <w:r>
        <w:t xml:space="preserve"> </w:t>
      </w:r>
      <w:r>
        <w:t xml:space="preserve">is multiplied by its production emission factor</w:t>
      </w:r>
      <w:r>
        <w:t xml:space="preserve"> </w:t>
      </w:r>
      <m:oMath>
        <m:sSub>
          <m:e>
            <m:r>
              <m:t>ε</m:t>
            </m:r>
          </m:e>
          <m:sub>
            <m:r>
              <m:t>j</m:t>
            </m:r>
          </m:sub>
        </m:sSub>
      </m:oMath>
      <w:r>
        <w:t xml:space="preserve">. This is the second LCA component.</w:t>
      </w:r>
    </w:p>
    <w:p>
      <w:pPr>
        <w:numPr>
          <w:ilvl w:val="0"/>
          <w:numId w:val="1008"/>
        </w:numPr>
      </w:pPr>
      <w:r>
        <w:rPr>
          <w:b/>
          <w:bCs/>
        </w:rPr>
        <w:t xml:space="preserve">(4.3c) Transport emissions:</w:t>
      </w:r>
      <w:r>
        <w:t xml:space="preserve"> </w:t>
      </w:r>
      <w:r>
        <w:t xml:space="preserve">CO</w:t>
      </w:r>
      <m:oMath>
        <m:sSub>
          <m:e>
            <m:r>
              <m:t>​</m:t>
            </m:r>
          </m:e>
          <m:sub>
            <m:r>
              <m:t>2</m:t>
            </m:r>
          </m:sub>
        </m:sSub>
      </m:oMath>
      <w:r>
        <w:t xml:space="preserve"> </w:t>
      </w:r>
      <w:r>
        <w:t xml:space="preserve">generated by vehicle operations across all inter-echelon arcs. Following Pishvaee, Torabi, and Razmi (2012), the base emission factor</w:t>
      </w:r>
      <w:r>
        <w:t xml:space="preserve"> </w:t>
      </w:r>
      <m:oMath>
        <m:sSub>
          <m:e>
            <m:r>
              <m:t>τ</m:t>
            </m:r>
          </m:e>
          <m:sub>
            <m:r>
              <m:t>m</m:t>
            </m:r>
          </m:sub>
        </m:sSub>
      </m:oMath>
      <w:r>
        <w:t xml:space="preserve"> </w:t>
      </w:r>
      <w:r>
        <w:t xml:space="preserve">for mode</w:t>
      </w:r>
      <w:r>
        <w:t xml:space="preserve"> </w:t>
      </w:r>
      <m:oMath>
        <m:r>
          <m:t>m</m:t>
        </m:r>
      </m:oMath>
      <w:r>
        <w:t xml:space="preserve"> </w:t>
      </w:r>
      <w:r>
        <w:t xml:space="preserve">is multiplied by the route distance</w:t>
      </w:r>
      <w:r>
        <w:t xml:space="preserve"> </w:t>
      </w:r>
      <m:oMath>
        <m:sSub>
          <m:e>
            <m:r>
              <m:t>δ</m:t>
            </m:r>
          </m:e>
          <m:sub>
            <m:r>
              <m:t>a</m:t>
            </m:r>
            <m:r>
              <m:t>b</m:t>
            </m:r>
          </m:sub>
        </m:sSub>
      </m:oMath>
      <w:r>
        <w:t xml:space="preserve"> </w:t>
      </w:r>
      <w:r>
        <w:t xml:space="preserve">and the congestion multiplier</w:t>
      </w:r>
      <w:r>
        <w:t xml:space="preserve"> </w:t>
      </w:r>
      <m:oMath>
        <m:sSub>
          <m:e>
            <m:r>
              <m:t>γ</m:t>
            </m:r>
          </m:e>
          <m:sub>
            <m:r>
              <m:t>a</m:t>
            </m:r>
            <m:r>
              <m:t>b</m:t>
            </m:r>
          </m:sub>
        </m:sSub>
      </m:oMath>
      <w:r>
        <w:t xml:space="preserve">. This captures the empirical observation that congested routes generate disproportionately higher emissions per unit transported.</w:t>
      </w:r>
    </w:p>
    <w:p>
      <w:pPr>
        <w:numPr>
          <w:ilvl w:val="0"/>
          <w:numId w:val="1008"/>
        </w:numPr>
      </w:pPr>
      <w:r>
        <w:rPr>
          <w:b/>
          <w:bCs/>
        </w:rPr>
        <w:t xml:space="preserve">(4.3d) Warehousing emissions:</w:t>
      </w:r>
      <w:r>
        <w:t xml:space="preserve"> </w:t>
      </w:r>
      <w:r>
        <w:t xml:space="preserve">CO</w:t>
      </w:r>
      <m:oMath>
        <m:sSub>
          <m:e>
            <m:r>
              <m:t>​</m:t>
            </m:r>
          </m:e>
          <m:sub>
            <m:r>
              <m:t>2</m:t>
            </m:r>
          </m:sub>
        </m:sSub>
      </m:oMath>
      <w:r>
        <w:t xml:space="preserve"> </w:t>
      </w:r>
      <w:r>
        <w:t xml:space="preserve">from energy consumption at distribution centres, including climate control, lighting, and material handling equipment. Each unit stored at DC</w:t>
      </w:r>
      <w:r>
        <w:t xml:space="preserve"> </w:t>
      </w:r>
      <m:oMath>
        <m:r>
          <m:t>k</m:t>
        </m:r>
      </m:oMath>
      <w:r>
        <w:t xml:space="preserve"> </w:t>
      </w:r>
      <w:r>
        <w:t xml:space="preserve">generates</w:t>
      </w:r>
      <w:r>
        <w:t xml:space="preserve"> </w:t>
      </w:r>
      <m:oMath>
        <m:sSub>
          <m:e>
            <m:r>
              <m:t>ξ</m:t>
            </m:r>
          </m:e>
          <m:sub>
            <m:r>
              <m:t>k</m:t>
            </m:r>
          </m:sub>
        </m:sSub>
      </m:oMath>
      <w:r>
        <w:t xml:space="preserve"> </w:t>
      </w:r>
      <w:r>
        <w:t xml:space="preserve">kg CO</w:t>
      </w:r>
      <m:oMath>
        <m:sSub>
          <m:e>
            <m:r>
              <m:t>​</m:t>
            </m:r>
          </m:e>
          <m:sub>
            <m:r>
              <m:t>2</m:t>
            </m:r>
          </m:sub>
        </m:sSub>
      </m:oMath>
      <w:r>
        <w:t xml:space="preserve">. This is the third LCA component from Pishvaee and Razmi (2012), and is the term most commonly omitted by simpler emission models.</w:t>
      </w:r>
    </w:p>
    <w:bookmarkEnd w:id="52"/>
    <w:bookmarkStart w:id="56" w:name="objective-3-resilience-maximisation"/>
    <w:p>
      <w:pPr>
        <w:pStyle w:val="Heading3"/>
      </w:pPr>
      <w:r>
        <w:rPr>
          <w:rStyle w:val="SectionNumber"/>
        </w:rPr>
        <w:t xml:space="preserve">9.4</w:t>
      </w:r>
      <w:r>
        <w:tab/>
      </w:r>
      <w:r>
        <w:t xml:space="preserve">4.4 Objective 3: Resilience Maximisation</w:t>
      </w:r>
    </w:p>
    <w:p>
      <w:pPr>
        <w:pStyle w:val="FirstParagraph"/>
      </w:pPr>
      <w:r>
        <w:t xml:space="preserve">The resilience objective combines two complementary dimensions: structural diversification and worst-case failure robustness.</w:t>
      </w:r>
    </w:p>
    <w:bookmarkStart w:id="53" w:name="X7e320c0ac3e2d66da04335ae14cb44046ef9387"/>
    <w:p>
      <w:pPr>
        <w:pStyle w:val="Heading4"/>
      </w:pPr>
      <w:r>
        <w:rPr>
          <w:rStyle w:val="SectionNumber"/>
        </w:rPr>
        <w:t xml:space="preserve">9.4.1</w:t>
      </w:r>
      <w:r>
        <w:tab/>
      </w:r>
      <w:r>
        <w:t xml:space="preserve">4.4.1 Component A: Network Diversification via HHI</w:t>
      </w:r>
    </w:p>
    <w:p>
      <w:pPr>
        <w:pStyle w:val="FirstParagraph"/>
      </w:pPr>
      <w:r>
        <w:rPr>
          <w:b/>
          <w:bCs/>
        </w:rPr>
        <w:t xml:space="preserve">Source: Hasani and Khosrojerdi (2016),</w:t>
      </w:r>
      <w:r>
        <w:rPr>
          <w:b/>
          <w:bCs/>
        </w:rPr>
        <w:t xml:space="preserve"> </w:t>
      </w:r>
      <w:r>
        <w:rPr>
          <w:b/>
          <w:bCs/>
          <w:i/>
          <w:iCs/>
        </w:rPr>
        <w:t xml:space="preserve">Transportation Research Part E</w:t>
      </w:r>
      <w:r>
        <w:rPr>
          <w:b/>
          <w:bCs/>
        </w:rPr>
        <w:t xml:space="preserve">, 87, 20–52.</w:t>
      </w:r>
    </w:p>
    <w:p>
      <w:pPr>
        <w:pStyle w:val="BodyText"/>
      </w:pPr>
      <w:r>
        <w:t xml:space="preserve">Hasani and Khosrojerdi (2016) develop a robust global SCND model that considers resilience as a design objective alongside cost. Their approach to measuring resilience is through the</w:t>
      </w:r>
      <w:r>
        <w:t xml:space="preserve"> </w:t>
      </w:r>
      <w:r>
        <w:rPr>
          <w:b/>
          <w:bCs/>
        </w:rPr>
        <w:t xml:space="preserve">Herfindahl–Hirschman Index (HHI)</w:t>
      </w:r>
      <w:r>
        <w:t xml:space="preserve">, a metric borrowed from industrial organisation economics where it is used to measure market concentration. In economics, a market with HHI close to 1.0 is a monopoly (high concentration, fragile), while HHI close to</w:t>
      </w:r>
      <w:r>
        <w:t xml:space="preserve"> </w:t>
      </w:r>
      <m:oMath>
        <m:r>
          <m:t>1</m:t>
        </m:r>
        <m:r>
          <m:rPr>
            <m:sty m:val="p"/>
          </m:rPr>
          <m:t>/</m:t>
        </m:r>
        <m:r>
          <m:t>n</m:t>
        </m:r>
      </m:oMath>
      <w:r>
        <w:t xml:space="preserve"> </w:t>
      </w:r>
      <w:r>
        <w:t xml:space="preserve">indicates a competitive market with</w:t>
      </w:r>
      <w:r>
        <w:t xml:space="preserve"> </w:t>
      </w:r>
      <m:oMath>
        <m:r>
          <m:t>n</m:t>
        </m:r>
      </m:oMath>
      <w:r>
        <w:t xml:space="preserve"> </w:t>
      </w:r>
      <w:r>
        <w:t xml:space="preserve">equal-sized firms (diversified, robust).</w:t>
      </w:r>
    </w:p>
    <w:p>
      <w:pPr>
        <w:pStyle w:val="BodyText"/>
      </w:pPr>
      <w:r>
        <w:t xml:space="preserve">Hasani and Khosrojerdi (2016) reinterpret this in the supply chain context: instead of market shares, the HHI is computed over</w:t>
      </w:r>
      <w:r>
        <w:t xml:space="preserve"> </w:t>
      </w:r>
      <w:r>
        <w:rPr>
          <w:i/>
          <w:iCs/>
        </w:rPr>
        <w:t xml:space="preserve">flow shares</w:t>
      </w:r>
      <w:r>
        <w:t xml:space="preserve"> </w:t>
      </w:r>
      <w:r>
        <w:t xml:space="preserve">through supply chain nodes. A supply chain where 100% of a customer’s demand is served by a single DC has an HHI of 1.0 and is maximally vulnerable to that DC’s failure. A supply chain where demand is equally split across 3 DCs has an HHI of</w:t>
      </w:r>
      <w:r>
        <w:t xml:space="preserve"> </w:t>
      </w:r>
      <m:oMath>
        <m:r>
          <m:t>1</m:t>
        </m:r>
        <m:r>
          <m:rPr>
            <m:sty m:val="p"/>
          </m:rPr>
          <m:t>/</m:t>
        </m:r>
        <m:r>
          <m:t>3</m:t>
        </m:r>
        <m:r>
          <m:rPr>
            <m:sty m:val="p"/>
          </m:rPr>
          <m:t>≈</m:t>
        </m:r>
        <m:r>
          <m:t>0.33</m:t>
        </m:r>
      </m:oMath>
      <w:r>
        <w:t xml:space="preserve"> </w:t>
      </w:r>
      <w:r>
        <w:t xml:space="preserve">and can survive any single DC failure with only 33% demand loss.</w:t>
      </w:r>
    </w:p>
    <w:p>
      <w:pPr>
        <w:pStyle w:val="BodyText"/>
      </w:pPr>
      <w:r>
        <w:rPr>
          <w:b/>
          <w:bCs/>
        </w:rPr>
        <w:t xml:space="preserve">Our adaptation:</w:t>
      </w:r>
      <w:r>
        <w:t xml:space="preserve"> </w:t>
      </w:r>
      <w:r>
        <w:t xml:space="preserve">We compute HHI at both ends of the supply chain:</w:t>
      </w:r>
    </w:p>
    <w:p>
      <w:pPr>
        <w:pStyle w:val="BodyText"/>
      </w:pPr>
      <w:r>
        <w:rPr>
          <w:i/>
          <w:iCs/>
        </w:rPr>
        <w:t xml:space="preserve">Downstream (delivery) diversification</w:t>
      </w:r>
      <w:r>
        <w:t xml:space="preserve"> </w:t>
      </w:r>
      <w:r>
        <w:t xml:space="preserve">— For each customer</w:t>
      </w:r>
      <w:r>
        <w:t xml:space="preserve"> </w:t>
      </w:r>
      <m:oMath>
        <m:r>
          <m:t>l</m:t>
        </m:r>
      </m:oMath>
      <w:r>
        <w:t xml:space="preserve">, the HHI over DC sources:</w:t>
      </w:r>
    </w:p>
    <w:p>
      <w:pPr>
        <w:pStyle w:val="BodyText"/>
      </w:pPr>
      <m:oMathPara>
        <m:oMathParaPr>
          <m:jc m:val="center"/>
        </m:oMathParaPr>
        <m:oMath>
          <m:sSub>
            <m:e>
              <m:r>
                <m:rPr>
                  <m:sty m:val="p"/>
                </m:rPr>
                <m:t>H</m:t>
              </m:r>
              <m:r>
                <m:rPr>
                  <m:sty m:val="p"/>
                </m:rPr>
                <m:t>H</m:t>
              </m:r>
              <m:r>
                <m:rPr>
                  <m:sty m:val="p"/>
                </m:rPr>
                <m:t>I</m:t>
              </m:r>
            </m:e>
            <m:sub>
              <m:r>
                <m:t>d</m:t>
              </m:r>
              <m:r>
                <m:t>e</m:t>
              </m:r>
              <m:r>
                <m:t>l</m:t>
              </m:r>
            </m:sub>
          </m:sSub>
          <m:r>
            <m:rPr>
              <m:sty m:val="p"/>
            </m:rPr>
            <m:t>(</m:t>
          </m:r>
          <m:r>
            <m:t>l</m:t>
          </m:r>
          <m:r>
            <m:rPr>
              <m:sty m:val="p"/>
            </m:rPr>
            <m:t>)</m:t>
          </m:r>
          <m:r>
            <m:rPr>
              <m:sty m:val="p"/>
            </m:rPr>
            <m:t>=</m:t>
          </m:r>
          <m:nary>
            <m:naryPr>
              <m:chr m:val="∑"/>
              <m:limLoc m:val="undOvr"/>
              <m:subHide m:val="off"/>
              <m:supHide m:val="on"/>
            </m:naryPr>
            <m:sub>
              <m:r>
                <m:t>k</m:t>
              </m:r>
              <m:r>
                <m:rPr>
                  <m:sty m:val="p"/>
                </m:rPr>
                <m:t>∈</m:t>
              </m:r>
              <m:r>
                <m:t>K</m:t>
              </m:r>
            </m:sub>
            <m:sup>
              <m:r>
                <m:t>​</m:t>
              </m:r>
            </m:sup>
            <m:e>
              <m:sSup>
                <m:e>
                  <m:d>
                    <m:dPr>
                      <m:begChr m:val="("/>
                      <m:sepChr m:val=""/>
                      <m:endChr m:val=")"/>
                      <m:grow/>
                    </m:dPr>
                    <m:e>
                      <m:f>
                        <m:fPr>
                          <m:type m:val="bar"/>
                        </m:fPr>
                        <m:num>
                          <m:nary>
                            <m:naryPr>
                              <m:chr m:val="∑"/>
                              <m:limLoc m:val="undOvr"/>
                              <m:subHide m:val="off"/>
                              <m:supHide m:val="on"/>
                            </m:naryPr>
                            <m:sub>
                              <m:r>
                                <m:t>m</m:t>
                              </m:r>
                              <m:r>
                                <m:rPr>
                                  <m:sty m:val="p"/>
                                </m:rPr>
                                <m:t>∈</m:t>
                              </m:r>
                              <m:r>
                                <m:t>M</m:t>
                              </m:r>
                            </m:sub>
                            <m:sup>
                              <m:r>
                                <m:t>​</m:t>
                              </m:r>
                            </m:sup>
                            <m:e>
                              <m:sSub>
                                <m:e>
                                  <m:r>
                                    <m:t>z</m:t>
                                  </m:r>
                                </m:e>
                                <m:sub>
                                  <m:r>
                                    <m:t>k</m:t>
                                  </m:r>
                                  <m:r>
                                    <m:t>l</m:t>
                                  </m:r>
                                  <m:r>
                                    <m:t>m</m:t>
                                  </m:r>
                                </m:sub>
                              </m:sSub>
                            </m:e>
                          </m:nary>
                        </m:num>
                        <m:den>
                          <m:nary>
                            <m:naryPr>
                              <m:chr m:val="∑"/>
                              <m:limLoc m:val="undOvr"/>
                              <m:subHide m:val="off"/>
                              <m:supHide m:val="on"/>
                            </m:naryPr>
                            <m:sub>
                              <m:sSup>
                                <m:e>
                                  <m:r>
                                    <m:t>k</m:t>
                                  </m:r>
                                </m:e>
                                <m:sup>
                                  <m:r>
                                    <m:rPr>
                                      <m:sty m:val="p"/>
                                    </m:rPr>
                                    <m:t>′</m:t>
                                  </m:r>
                                </m:sup>
                              </m:sSup>
                              <m:r>
                                <m:rPr>
                                  <m:sty m:val="p"/>
                                </m:rPr>
                                <m:t>∈</m:t>
                              </m:r>
                              <m:r>
                                <m:t>K</m:t>
                              </m:r>
                            </m:sub>
                            <m:sup>
                              <m:r>
                                <m:t>​</m:t>
                              </m:r>
                            </m:sup>
                            <m:e>
                              <m:nary>
                                <m:naryPr>
                                  <m:chr m:val="∑"/>
                                  <m:limLoc m:val="undOvr"/>
                                  <m:subHide m:val="off"/>
                                  <m:supHide m:val="on"/>
                                </m:naryPr>
                                <m:sub>
                                  <m:r>
                                    <m:t>m</m:t>
                                  </m:r>
                                  <m:r>
                                    <m:rPr>
                                      <m:sty m:val="p"/>
                                    </m:rPr>
                                    <m:t>∈</m:t>
                                  </m:r>
                                  <m:r>
                                    <m:t>M</m:t>
                                  </m:r>
                                </m:sub>
                                <m:sup>
                                  <m:r>
                                    <m:t>​</m:t>
                                  </m:r>
                                </m:sup>
                                <m:e>
                                  <m:sSub>
                                    <m:e>
                                      <m:r>
                                        <m:t>z</m:t>
                                      </m:r>
                                    </m:e>
                                    <m:sub>
                                      <m:sSup>
                                        <m:e>
                                          <m:r>
                                            <m:t>k</m:t>
                                          </m:r>
                                        </m:e>
                                        <m:sup>
                                          <m:r>
                                            <m:rPr>
                                              <m:sty m:val="p"/>
                                            </m:rPr>
                                            <m:t>′</m:t>
                                          </m:r>
                                        </m:sup>
                                      </m:sSup>
                                      <m:r>
                                        <m:t>l</m:t>
                                      </m:r>
                                      <m:r>
                                        <m:t>m</m:t>
                                      </m:r>
                                    </m:sub>
                                  </m:sSub>
                                </m:e>
                              </m:nary>
                            </m:e>
                          </m:nary>
                        </m:den>
                      </m:f>
                    </m:e>
                  </m:d>
                </m:e>
                <m:sup>
                  <m:r>
                    <m:t>2</m:t>
                  </m:r>
                </m:sup>
              </m:sSup>
            </m:e>
          </m:nary>
          <m:r>
            <m:t> </m:t>
          </m:r>
          <m:r>
            <m:rPr>
              <m:sty m:val="p"/>
            </m:rPr>
            <m:t>∀</m:t>
          </m:r>
          <m:r>
            <m:t> </m:t>
          </m:r>
          <m:r>
            <m:t>l</m:t>
          </m:r>
          <m:r>
            <m:rPr>
              <m:sty m:val="p"/>
            </m:rPr>
            <m:t>∈</m:t>
          </m:r>
          <m:r>
            <m:t>L</m:t>
          </m:r>
        </m:oMath>
      </m:oMathPara>
    </w:p>
    <w:p>
      <w:pPr>
        <w:pStyle w:val="FirstParagraph"/>
      </w:pPr>
      <w:r>
        <w:rPr>
          <w:i/>
          <w:iCs/>
        </w:rPr>
        <w:t xml:space="preserve">Upstream (supply) diversification</w:t>
      </w:r>
      <w:r>
        <w:t xml:space="preserve"> </w:t>
      </w:r>
      <w:r>
        <w:t xml:space="preserve">— For each factory</w:t>
      </w:r>
      <w:r>
        <w:t xml:space="preserve"> </w:t>
      </w:r>
      <m:oMath>
        <m:r>
          <m:t>j</m:t>
        </m:r>
      </m:oMath>
      <w:r>
        <w:t xml:space="preserve">, the HHI over supplier sources:</w:t>
      </w:r>
    </w:p>
    <w:p>
      <w:pPr>
        <w:pStyle w:val="BodyText"/>
      </w:pPr>
      <m:oMathPara>
        <m:oMathParaPr>
          <m:jc m:val="center"/>
        </m:oMathParaPr>
        <m:oMath>
          <m:sSub>
            <m:e>
              <m:r>
                <m:rPr>
                  <m:sty m:val="p"/>
                </m:rPr>
                <m:t>H</m:t>
              </m:r>
              <m:r>
                <m:rPr>
                  <m:sty m:val="p"/>
                </m:rPr>
                <m:t>H</m:t>
              </m:r>
              <m:r>
                <m:rPr>
                  <m:sty m:val="p"/>
                </m:rPr>
                <m:t>I</m:t>
              </m:r>
            </m:e>
            <m:sub>
              <m:r>
                <m:t>s</m:t>
              </m:r>
              <m:r>
                <m:t>u</m:t>
              </m:r>
              <m:r>
                <m:t>p</m:t>
              </m:r>
            </m:sub>
          </m:sSub>
          <m:r>
            <m:rPr>
              <m:sty m:val="p"/>
            </m:rPr>
            <m:t>(</m:t>
          </m:r>
          <m:r>
            <m:t>j</m:t>
          </m:r>
          <m:r>
            <m:rPr>
              <m:sty m:val="p"/>
            </m:rPr>
            <m:t>)</m:t>
          </m:r>
          <m:r>
            <m:rPr>
              <m:sty m:val="p"/>
            </m:rPr>
            <m:t>=</m:t>
          </m:r>
          <m:nary>
            <m:naryPr>
              <m:chr m:val="∑"/>
              <m:limLoc m:val="undOvr"/>
              <m:subHide m:val="off"/>
              <m:supHide m:val="on"/>
            </m:naryPr>
            <m:sub>
              <m:r>
                <m:t>i</m:t>
              </m:r>
              <m:r>
                <m:rPr>
                  <m:sty m:val="p"/>
                </m:rPr>
                <m:t>∈</m:t>
              </m:r>
              <m:r>
                <m:t>I</m:t>
              </m:r>
            </m:sub>
            <m:sup>
              <m:r>
                <m:t>​</m:t>
              </m:r>
            </m:sup>
            <m:e>
              <m:sSup>
                <m:e>
                  <m:d>
                    <m:dPr>
                      <m:begChr m:val="("/>
                      <m:sepChr m:val=""/>
                      <m:endChr m:val=")"/>
                      <m:grow/>
                    </m:dPr>
                    <m:e>
                      <m:f>
                        <m:fPr>
                          <m:type m:val="bar"/>
                        </m:fPr>
                        <m:num>
                          <m:nary>
                            <m:naryPr>
                              <m:chr m:val="∑"/>
                              <m:limLoc m:val="undOvr"/>
                              <m:subHide m:val="off"/>
                              <m:supHide m:val="on"/>
                            </m:naryPr>
                            <m:sub>
                              <m:r>
                                <m:t>m</m:t>
                              </m:r>
                              <m:r>
                                <m:rPr>
                                  <m:sty m:val="p"/>
                                </m:rPr>
                                <m:t>∈</m:t>
                              </m:r>
                              <m:r>
                                <m:t>M</m:t>
                              </m:r>
                            </m:sub>
                            <m:sup>
                              <m:r>
                                <m:t>​</m:t>
                              </m:r>
                            </m:sup>
                            <m:e>
                              <m:sSub>
                                <m:e>
                                  <m:r>
                                    <m:t>x</m:t>
                                  </m:r>
                                </m:e>
                                <m:sub>
                                  <m:r>
                                    <m:t>i</m:t>
                                  </m:r>
                                  <m:r>
                                    <m:t>j</m:t>
                                  </m:r>
                                  <m:r>
                                    <m:t>m</m:t>
                                  </m:r>
                                </m:sub>
                              </m:sSub>
                            </m:e>
                          </m:nary>
                        </m:num>
                        <m:den>
                          <m:nary>
                            <m:naryPr>
                              <m:chr m:val="∑"/>
                              <m:limLoc m:val="undOvr"/>
                              <m:subHide m:val="off"/>
                              <m:supHide m:val="on"/>
                            </m:naryPr>
                            <m:sub>
                              <m:sSup>
                                <m:e>
                                  <m:r>
                                    <m:t>i</m:t>
                                  </m:r>
                                </m:e>
                                <m:sup>
                                  <m:r>
                                    <m:rPr>
                                      <m:sty m:val="p"/>
                                    </m:rPr>
                                    <m:t>′</m:t>
                                  </m:r>
                                </m:sup>
                              </m:sSup>
                              <m:r>
                                <m:rPr>
                                  <m:sty m:val="p"/>
                                </m:rPr>
                                <m:t>∈</m:t>
                              </m:r>
                              <m:r>
                                <m:t>I</m:t>
                              </m:r>
                            </m:sub>
                            <m:sup>
                              <m:r>
                                <m:t>​</m:t>
                              </m:r>
                            </m:sup>
                            <m:e>
                              <m:nary>
                                <m:naryPr>
                                  <m:chr m:val="∑"/>
                                  <m:limLoc m:val="undOvr"/>
                                  <m:subHide m:val="off"/>
                                  <m:supHide m:val="on"/>
                                </m:naryPr>
                                <m:sub>
                                  <m:r>
                                    <m:t>m</m:t>
                                  </m:r>
                                  <m:r>
                                    <m:rPr>
                                      <m:sty m:val="p"/>
                                    </m:rPr>
                                    <m:t>∈</m:t>
                                  </m:r>
                                  <m:r>
                                    <m:t>M</m:t>
                                  </m:r>
                                </m:sub>
                                <m:sup>
                                  <m:r>
                                    <m:t>​</m:t>
                                  </m:r>
                                </m:sup>
                                <m:e>
                                  <m:sSub>
                                    <m:e>
                                      <m:r>
                                        <m:t>x</m:t>
                                      </m:r>
                                    </m:e>
                                    <m:sub>
                                      <m:sSup>
                                        <m:e>
                                          <m:r>
                                            <m:t>i</m:t>
                                          </m:r>
                                        </m:e>
                                        <m:sup>
                                          <m:r>
                                            <m:rPr>
                                              <m:sty m:val="p"/>
                                            </m:rPr>
                                            <m:t>′</m:t>
                                          </m:r>
                                        </m:sup>
                                      </m:sSup>
                                      <m:r>
                                        <m:t>j</m:t>
                                      </m:r>
                                      <m:r>
                                        <m:t>m</m:t>
                                      </m:r>
                                    </m:sub>
                                  </m:sSub>
                                </m:e>
                              </m:nary>
                            </m:e>
                          </m:nary>
                        </m:den>
                      </m:f>
                    </m:e>
                  </m:d>
                </m:e>
                <m:sup>
                  <m:r>
                    <m:t>2</m:t>
                  </m:r>
                </m:sup>
              </m:sSup>
            </m:e>
          </m:nary>
          <m:r>
            <m:t> </m:t>
          </m:r>
          <m:r>
            <m:rPr>
              <m:sty m:val="p"/>
            </m:rPr>
            <m:t>∀</m:t>
          </m:r>
          <m:r>
            <m:t> </m:t>
          </m:r>
          <m:r>
            <m:t>j</m:t>
          </m:r>
          <m:r>
            <m:rPr>
              <m:sty m:val="p"/>
            </m:rPr>
            <m:t>∈</m:t>
          </m:r>
          <m:r>
            <m:t>J</m:t>
          </m:r>
        </m:oMath>
      </m:oMathPara>
    </w:p>
    <w:p>
      <w:pPr>
        <w:pStyle w:val="FirstParagraph"/>
      </w:pPr>
      <w:r>
        <w:t xml:space="preserve">The overall diversification score is:</w:t>
      </w:r>
    </w:p>
    <w:p>
      <w:pPr>
        <w:pStyle w:val="BodyText"/>
      </w:pPr>
      <m:oMathPara>
        <m:oMathParaPr>
          <m:jc m:val="center"/>
        </m:oMathParaPr>
        <m:oMath>
          <m:sSub>
            <m:e>
              <m:r>
                <m:t>R</m:t>
              </m:r>
            </m:e>
            <m:sub>
              <m:r>
                <m:t>d</m:t>
              </m:r>
              <m:r>
                <m:t>i</m:t>
              </m:r>
              <m:r>
                <m:t>v</m:t>
              </m:r>
            </m:sub>
          </m:sSub>
          <m:r>
            <m:rPr>
              <m:sty m:val="p"/>
            </m:rPr>
            <m:t>=</m:t>
          </m:r>
          <m:r>
            <m:t>1</m:t>
          </m:r>
          <m:r>
            <m:rPr>
              <m:sty m:val="p"/>
            </m:rPr>
            <m:t>−</m:t>
          </m:r>
          <m:f>
            <m:fPr>
              <m:type m:val="bar"/>
            </m:fPr>
            <m:num>
              <m:r>
                <m:t>1</m:t>
              </m:r>
            </m:num>
            <m:den>
              <m:r>
                <m:t>2</m:t>
              </m:r>
            </m:den>
          </m:f>
          <m:d>
            <m:dPr>
              <m:begChr m:val="("/>
              <m:sepChr m:val=""/>
              <m:endChr m:val=")"/>
              <m:grow/>
            </m:dPr>
            <m:e>
              <m:sSub>
                <m:e>
                  <m:acc>
                    <m:accPr>
                      <m:chr m:val="‾"/>
                    </m:accPr>
                    <m:e>
                      <m:r>
                        <m:t>H</m:t>
                      </m:r>
                    </m:e>
                  </m:acc>
                </m:e>
                <m:sub>
                  <m:r>
                    <m:t>s</m:t>
                  </m:r>
                  <m:r>
                    <m:t>u</m:t>
                  </m:r>
                  <m:r>
                    <m:t>p</m:t>
                  </m:r>
                </m:sub>
              </m:sSub>
              <m:r>
                <m:rPr>
                  <m:sty m:val="p"/>
                </m:rPr>
                <m:t>+</m:t>
              </m:r>
              <m:sSub>
                <m:e>
                  <m:acc>
                    <m:accPr>
                      <m:chr m:val="‾"/>
                    </m:accPr>
                    <m:e>
                      <m:r>
                        <m:t>H</m:t>
                      </m:r>
                    </m:e>
                  </m:acc>
                </m:e>
                <m:sub>
                  <m:r>
                    <m:t>d</m:t>
                  </m:r>
                  <m:r>
                    <m:t>e</m:t>
                  </m:r>
                  <m:r>
                    <m:t>l</m:t>
                  </m:r>
                </m:sub>
              </m:sSub>
            </m:e>
          </m:d>
        </m:oMath>
      </m:oMathPara>
    </w:p>
    <w:p>
      <w:pPr>
        <w:pStyle w:val="FirstParagraph"/>
      </w:pPr>
      <w:r>
        <w:t xml:space="preserve">where</w:t>
      </w:r>
      <w:r>
        <w:t xml:space="preserve"> </w:t>
      </w:r>
      <m:oMath>
        <m:sSub>
          <m:e>
            <m:acc>
              <m:accPr>
                <m:chr m:val="‾"/>
              </m:accPr>
              <m:e>
                <m:r>
                  <m:t>H</m:t>
                </m:r>
              </m:e>
            </m:acc>
          </m:e>
          <m:sub>
            <m:r>
              <m:t>s</m:t>
            </m:r>
            <m:r>
              <m:t>u</m:t>
            </m:r>
            <m:r>
              <m:t>p</m:t>
            </m:r>
          </m:sub>
        </m:sSub>
      </m:oMath>
      <w:r>
        <w:t xml:space="preserve"> </w:t>
      </w:r>
      <w:r>
        <w:t xml:space="preserve">and</w:t>
      </w:r>
      <w:r>
        <w:t xml:space="preserve"> </w:t>
      </w:r>
      <m:oMath>
        <m:sSub>
          <m:e>
            <m:acc>
              <m:accPr>
                <m:chr m:val="‾"/>
              </m:accPr>
              <m:e>
                <m:r>
                  <m:t>H</m:t>
                </m:r>
              </m:e>
            </m:acc>
          </m:e>
          <m:sub>
            <m:r>
              <m:t>d</m:t>
            </m:r>
            <m:r>
              <m:t>e</m:t>
            </m:r>
            <m:r>
              <m:t>l</m:t>
            </m:r>
          </m:sub>
        </m:sSub>
      </m:oMath>
      <w:r>
        <w:t xml:space="preserve"> </w:t>
      </w:r>
      <w:r>
        <w:t xml:space="preserve">are the average HHI values over all factories and customers respectively. Higher diversification scores indicate more resilient sourcing patterns.</w:t>
      </w:r>
    </w:p>
    <w:bookmarkEnd w:id="53"/>
    <w:bookmarkStart w:id="54" w:name="X7b2f58be1a4e7f51eee6666a42ab5df2f1435c0"/>
    <w:p>
      <w:pPr>
        <w:pStyle w:val="Heading4"/>
      </w:pPr>
      <w:r>
        <w:rPr>
          <w:rStyle w:val="SectionNumber"/>
        </w:rPr>
        <w:t xml:space="preserve">9.4.2</w:t>
      </w:r>
      <w:r>
        <w:tab/>
      </w:r>
      <w:r>
        <w:t xml:space="preserve">4.4.2 Component B: Expected Node-Failure Coverage</w:t>
      </w:r>
    </w:p>
    <w:p>
      <w:pPr>
        <w:pStyle w:val="FirstParagraph"/>
      </w:pPr>
      <w:r>
        <w:rPr>
          <w:b/>
          <w:bCs/>
        </w:rPr>
        <w:t xml:space="preserve">Source: Snyder and Daskin (2005),</w:t>
      </w:r>
      <w:r>
        <w:rPr>
          <w:b/>
          <w:bCs/>
        </w:rPr>
        <w:t xml:space="preserve"> </w:t>
      </w:r>
      <w:r>
        <w:rPr>
          <w:b/>
          <w:bCs/>
          <w:i/>
          <w:iCs/>
        </w:rPr>
        <w:t xml:space="preserve">Transportation Science</w:t>
      </w:r>
      <w:r>
        <w:rPr>
          <w:b/>
          <w:bCs/>
        </w:rPr>
        <w:t xml:space="preserve">, 39(3), 400–416.</w:t>
      </w:r>
    </w:p>
    <w:p>
      <w:pPr>
        <w:pStyle w:val="BodyText"/>
      </w:pPr>
      <w:r>
        <w:t xml:space="preserve">Snyder and Daskin (2005) introduce reliability models for facility location that account for the possibility of facility failures. Their</w:t>
      </w:r>
      <w:r>
        <w:t xml:space="preserve"> </w:t>
      </w:r>
      <w:r>
        <w:t xml:space="preserve">“expected failure cost”</w:t>
      </w:r>
      <w:r>
        <w:t xml:space="preserve"> </w:t>
      </w:r>
      <w:r>
        <w:t xml:space="preserve">model assigns each demand point to a sequence of</w:t>
      </w:r>
      <w:r>
        <w:t xml:space="preserve"> </w:t>
      </w:r>
      <m:oMath>
        <m:r>
          <m:t>r</m:t>
        </m:r>
      </m:oMath>
      <w:r>
        <w:t xml:space="preserve"> </w:t>
      </w:r>
      <w:r>
        <w:t xml:space="preserve">facilities; if the primary facility fails, the demand is served by the first available backup. The expected failure cost is the probability-weighted sum of service costs across all failure scenarios.</w:t>
      </w:r>
    </w:p>
    <w:p>
      <w:pPr>
        <w:pStyle w:val="BodyText"/>
      </w:pPr>
      <w:r>
        <w:t xml:space="preserve">Our adaptation simplifies their model to</w:t>
      </w:r>
      <w:r>
        <w:t xml:space="preserve"> </w:t>
      </w:r>
      <w:r>
        <w:rPr>
          <w:b/>
          <w:bCs/>
        </w:rPr>
        <w:t xml:space="preserve">single-node failure analysis</w:t>
      </w:r>
      <w:r>
        <w:t xml:space="preserve">: for each node</w:t>
      </w:r>
      <w:r>
        <w:t xml:space="preserve"> </w:t>
      </w:r>
      <m:oMath>
        <m:r>
          <m:t>n</m:t>
        </m:r>
      </m:oMath>
      <w:r>
        <w:t xml:space="preserve"> </w:t>
      </w:r>
      <w:r>
        <w:t xml:space="preserve">in the network (supplier, factory, or DC), we compute the fraction of total network flow that passes through</w:t>
      </w:r>
      <w:r>
        <w:t xml:space="preserve"> </w:t>
      </w:r>
      <m:oMath>
        <m:r>
          <m:t>n</m:t>
        </m:r>
      </m:oMath>
      <w:r>
        <w:t xml:space="preserve">. If</w:t>
      </w:r>
      <w:r>
        <w:t xml:space="preserve"> </w:t>
      </w:r>
      <m:oMath>
        <m:r>
          <m:t>n</m:t>
        </m:r>
      </m:oMath>
      <w:r>
        <w:t xml:space="preserve"> </w:t>
      </w:r>
      <w:r>
        <w:t xml:space="preserve">fails, that fraction of demand becomes unserviceable. The coverage ratio under</w:t>
      </w:r>
      <w:r>
        <w:t xml:space="preserve"> </w:t>
      </w:r>
      <m:oMath>
        <m:r>
          <m:t>n</m:t>
        </m:r>
      </m:oMath>
      <w:r>
        <w:t xml:space="preserve">’s failure is:</w:t>
      </w:r>
    </w:p>
    <w:p>
      <w:pPr>
        <w:pStyle w:val="BodyText"/>
      </w:pPr>
      <m:oMathPara>
        <m:oMathParaPr>
          <m:jc m:val="center"/>
        </m:oMathParaPr>
        <m:oMath>
          <m:r>
            <m:rPr>
              <m:sty m:val="p"/>
            </m:rPr>
            <m:t>c</m:t>
          </m:r>
          <m:r>
            <m:rPr>
              <m:sty m:val="p"/>
            </m:rPr>
            <m:t>o</m:t>
          </m:r>
          <m:r>
            <m:rPr>
              <m:sty m:val="p"/>
            </m:rPr>
            <m:t>v</m:t>
          </m:r>
          <m:r>
            <m:rPr>
              <m:sty m:val="p"/>
            </m:rPr>
            <m:t>(</m:t>
          </m:r>
          <m:r>
            <m:t>n</m:t>
          </m:r>
          <m:r>
            <m:rPr>
              <m:sty m:val="p"/>
            </m:rPr>
            <m:t>)</m:t>
          </m:r>
          <m:r>
            <m:rPr>
              <m:sty m:val="p"/>
            </m:rPr>
            <m:t>=</m:t>
          </m:r>
          <m:r>
            <m:t>1</m:t>
          </m:r>
          <m:r>
            <m:rPr>
              <m:sty m:val="p"/>
            </m:rPr>
            <m:t>−</m:t>
          </m:r>
          <m:f>
            <m:fPr>
              <m:type m:val="bar"/>
            </m:fPr>
            <m:num>
              <m:r>
                <m:t>q</m:t>
              </m:r>
              <m:r>
                <m:rPr>
                  <m:sty m:val="p"/>
                </m:rPr>
                <m:t>(</m:t>
              </m:r>
              <m:r>
                <m:t>n</m:t>
              </m:r>
              <m:r>
                <m:rPr>
                  <m:sty m:val="p"/>
                </m:rPr>
                <m:t>)</m:t>
              </m:r>
            </m:num>
            <m:den>
              <m:r>
                <m:t>Q</m:t>
              </m:r>
            </m:den>
          </m:f>
          <m:r>
            <m:t> </m:t>
          </m:r>
          <m:r>
            <m:rPr>
              <m:sty m:val="p"/>
            </m:rPr>
            <m:t>∀</m:t>
          </m:r>
          <m:r>
            <m:t> </m:t>
          </m:r>
          <m:r>
            <m:t>n</m:t>
          </m:r>
          <m:r>
            <m:rPr>
              <m:sty m:val="p"/>
            </m:rPr>
            <m:t>∈</m:t>
          </m:r>
          <m:r>
            <m:t>I</m:t>
          </m:r>
          <m:r>
            <m:rPr>
              <m:sty m:val="p"/>
            </m:rPr>
            <m:t>∪</m:t>
          </m:r>
          <m:r>
            <m:t>J</m:t>
          </m:r>
          <m:r>
            <m:rPr>
              <m:sty m:val="p"/>
            </m:rPr>
            <m:t>∪</m:t>
          </m:r>
          <m:r>
            <m:t>K</m:t>
          </m:r>
        </m:oMath>
      </m:oMathPara>
    </w:p>
    <w:p>
      <w:pPr>
        <w:pStyle w:val="FirstParagraph"/>
      </w:pPr>
      <w:r>
        <w:t xml:space="preserve">where</w:t>
      </w:r>
      <w:r>
        <w:t xml:space="preserve"> </w:t>
      </w:r>
      <m:oMath>
        <m:r>
          <m:t>q</m:t>
        </m:r>
        <m:r>
          <m:rPr>
            <m:sty m:val="p"/>
          </m:rPr>
          <m:t>(</m:t>
        </m:r>
        <m:r>
          <m:t>n</m:t>
        </m:r>
        <m:r>
          <m:rPr>
            <m:sty m:val="p"/>
          </m:rPr>
          <m:t>)</m:t>
        </m:r>
      </m:oMath>
      <w:r>
        <w:t xml:space="preserve"> </w:t>
      </w:r>
      <w:r>
        <w:t xml:space="preserve">is the total flow through node</w:t>
      </w:r>
      <w:r>
        <w:t xml:space="preserve"> </w:t>
      </w:r>
      <m:oMath>
        <m:r>
          <m:t>n</m:t>
        </m:r>
      </m:oMath>
      <w:r>
        <w:t xml:space="preserve"> </w:t>
      </w:r>
      <w:r>
        <w:t xml:space="preserve">and</w:t>
      </w:r>
      <w:r>
        <w:t xml:space="preserve"> </w:t>
      </w:r>
      <m:oMath>
        <m:r>
          <m:t>Q</m:t>
        </m:r>
      </m:oMath>
      <w:r>
        <w:t xml:space="preserve"> </w:t>
      </w:r>
      <w:r>
        <w:t xml:space="preserve">is the total network flow. The worst-case vulnerability is determined by the node whose failure causes the greatest disruption:</w:t>
      </w:r>
    </w:p>
    <w:p>
      <w:pPr>
        <w:pStyle w:val="BodyText"/>
      </w:pPr>
      <m:oMathPara>
        <m:oMathParaPr>
          <m:jc m:val="center"/>
        </m:oMathParaPr>
        <m:oMath>
          <m:sSub>
            <m:e>
              <m:r>
                <m:t>R</m:t>
              </m:r>
            </m:e>
            <m:sub>
              <m:r>
                <m:rPr>
                  <m:sty m:val="p"/>
                </m:rPr>
                <m:t>min</m:t>
              </m:r>
            </m:sub>
          </m:sSub>
          <m:r>
            <m:rPr>
              <m:sty m:val="p"/>
            </m:rPr>
            <m:t>=</m:t>
          </m:r>
          <m:limLow>
            <m:e>
              <m:r>
                <m:rPr>
                  <m:sty m:val="p"/>
                </m:rPr>
                <m:t>min</m:t>
              </m:r>
            </m:e>
            <m:lim>
              <m:r>
                <m:t>n</m:t>
              </m:r>
              <m:r>
                <m:rPr>
                  <m:sty m:val="p"/>
                </m:rPr>
                <m:t>∈</m:t>
              </m:r>
              <m:r>
                <m:t>I</m:t>
              </m:r>
              <m:r>
                <m:rPr>
                  <m:sty m:val="p"/>
                </m:rPr>
                <m:t>∪</m:t>
              </m:r>
              <m:r>
                <m:t>J</m:t>
              </m:r>
              <m:r>
                <m:rPr>
                  <m:sty m:val="p"/>
                </m:rPr>
                <m:t>∪</m:t>
              </m:r>
              <m:r>
                <m:t>K</m:t>
              </m:r>
            </m:lim>
          </m:limLow>
          <m:r>
            <m:t> </m:t>
          </m:r>
          <m:r>
            <m:rPr>
              <m:sty m:val="p"/>
            </m:rPr>
            <m:t>c</m:t>
          </m:r>
          <m:r>
            <m:rPr>
              <m:sty m:val="p"/>
            </m:rPr>
            <m:t>o</m:t>
          </m:r>
          <m:r>
            <m:rPr>
              <m:sty m:val="p"/>
            </m:rPr>
            <m:t>v</m:t>
          </m:r>
          <m:r>
            <m:rPr>
              <m:sty m:val="p"/>
            </m:rPr>
            <m:t>(</m:t>
          </m:r>
          <m:r>
            <m:t>n</m:t>
          </m:r>
          <m:r>
            <m:rPr>
              <m:sty m:val="p"/>
            </m:rPr>
            <m:t>)</m:t>
          </m:r>
        </m:oMath>
      </m:oMathPara>
    </w:p>
    <w:p>
      <w:pPr>
        <w:pStyle w:val="FirstParagraph"/>
      </w:pPr>
      <w:r>
        <w:t xml:space="preserve">This metric ranges from 0 (all flow through a single node — total vulnerability) to a value approaching 1 (flow evenly distributed — maximum robustness).</w:t>
      </w:r>
    </w:p>
    <w:bookmarkEnd w:id="54"/>
    <w:bookmarkStart w:id="55" w:name="composite-resilience-score"/>
    <w:p>
      <w:pPr>
        <w:pStyle w:val="Heading4"/>
      </w:pPr>
      <w:r>
        <w:rPr>
          <w:rStyle w:val="SectionNumber"/>
        </w:rPr>
        <w:t xml:space="preserve">9.4.3</w:t>
      </w:r>
      <w:r>
        <w:tab/>
      </w:r>
      <w:r>
        <w:t xml:space="preserve">4.4.3 Composite Resilience Score</w:t>
      </w:r>
    </w:p>
    <w:p>
      <w:pPr>
        <w:pStyle w:val="FirstParagraph"/>
      </w:pPr>
      <w:r>
        <w:t xml:space="preserve">The two components are combined into a weighted composite:</w:t>
      </w:r>
    </w:p>
    <w:p>
      <w:pPr>
        <w:pStyle w:val="BodyText"/>
      </w:pPr>
      <m:oMathPara>
        <m:oMathParaPr>
          <m:jc m:val="center"/>
        </m:oMathParaPr>
        <m:oMath>
          <m:sSub>
            <m:e>
              <m:r>
                <m:t>f</m:t>
              </m:r>
            </m:e>
            <m:sub>
              <m:r>
                <m:t>3</m:t>
              </m:r>
            </m:sub>
          </m:sSub>
          <m:r>
            <m:rPr>
              <m:sty m:val="p"/>
            </m:rPr>
            <m:t>=</m:t>
          </m:r>
          <m:sSub>
            <m:e>
              <m:r>
                <m:t>w</m:t>
              </m:r>
            </m:e>
            <m:sub>
              <m:r>
                <m:t>1</m:t>
              </m:r>
            </m:sub>
          </m:sSub>
          <m:r>
            <m:rPr>
              <m:sty m:val="p"/>
            </m:rPr>
            <m:t>⋅</m:t>
          </m:r>
          <m:sSub>
            <m:e>
              <m:r>
                <m:t>R</m:t>
              </m:r>
            </m:e>
            <m:sub>
              <m:r>
                <m:t>d</m:t>
              </m:r>
              <m:r>
                <m:t>i</m:t>
              </m:r>
              <m:r>
                <m:t>v</m:t>
              </m:r>
            </m:sub>
          </m:sSub>
          <m:r>
            <m:rPr>
              <m:sty m:val="p"/>
            </m:rPr>
            <m:t>+</m:t>
          </m:r>
          <m:sSub>
            <m:e>
              <m:r>
                <m:t>w</m:t>
              </m:r>
            </m:e>
            <m:sub>
              <m:r>
                <m:t>2</m:t>
              </m:r>
            </m:sub>
          </m:sSub>
          <m:r>
            <m:rPr>
              <m:sty m:val="p"/>
            </m:rPr>
            <m:t>⋅</m:t>
          </m:r>
          <m:sSub>
            <m:e>
              <m:r>
                <m:t>R</m:t>
              </m:r>
            </m:e>
            <m:sub>
              <m:r>
                <m:rPr>
                  <m:sty m:val="p"/>
                </m:rPr>
                <m:t>min</m:t>
              </m:r>
            </m:sub>
          </m:sSub>
        </m:oMath>
      </m:oMathPara>
    </w:p>
    <w:p>
      <w:pPr>
        <w:pStyle w:val="FirstParagraph"/>
      </w:pPr>
      <w:r>
        <w:t xml:space="preserve">where</w:t>
      </w:r>
      <w:r>
        <w:t xml:space="preserve"> </w:t>
      </w:r>
      <m:oMath>
        <m:sSub>
          <m:e>
            <m:r>
              <m:t>w</m:t>
            </m:r>
          </m:e>
          <m:sub>
            <m:r>
              <m:t>1</m:t>
            </m:r>
          </m:sub>
        </m:sSub>
        <m:r>
          <m:rPr>
            <m:sty m:val="p"/>
          </m:rPr>
          <m:t>=</m:t>
        </m:r>
        <m:r>
          <m:t>0.4</m:t>
        </m:r>
      </m:oMath>
      <w:r>
        <w:t xml:space="preserve"> </w:t>
      </w:r>
      <w:r>
        <w:t xml:space="preserve">and</w:t>
      </w:r>
      <w:r>
        <w:t xml:space="preserve"> </w:t>
      </w:r>
      <m:oMath>
        <m:sSub>
          <m:e>
            <m:r>
              <m:t>w</m:t>
            </m:r>
          </m:e>
          <m:sub>
            <m:r>
              <m:t>2</m:t>
            </m:r>
          </m:sub>
        </m:sSub>
        <m:r>
          <m:rPr>
            <m:sty m:val="p"/>
          </m:rPr>
          <m:t>=</m:t>
        </m:r>
        <m:r>
          <m:t>0.6</m:t>
        </m:r>
      </m:oMath>
      <w:r>
        <w:t xml:space="preserve">. The higher weight on</w:t>
      </w:r>
      <w:r>
        <w:t xml:space="preserve"> </w:t>
      </w:r>
      <m:oMath>
        <m:sSub>
          <m:e>
            <m:r>
              <m:t>R</m:t>
            </m:r>
          </m:e>
          <m:sub>
            <m:r>
              <m:rPr>
                <m:sty m:val="p"/>
              </m:rPr>
              <m:t>min</m:t>
            </m:r>
          </m:sub>
        </m:sSub>
      </m:oMath>
      <w:r>
        <w:t xml:space="preserve"> </w:t>
      </w:r>
      <w:r>
        <w:t xml:space="preserve">reflects the practical priority of worst-case robustness over average diversification in automotive supply chains, where a single catastrophic failure can halt production lines. The weights are set based on engineering judgement and can be adjusted by decision-makers.</w:t>
      </w:r>
    </w:p>
    <w:bookmarkEnd w:id="55"/>
    <w:bookmarkEnd w:id="56"/>
    <w:bookmarkStart w:id="57" w:name="soft-constraint-handling-for-nsga-ii"/>
    <w:p>
      <w:pPr>
        <w:pStyle w:val="Heading3"/>
      </w:pPr>
      <w:r>
        <w:rPr>
          <w:rStyle w:val="SectionNumber"/>
        </w:rPr>
        <w:t xml:space="preserve">9.5</w:t>
      </w:r>
      <w:r>
        <w:tab/>
      </w:r>
      <w:r>
        <w:t xml:space="preserve">4.5 Soft Constraint Handling for NSGA-II</w:t>
      </w:r>
    </w:p>
    <w:p>
      <w:pPr>
        <w:pStyle w:val="FirstParagraph"/>
      </w:pPr>
      <w:r>
        <w:t xml:space="preserve">Since NSGA-II operates on continuous solution vectors without native constraint handling, hard constraints are converted to penalty terms. The combined penalty function is:</w:t>
      </w:r>
    </w:p>
    <w:p>
      <w:pPr>
        <w:pStyle w:val="BodyText"/>
      </w:pPr>
      <m:oMathPara>
        <m:oMathParaPr>
          <m:jc m:val="center"/>
        </m:oMathParaPr>
        <m:oMath>
          <m:r>
            <m:t>P</m:t>
          </m:r>
          <m:r>
            <m:rPr>
              <m:sty m:val="p"/>
            </m:rPr>
            <m:t>=</m:t>
          </m:r>
          <m:nary>
            <m:naryPr>
              <m:chr m:val="∑"/>
              <m:limLoc m:val="undOvr"/>
              <m:subHide m:val="off"/>
              <m:supHide m:val="on"/>
            </m:naryPr>
            <m:sub>
              <m:r>
                <m:t>i</m:t>
              </m:r>
              <m:r>
                <m:rPr>
                  <m:sty m:val="p"/>
                </m:rPr>
                <m:t>∈</m:t>
              </m:r>
              <m:r>
                <m:t>I</m:t>
              </m:r>
            </m:sub>
            <m:sup>
              <m:r>
                <m:t>​</m:t>
              </m:r>
            </m:sup>
            <m:e>
              <m:r>
                <m:rPr>
                  <m:sty m:val="p"/>
                </m:rPr>
                <m:t>max</m:t>
              </m:r>
            </m:e>
          </m:nary>
          <m:d>
            <m:dPr>
              <m:begChr m:val="("/>
              <m:sepChr m:val=""/>
              <m:endChr m:val=")"/>
              <m:grow/>
            </m:dPr>
            <m:e>
              <m:r>
                <m:t>0</m:t>
              </m:r>
              <m:r>
                <m:rPr>
                  <m:sty m:val="p"/>
                </m:rPr>
                <m:t>,</m:t>
              </m:r>
              <m:nary>
                <m:naryPr>
                  <m:chr m:val="∑"/>
                  <m:limLoc m:val="undOvr"/>
                  <m:subHide m:val="off"/>
                  <m:supHide m:val="on"/>
                </m:naryPr>
                <m:sub>
                  <m:r>
                    <m:t>j</m:t>
                  </m:r>
                  <m:r>
                    <m:rPr>
                      <m:sty m:val="p"/>
                    </m:rPr>
                    <m:t>,</m:t>
                  </m:r>
                  <m:r>
                    <m:t>m</m:t>
                  </m:r>
                </m:sub>
                <m:sup>
                  <m:r>
                    <m:t>​</m:t>
                  </m:r>
                </m:sup>
                <m:e>
                  <m:sSub>
                    <m:e>
                      <m:r>
                        <m:t>x</m:t>
                      </m:r>
                    </m:e>
                    <m:sub>
                      <m:r>
                        <m:t>i</m:t>
                      </m:r>
                      <m:r>
                        <m:t>j</m:t>
                      </m:r>
                      <m:r>
                        <m:t>m</m:t>
                      </m:r>
                    </m:sub>
                  </m:sSub>
                </m:e>
              </m:nary>
              <m:r>
                <m:rPr>
                  <m:sty m:val="p"/>
                </m:rPr>
                <m:t>−</m:t>
              </m:r>
              <m:sSub>
                <m:e>
                  <m:r>
                    <m:t>C</m:t>
                  </m:r>
                </m:e>
                <m:sub>
                  <m:r>
                    <m:t>i</m:t>
                  </m:r>
                </m:sub>
              </m:sSub>
            </m:e>
          </m:d>
          <m:r>
            <m:rPr>
              <m:sty m:val="p"/>
            </m:rPr>
            <m:t>+</m:t>
          </m:r>
          <m:nary>
            <m:naryPr>
              <m:chr m:val="∑"/>
              <m:limLoc m:val="undOvr"/>
              <m:subHide m:val="off"/>
              <m:supHide m:val="on"/>
            </m:naryPr>
            <m:sub>
              <m:r>
                <m:t>j</m:t>
              </m:r>
              <m:r>
                <m:rPr>
                  <m:sty m:val="p"/>
                </m:rPr>
                <m:t>∈</m:t>
              </m:r>
              <m:r>
                <m:t>J</m:t>
              </m:r>
            </m:sub>
            <m:sup>
              <m:r>
                <m:t>​</m:t>
              </m:r>
            </m:sup>
            <m:e>
              <m:d>
                <m:dPr>
                  <m:begChr m:val="|"/>
                  <m:sepChr m:val=""/>
                  <m:endChr m:val="|"/>
                  <m:grow/>
                </m:dPr>
                <m:e>
                  <m:nary>
                    <m:naryPr>
                      <m:chr m:val="∑"/>
                      <m:limLoc m:val="undOvr"/>
                      <m:subHide m:val="off"/>
                      <m:supHide m:val="on"/>
                    </m:naryPr>
                    <m:sub>
                      <m:r>
                        <m:t>i</m:t>
                      </m:r>
                      <m:r>
                        <m:rPr>
                          <m:sty m:val="p"/>
                        </m:rPr>
                        <m:t>,</m:t>
                      </m:r>
                      <m:r>
                        <m:t>m</m:t>
                      </m:r>
                    </m:sub>
                    <m:sup>
                      <m:r>
                        <m:t>​</m:t>
                      </m:r>
                    </m:sup>
                    <m:e>
                      <m:sSub>
                        <m:e>
                          <m:r>
                            <m:t>x</m:t>
                          </m:r>
                        </m:e>
                        <m:sub>
                          <m:r>
                            <m:t>i</m:t>
                          </m:r>
                          <m:r>
                            <m:t>j</m:t>
                          </m:r>
                          <m:r>
                            <m:t>m</m:t>
                          </m:r>
                        </m:sub>
                      </m:sSub>
                    </m:e>
                  </m:nary>
                  <m:r>
                    <m:rPr>
                      <m:sty m:val="p"/>
                    </m:rPr>
                    <m:t>−</m:t>
                  </m:r>
                  <m:nary>
                    <m:naryPr>
                      <m:chr m:val="∑"/>
                      <m:limLoc m:val="undOvr"/>
                      <m:subHide m:val="off"/>
                      <m:supHide m:val="on"/>
                    </m:naryPr>
                    <m:sub>
                      <m:r>
                        <m:t>k</m:t>
                      </m:r>
                      <m:r>
                        <m:rPr>
                          <m:sty m:val="p"/>
                        </m:rPr>
                        <m:t>,</m:t>
                      </m:r>
                      <m:r>
                        <m:t>m</m:t>
                      </m:r>
                    </m:sub>
                    <m:sup>
                      <m:r>
                        <m:t>​</m:t>
                      </m:r>
                    </m:sup>
                    <m:e>
                      <m:sSub>
                        <m:e>
                          <m:r>
                            <m:t>y</m:t>
                          </m:r>
                        </m:e>
                        <m:sub>
                          <m:r>
                            <m:t>j</m:t>
                          </m:r>
                          <m:r>
                            <m:t>k</m:t>
                          </m:r>
                          <m:r>
                            <m:t>m</m:t>
                          </m:r>
                        </m:sub>
                      </m:sSub>
                    </m:e>
                  </m:nary>
                </m:e>
              </m:d>
            </m:e>
          </m:nary>
          <m:r>
            <m:rPr>
              <m:sty m:val="p"/>
            </m:rPr>
            <m:t>+</m:t>
          </m:r>
          <m:nary>
            <m:naryPr>
              <m:chr m:val="∑"/>
              <m:limLoc m:val="undOvr"/>
              <m:subHide m:val="off"/>
              <m:supHide m:val="on"/>
            </m:naryPr>
            <m:sub>
              <m:r>
                <m:t>l</m:t>
              </m:r>
              <m:r>
                <m:rPr>
                  <m:sty m:val="p"/>
                </m:rPr>
                <m:t>∈</m:t>
              </m:r>
              <m:r>
                <m:t>L</m:t>
              </m:r>
            </m:sub>
            <m:sup>
              <m:r>
                <m:t>​</m:t>
              </m:r>
            </m:sup>
            <m:e>
              <m:r>
                <m:rPr>
                  <m:sty m:val="p"/>
                </m:rPr>
                <m:t>max</m:t>
              </m:r>
            </m:e>
          </m:nary>
          <m:d>
            <m:dPr>
              <m:begChr m:val="("/>
              <m:sepChr m:val=""/>
              <m:endChr m:val=")"/>
              <m:grow/>
            </m:dPr>
            <m:e>
              <m:r>
                <m:t>0</m:t>
              </m:r>
              <m:r>
                <m:rPr>
                  <m:sty m:val="p"/>
                </m:rPr>
                <m:t>,</m:t>
              </m:r>
              <m:sSub>
                <m:e>
                  <m:r>
                    <m:t>d</m:t>
                  </m:r>
                </m:e>
                <m:sub>
                  <m:r>
                    <m:t>l</m:t>
                  </m:r>
                </m:sub>
              </m:sSub>
              <m:r>
                <m:rPr>
                  <m:sty m:val="p"/>
                </m:rPr>
                <m:t>−</m:t>
              </m:r>
              <m:nary>
                <m:naryPr>
                  <m:chr m:val="∑"/>
                  <m:limLoc m:val="undOvr"/>
                  <m:subHide m:val="off"/>
                  <m:supHide m:val="on"/>
                </m:naryPr>
                <m:sub>
                  <m:r>
                    <m:t>k</m:t>
                  </m:r>
                  <m:r>
                    <m:rPr>
                      <m:sty m:val="p"/>
                    </m:rPr>
                    <m:t>,</m:t>
                  </m:r>
                  <m:r>
                    <m:t>m</m:t>
                  </m:r>
                </m:sub>
                <m:sup>
                  <m:r>
                    <m:t>​</m:t>
                  </m:r>
                </m:sup>
                <m:e>
                  <m:sSub>
                    <m:e>
                      <m:r>
                        <m:t>z</m:t>
                      </m:r>
                    </m:e>
                    <m:sub>
                      <m:r>
                        <m:t>k</m:t>
                      </m:r>
                      <m:r>
                        <m:t>l</m:t>
                      </m:r>
                      <m:r>
                        <m:t>m</m:t>
                      </m:r>
                    </m:sub>
                  </m:sSub>
                </m:e>
              </m:nary>
            </m:e>
          </m:d>
        </m:oMath>
      </m:oMathPara>
    </w:p>
    <w:p>
      <w:pPr>
        <w:pStyle w:val="FirstParagraph"/>
      </w:pPr>
      <w:r>
        <w:t xml:space="preserve">The three terms penalise capacity violations, flow balance violations, and demand shortfalls respectively.</w:t>
      </w:r>
    </w:p>
    <w:p>
      <w:pPr>
        <w:pStyle w:val="BodyText"/>
      </w:pPr>
      <w:r>
        <w:t xml:space="preserve">The penalised objectives used in the evolutionary search are:</w:t>
      </w:r>
    </w:p>
    <w:p>
      <w:pPr>
        <w:pStyle w:val="BodyText"/>
      </w:pPr>
      <m:oMathPara>
        <m:oMathParaPr>
          <m:jc m:val="center"/>
        </m:oMathParaPr>
        <m:oMath>
          <m:sSub>
            <m:e>
              <m:acc>
                <m:accPr>
                  <m:chr m:val="̃"/>
                </m:accPr>
                <m:e>
                  <m:r>
                    <m:t>f</m:t>
                  </m:r>
                </m:e>
              </m:acc>
            </m:e>
            <m:sub>
              <m:r>
                <m:t>1</m:t>
              </m:r>
            </m:sub>
          </m:sSub>
          <m:r>
            <m:rPr>
              <m:sty m:val="p"/>
            </m:rPr>
            <m:t>=</m:t>
          </m:r>
          <m:sSub>
            <m:e>
              <m:r>
                <m:t>f</m:t>
              </m:r>
            </m:e>
            <m:sub>
              <m:r>
                <m:t>1</m:t>
              </m:r>
            </m:sub>
          </m:sSub>
          <m:r>
            <m:rPr>
              <m:sty m:val="p"/>
            </m:rPr>
            <m:t>+</m:t>
          </m:r>
          <m:r>
            <m:t>1000</m:t>
          </m:r>
          <m:r>
            <m:rPr>
              <m:sty m:val="p"/>
            </m:rPr>
            <m:t>⋅</m:t>
          </m:r>
          <m:r>
            <m:t>P</m:t>
          </m:r>
          <m:r>
            <m:rPr>
              <m:sty m:val="p"/>
            </m:rPr>
            <m:t>,</m:t>
          </m:r>
          <m:r>
            <m:t> </m:t>
          </m:r>
          <m:sSub>
            <m:e>
              <m:acc>
                <m:accPr>
                  <m:chr m:val="̃"/>
                </m:accPr>
                <m:e>
                  <m:r>
                    <m:t>f</m:t>
                  </m:r>
                </m:e>
              </m:acc>
            </m:e>
            <m:sub>
              <m:r>
                <m:t>2</m:t>
              </m:r>
            </m:sub>
          </m:sSub>
          <m:r>
            <m:rPr>
              <m:sty m:val="p"/>
            </m:rPr>
            <m:t>=</m:t>
          </m:r>
          <m:sSub>
            <m:e>
              <m:r>
                <m:t>f</m:t>
              </m:r>
            </m:e>
            <m:sub>
              <m:r>
                <m:t>2</m:t>
              </m:r>
            </m:sub>
          </m:sSub>
          <m:r>
            <m:rPr>
              <m:sty m:val="p"/>
            </m:rPr>
            <m:t>+</m:t>
          </m:r>
          <m:r>
            <m:t>10</m:t>
          </m:r>
          <m:r>
            <m:rPr>
              <m:sty m:val="p"/>
            </m:rPr>
            <m:t>⋅</m:t>
          </m:r>
          <m:r>
            <m:t>P</m:t>
          </m:r>
        </m:oMath>
      </m:oMathPara>
    </w:p>
    <w:p>
      <w:pPr>
        <w:pStyle w:val="FirstParagraph"/>
      </w:pPr>
      <w:r>
        <w:t xml:space="preserve">The asymmetric penalty scaling (1000 for cost, 10 for emissions) reflects the different magnitudes of the two objectives.</w:t>
      </w:r>
    </w:p>
    <w:bookmarkEnd w:id="57"/>
    <w:bookmarkEnd w:id="58"/>
    <w:bookmarkStart w:id="65" w:name="chapter-5-solution-methodology"/>
    <w:p>
      <w:pPr>
        <w:pStyle w:val="Heading2"/>
      </w:pPr>
      <w:r>
        <w:rPr>
          <w:rStyle w:val="SectionNumber"/>
        </w:rPr>
        <w:t xml:space="preserve">10</w:t>
      </w:r>
      <w:r>
        <w:tab/>
      </w:r>
      <w:r>
        <w:t xml:space="preserve">Chapter 5: Solution Methodology</w:t>
      </w:r>
    </w:p>
    <w:bookmarkStart w:id="59" w:name="pipeline-architecture"/>
    <w:p>
      <w:pPr>
        <w:pStyle w:val="Heading3"/>
      </w:pPr>
      <w:r>
        <w:rPr>
          <w:rStyle w:val="SectionNumber"/>
        </w:rPr>
        <w:t xml:space="preserve">10.1</w:t>
      </w:r>
      <w:r>
        <w:tab/>
      </w:r>
      <w:r>
        <w:t xml:space="preserve">5.1 Pipeline Architecture</w:t>
      </w:r>
    </w:p>
    <w:p>
      <w:pPr>
        <w:pStyle w:val="FirstParagraph"/>
      </w:pPr>
      <w:r>
        <w:t xml:space="preserve">The solution methodology follows a modular pipeline architecture implemented in Python:</w:t>
      </w:r>
    </w:p>
    <w:p>
      <w:pPr>
        <w:pStyle w:val="BodyText"/>
      </w:pPr>
      <m:oMathPara>
        <m:oMathParaPr>
          <m:jc m:val="center"/>
        </m:oMathParaPr>
        <m:oMath>
          <m:r>
            <m:rPr>
              <m:sty m:val="p"/>
            </m:rPr>
            <m:t>D</m:t>
          </m:r>
          <m:r>
            <m:rPr>
              <m:sty m:val="p"/>
            </m:rPr>
            <m:t>a</m:t>
          </m:r>
          <m:r>
            <m:rPr>
              <m:sty m:val="p"/>
            </m:rPr>
            <m:t>t</m:t>
          </m:r>
          <m:r>
            <m:rPr>
              <m:sty m:val="p"/>
            </m:rPr>
            <m:t>a</m:t>
          </m:r>
          <m:r>
            <m:rPr>
              <m:sty m:val="p"/>
            </m:rPr>
            <m:t> </m:t>
          </m:r>
          <m:r>
            <m:rPr>
              <m:sty m:val="p"/>
            </m:rPr>
            <m:t>G</m:t>
          </m:r>
          <m:r>
            <m:rPr>
              <m:sty m:val="p"/>
            </m:rPr>
            <m:t>e</m:t>
          </m:r>
          <m:r>
            <m:rPr>
              <m:sty m:val="p"/>
            </m:rPr>
            <m:t>n</m:t>
          </m:r>
          <m:r>
            <m:rPr>
              <m:sty m:val="p"/>
            </m:rPr>
            <m:t>→</m:t>
          </m:r>
          <m:r>
            <m:rPr>
              <m:sty m:val="p"/>
            </m:rPr>
            <m:t>F</m:t>
          </m:r>
          <m:r>
            <m:rPr>
              <m:sty m:val="p"/>
            </m:rPr>
            <m:t>o</m:t>
          </m:r>
          <m:r>
            <m:rPr>
              <m:sty m:val="p"/>
            </m:rPr>
            <m:t>r</m:t>
          </m:r>
          <m:r>
            <m:rPr>
              <m:sty m:val="p"/>
            </m:rPr>
            <m:t>e</m:t>
          </m:r>
          <m:r>
            <m:rPr>
              <m:sty m:val="p"/>
            </m:rPr>
            <m:t>c</m:t>
          </m:r>
          <m:r>
            <m:rPr>
              <m:sty m:val="p"/>
            </m:rPr>
            <m:t>a</m:t>
          </m:r>
          <m:r>
            <m:rPr>
              <m:sty m:val="p"/>
            </m:rPr>
            <m:t>s</m:t>
          </m:r>
          <m:r>
            <m:rPr>
              <m:sty m:val="p"/>
            </m:rPr>
            <m:t>t</m:t>
          </m:r>
          <m:r>
            <m:rPr>
              <m:sty m:val="p"/>
            </m:rPr>
            <m:t>i</m:t>
          </m:r>
          <m:r>
            <m:rPr>
              <m:sty m:val="p"/>
            </m:rPr>
            <m:t>n</m:t>
          </m:r>
          <m:r>
            <m:rPr>
              <m:sty m:val="p"/>
            </m:rPr>
            <m:t>g</m:t>
          </m:r>
          <m:r>
            <m:rPr>
              <m:sty m:val="p"/>
            </m:rPr>
            <m:t>→</m:t>
          </m:r>
          <m:r>
            <m:rPr>
              <m:sty m:val="p"/>
            </m:rPr>
            <m:t>P</m:t>
          </m:r>
          <m:r>
            <m:rPr>
              <m:sty m:val="p"/>
            </m:rPr>
            <m:t>y</m:t>
          </m:r>
          <m:r>
            <m:rPr>
              <m:sty m:val="p"/>
            </m:rPr>
            <m:t>o</m:t>
          </m:r>
          <m:r>
            <m:rPr>
              <m:sty m:val="p"/>
            </m:rPr>
            <m:t>m</m:t>
          </m:r>
          <m:r>
            <m:rPr>
              <m:sty m:val="p"/>
            </m:rPr>
            <m:t>o</m:t>
          </m:r>
          <m:r>
            <m:rPr>
              <m:sty m:val="p"/>
            </m:rPr>
            <m:t>→</m:t>
          </m:r>
          <m:r>
            <m:rPr>
              <m:sty m:val="p"/>
            </m:rPr>
            <m:t>N</m:t>
          </m:r>
          <m:r>
            <m:rPr>
              <m:sty m:val="p"/>
            </m:rPr>
            <m:t>S</m:t>
          </m:r>
          <m:r>
            <m:rPr>
              <m:sty m:val="p"/>
            </m:rPr>
            <m:t>G</m:t>
          </m:r>
          <m:r>
            <m:rPr>
              <m:sty m:val="p"/>
            </m:rPr>
            <m:t>A</m:t>
          </m:r>
          <m:r>
            <m:rPr>
              <m:nor/>
              <m:sty m:val="p"/>
            </m:rPr>
            <m:t>-</m:t>
          </m:r>
          <m:r>
            <m:rPr>
              <m:sty m:val="p"/>
            </m:rPr>
            <m:t>I</m:t>
          </m:r>
          <m:r>
            <m:rPr>
              <m:sty m:val="p"/>
            </m:rPr>
            <m:t>I</m:t>
          </m:r>
          <m:r>
            <m:rPr>
              <m:sty m:val="p"/>
            </m:rPr>
            <m:t>→</m:t>
          </m:r>
          <m:r>
            <m:rPr>
              <m:sty m:val="p"/>
            </m:rPr>
            <m:t>S</m:t>
          </m:r>
          <m:r>
            <m:rPr>
              <m:sty m:val="p"/>
            </m:rPr>
            <m:t>i</m:t>
          </m:r>
          <m:r>
            <m:rPr>
              <m:sty m:val="p"/>
            </m:rPr>
            <m:t>m</m:t>
          </m:r>
          <m:r>
            <m:rPr>
              <m:sty m:val="p"/>
            </m:rPr>
            <m:t>u</m:t>
          </m:r>
          <m:r>
            <m:rPr>
              <m:sty m:val="p"/>
            </m:rPr>
            <m:t>l</m:t>
          </m:r>
          <m:r>
            <m:rPr>
              <m:sty m:val="p"/>
            </m:rPr>
            <m:t>a</m:t>
          </m:r>
          <m:r>
            <m:rPr>
              <m:sty m:val="p"/>
            </m:rPr>
            <m:t>t</m:t>
          </m:r>
          <m:r>
            <m:rPr>
              <m:sty m:val="p"/>
            </m:rPr>
            <m:t>i</m:t>
          </m:r>
          <m:r>
            <m:rPr>
              <m:sty m:val="p"/>
            </m:rPr>
            <m:t>o</m:t>
          </m:r>
          <m:r>
            <m:rPr>
              <m:sty m:val="p"/>
            </m:rPr>
            <m:t>n</m:t>
          </m:r>
          <m:r>
            <m:rPr>
              <m:sty m:val="p"/>
            </m:rPr>
            <m:t>→</m:t>
          </m:r>
          <m:r>
            <m:rPr>
              <m:sty m:val="p"/>
            </m:rPr>
            <m:t>D</m:t>
          </m:r>
          <m:r>
            <m:rPr>
              <m:sty m:val="p"/>
            </m:rPr>
            <m:t>S</m:t>
          </m:r>
          <m:r>
            <m:rPr>
              <m:sty m:val="p"/>
            </m:rPr>
            <m:t>S</m:t>
          </m:r>
        </m:oMath>
      </m:oMathPara>
    </w:p>
    <w:p>
      <w:pPr>
        <w:pStyle w:val="FirstParagraph"/>
      </w:pPr>
      <w:r>
        <w:t xml:space="preserve">Each module is implemented as an independent Python file, enabling isolated testing and reproducibility.</w:t>
      </w:r>
    </w:p>
    <w:bookmarkEnd w:id="59"/>
    <w:bookmarkStart w:id="60" w:name="data-generation"/>
    <w:p>
      <w:pPr>
        <w:pStyle w:val="Heading3"/>
      </w:pPr>
      <w:r>
        <w:rPr>
          <w:rStyle w:val="SectionNumber"/>
        </w:rPr>
        <w:t xml:space="preserve">10.2</w:t>
      </w:r>
      <w:r>
        <w:tab/>
      </w:r>
      <w:r>
        <w:t xml:space="preserve">5.2 Data Generation</w:t>
      </w:r>
    </w:p>
    <w:p>
      <w:pPr>
        <w:pStyle w:val="FirstParagraph"/>
      </w:pPr>
      <w:r>
        <w:t xml:space="preserve">Synthetic supply chain data is generated to reflect realistic Indian automotive geography:</w:t>
      </w:r>
    </w:p>
    <w:p>
      <w:pPr>
        <w:pStyle w:val="Compact"/>
        <w:numPr>
          <w:ilvl w:val="0"/>
          <w:numId w:val="1009"/>
        </w:numPr>
      </w:pPr>
      <w:r>
        <w:rPr>
          <w:b/>
          <w:bCs/>
        </w:rPr>
        <w:t xml:space="preserve">Node coordinates:</w:t>
      </w:r>
      <w:r>
        <w:t xml:space="preserve"> </w:t>
      </w:r>
      <w:r>
        <w:t xml:space="preserve">Based on actual automotive hub locations (Pune, Chennai, Manesar) with small random perturbations (</w:t>
      </w:r>
      <m:oMath>
        <m:r>
          <m:rPr>
            <m:sty m:val="p"/>
          </m:rPr>
          <m:t>±</m:t>
        </m:r>
        <m:r>
          <m:t>0.5</m:t>
        </m:r>
        <m:r>
          <m:rPr>
            <m:sty m:val="p"/>
          </m:rPr>
          <m:t>°</m:t>
        </m:r>
      </m:oMath>
      <w:r>
        <w:t xml:space="preserve">).</w:t>
      </w:r>
    </w:p>
    <w:p>
      <w:pPr>
        <w:pStyle w:val="Compact"/>
        <w:numPr>
          <w:ilvl w:val="0"/>
          <w:numId w:val="1009"/>
        </w:numPr>
      </w:pPr>
      <w:r>
        <w:rPr>
          <w:b/>
          <w:bCs/>
        </w:rPr>
        <w:t xml:space="preserve">Capacities:</w:t>
      </w:r>
      <w:r>
        <w:t xml:space="preserve"> </w:t>
      </w:r>
      <m:oMath>
        <m:sSub>
          <m:e>
            <m:r>
              <m:t>C</m:t>
            </m:r>
          </m:e>
          <m:sub>
            <m:r>
              <m:t>i</m:t>
            </m:r>
          </m:sub>
        </m:sSub>
        <m:r>
          <m:rPr>
            <m:sty m:val="p"/>
          </m:rPr>
          <m:t>∼</m:t>
        </m:r>
        <m:r>
          <m:t>U</m:t>
        </m:r>
        <m:r>
          <m:rPr>
            <m:sty m:val="p"/>
          </m:rPr>
          <m:t>(</m:t>
        </m:r>
        <m:r>
          <m:t>200</m:t>
        </m:r>
        <m:r>
          <m:rPr>
            <m:sty m:val="p"/>
          </m:rPr>
          <m:t>,</m:t>
        </m:r>
        <m:r>
          <m:t>400</m:t>
        </m:r>
        <m:r>
          <m:rPr>
            <m:sty m:val="p"/>
          </m:rPr>
          <m:t>)</m:t>
        </m:r>
      </m:oMath>
      <w:r>
        <w:t xml:space="preserve">,</w:t>
      </w:r>
      <w:r>
        <w:t xml:space="preserve"> </w:t>
      </w:r>
      <m:oMath>
        <m:sSub>
          <m:e>
            <m:r>
              <m:t>F</m:t>
            </m:r>
          </m:e>
          <m:sub>
            <m:r>
              <m:t>j</m:t>
            </m:r>
          </m:sub>
        </m:sSub>
        <m:r>
          <m:rPr>
            <m:sty m:val="p"/>
          </m:rPr>
          <m:t>∼</m:t>
        </m:r>
        <m:r>
          <m:t>U</m:t>
        </m:r>
        <m:r>
          <m:rPr>
            <m:sty m:val="p"/>
          </m:rPr>
          <m:t>(</m:t>
        </m:r>
        <m:r>
          <m:t>300</m:t>
        </m:r>
        <m:r>
          <m:rPr>
            <m:sty m:val="p"/>
          </m:rPr>
          <m:t>,</m:t>
        </m:r>
        <m:r>
          <m:t>500</m:t>
        </m:r>
        <m:r>
          <m:rPr>
            <m:sty m:val="p"/>
          </m:rPr>
          <m:t>)</m:t>
        </m:r>
      </m:oMath>
      <w:r>
        <w:t xml:space="preserve">,</w:t>
      </w:r>
      <w:r>
        <w:t xml:space="preserve"> </w:t>
      </w:r>
      <m:oMath>
        <m:sSub>
          <m:e>
            <m:r>
              <m:t>D</m:t>
            </m:r>
          </m:e>
          <m:sub>
            <m:r>
              <m:t>k</m:t>
            </m:r>
          </m:sub>
        </m:sSub>
        <m:r>
          <m:rPr>
            <m:sty m:val="p"/>
          </m:rPr>
          <m:t>∼</m:t>
        </m:r>
        <m:r>
          <m:t>U</m:t>
        </m:r>
        <m:r>
          <m:rPr>
            <m:sty m:val="p"/>
          </m:rPr>
          <m:t>(</m:t>
        </m:r>
        <m:r>
          <m:t>250</m:t>
        </m:r>
        <m:r>
          <m:rPr>
            <m:sty m:val="p"/>
          </m:rPr>
          <m:t>,</m:t>
        </m:r>
        <m:r>
          <m:t>400</m:t>
        </m:r>
        <m:r>
          <m:rPr>
            <m:sty m:val="p"/>
          </m:rPr>
          <m:t>)</m:t>
        </m:r>
      </m:oMath>
      <w:r>
        <w:t xml:space="preserve">.</w:t>
      </w:r>
    </w:p>
    <w:p>
      <w:pPr>
        <w:pStyle w:val="Compact"/>
        <w:numPr>
          <w:ilvl w:val="0"/>
          <w:numId w:val="1009"/>
        </w:numPr>
      </w:pPr>
      <w:r>
        <w:rPr>
          <w:b/>
          <w:bCs/>
        </w:rPr>
        <w:t xml:space="preserve">Demand model:</w:t>
      </w:r>
      <w:r>
        <w:t xml:space="preserve"> </w:t>
      </w:r>
      <w:r>
        <w:t xml:space="preserve">A composite signal over 72 periods:</w:t>
      </w:r>
    </w:p>
    <w:p>
      <w:pPr>
        <w:pStyle w:val="FirstParagraph"/>
      </w:pPr>
      <m:oMathPara>
        <m:oMathParaPr>
          <m:jc m:val="center"/>
        </m:oMathParaPr>
        <m:oMath>
          <m:sSub>
            <m:e>
              <m:r>
                <m:t>d</m:t>
              </m:r>
            </m:e>
            <m:sub>
              <m:r>
                <m:t>l</m:t>
              </m:r>
            </m:sub>
          </m:sSub>
          <m:r>
            <m:rPr>
              <m:sty m:val="p"/>
            </m:rPr>
            <m:t>(</m:t>
          </m:r>
          <m:r>
            <m:t>t</m:t>
          </m:r>
          <m:r>
            <m:rPr>
              <m:sty m:val="p"/>
            </m:rPr>
            <m:t>)</m:t>
          </m:r>
          <m:r>
            <m:rPr>
              <m:sty m:val="p"/>
            </m:rPr>
            <m:t>=</m:t>
          </m:r>
          <m:r>
            <m:t>100</m:t>
          </m:r>
          <m:r>
            <m:rPr>
              <m:sty m:val="p"/>
            </m:rPr>
            <m:t>+</m:t>
          </m:r>
          <m:r>
            <m:t>2</m:t>
          </m:r>
          <m:r>
            <m:t>t</m:t>
          </m:r>
          <m:r>
            <m:rPr>
              <m:sty m:val="p"/>
            </m:rPr>
            <m:t>+</m:t>
          </m:r>
          <m:r>
            <m:t>20</m:t>
          </m:r>
          <m:r>
            <m:rPr>
              <m:sty m:val="p"/>
            </m:rPr>
            <m:t>sin</m:t>
          </m:r>
          <m:d>
            <m:dPr>
              <m:begChr m:val="("/>
              <m:sepChr m:val=""/>
              <m:endChr m:val=")"/>
              <m:grow/>
            </m:dPr>
            <m:e>
              <m:f>
                <m:fPr>
                  <m:type m:val="bar"/>
                </m:fPr>
                <m:num>
                  <m:r>
                    <m:t>2</m:t>
                  </m:r>
                  <m:r>
                    <m:t>π</m:t>
                  </m:r>
                  <m:r>
                    <m:t>t</m:t>
                  </m:r>
                </m:num>
                <m:den>
                  <m:r>
                    <m:t>12</m:t>
                  </m:r>
                </m:den>
              </m:f>
            </m:e>
          </m:d>
          <m:r>
            <m:rPr>
              <m:sty m:val="p"/>
            </m:rPr>
            <m:t>+</m:t>
          </m:r>
          <m:r>
            <m:t>η</m:t>
          </m:r>
          <m:r>
            <m:rPr>
              <m:sty m:val="p"/>
            </m:rPr>
            <m:t>(</m:t>
          </m:r>
          <m:r>
            <m:t>t</m:t>
          </m:r>
          <m:r>
            <m:rPr>
              <m:sty m:val="p"/>
            </m:rPr>
            <m:t>)</m:t>
          </m:r>
          <m:r>
            <m:rPr>
              <m:sty m:val="p"/>
            </m:rPr>
            <m:t>+</m:t>
          </m:r>
          <m:r>
            <m:t>r</m:t>
          </m:r>
          <m:r>
            <m:rPr>
              <m:sty m:val="p"/>
            </m:rPr>
            <m:t>(</m:t>
          </m:r>
          <m:r>
            <m:t>t</m:t>
          </m:r>
          <m:r>
            <m:rPr>
              <m:sty m:val="p"/>
            </m:rPr>
            <m:t>)</m:t>
          </m:r>
          <m:r>
            <m:rPr>
              <m:sty m:val="p"/>
            </m:rPr>
            <m:t>+</m:t>
          </m:r>
          <m:r>
            <m:t>s</m:t>
          </m:r>
          <m:r>
            <m:rPr>
              <m:sty m:val="p"/>
            </m:rPr>
            <m:t>(</m:t>
          </m:r>
          <m:r>
            <m:t>t</m:t>
          </m:r>
          <m:r>
            <m:rPr>
              <m:sty m:val="p"/>
            </m:rPr>
            <m:t>)</m:t>
          </m:r>
        </m:oMath>
      </m:oMathPara>
    </w:p>
    <w:p>
      <w:pPr>
        <w:pStyle w:val="FirstParagraph"/>
      </w:pPr>
      <w:r>
        <w:t xml:space="preserve">where</w:t>
      </w:r>
      <w:r>
        <w:t xml:space="preserve"> </w:t>
      </w:r>
      <m:oMath>
        <m:r>
          <m:t>η</m:t>
        </m:r>
        <m:r>
          <m:rPr>
            <m:sty m:val="p"/>
          </m:rPr>
          <m:t>(</m:t>
        </m:r>
        <m:r>
          <m:t>t</m:t>
        </m:r>
        <m:r>
          <m:rPr>
            <m:sty m:val="p"/>
          </m:rPr>
          <m:t>)</m:t>
        </m:r>
        <m:r>
          <m:rPr>
            <m:sty m:val="p"/>
          </m:rPr>
          <m:t>∼</m:t>
        </m:r>
        <m:r>
          <m:t>N</m:t>
        </m:r>
        <m:r>
          <m:rPr>
            <m:sty m:val="p"/>
          </m:rPr>
          <m:t>(</m:t>
        </m:r>
        <m:r>
          <m:t>0</m:t>
        </m:r>
        <m:r>
          <m:rPr>
            <m:sty m:val="p"/>
          </m:rPr>
          <m:t>,</m:t>
        </m:r>
        <m:r>
          <m:t>10</m:t>
        </m:r>
        <m:r>
          <m:rPr>
            <m:sty m:val="p"/>
          </m:rPr>
          <m:t>)</m:t>
        </m:r>
      </m:oMath>
      <w:r>
        <w:t xml:space="preserve"> </w:t>
      </w:r>
      <w:r>
        <w:t xml:space="preserve">is Gaussian noise,</w:t>
      </w:r>
      <w:r>
        <w:t xml:space="preserve"> </w:t>
      </w:r>
      <m:oMath>
        <m:r>
          <m:t>r</m:t>
        </m:r>
        <m:r>
          <m:rPr>
            <m:sty m:val="p"/>
          </m:rPr>
          <m:t>(</m:t>
        </m:r>
        <m:r>
          <m:t>t</m:t>
        </m:r>
        <m:r>
          <m:rPr>
            <m:sty m:val="p"/>
          </m:rPr>
          <m:t>)</m:t>
        </m:r>
      </m:oMath>
      <w:r>
        <w:t xml:space="preserve"> </w:t>
      </w:r>
      <w:r>
        <w:t xml:space="preserve">is a regime shift term, and</w:t>
      </w:r>
      <w:r>
        <w:t xml:space="preserve"> </w:t>
      </w:r>
      <m:oMath>
        <m:r>
          <m:t>s</m:t>
        </m:r>
        <m:r>
          <m:rPr>
            <m:sty m:val="p"/>
          </m:rPr>
          <m:t>(</m:t>
        </m:r>
        <m:r>
          <m:t>t</m:t>
        </m:r>
        <m:r>
          <m:rPr>
            <m:sty m:val="p"/>
          </m:rPr>
          <m:t>)</m:t>
        </m:r>
      </m:oMath>
      <w:r>
        <w:t xml:space="preserve"> </w:t>
      </w:r>
      <w:r>
        <w:t xml:space="preserve">is a demand shock term.</w:t>
      </w:r>
    </w:p>
    <w:p>
      <w:pPr>
        <w:pStyle w:val="Compact"/>
        <w:numPr>
          <w:ilvl w:val="0"/>
          <w:numId w:val="1010"/>
        </w:numPr>
      </w:pPr>
      <w:r>
        <w:rPr>
          <w:b/>
          <w:bCs/>
        </w:rPr>
        <w:t xml:space="preserve">Distances:</w:t>
      </w:r>
      <w:r>
        <w:t xml:space="preserve"> </w:t>
      </w:r>
      <w:r>
        <w:t xml:space="preserve">Haversine geodesic distances with tortuosity factors:</w:t>
      </w:r>
      <w:r>
        <w:t xml:space="preserve"> </w:t>
      </w:r>
      <m:oMath>
        <m:r>
          <m:t>1.2</m:t>
        </m:r>
        <m:r>
          <m:rPr>
            <m:sty m:val="p"/>
          </m:rPr>
          <m:t>×</m:t>
        </m:r>
      </m:oMath>
      <w:r>
        <w:t xml:space="preserve"> </w:t>
      </w:r>
      <w:r>
        <w:t xml:space="preserve">for road,</w:t>
      </w:r>
      <w:r>
        <w:t xml:space="preserve"> </w:t>
      </w:r>
      <m:oMath>
        <m:r>
          <m:t>1.05</m:t>
        </m:r>
        <m:r>
          <m:rPr>
            <m:sty m:val="p"/>
          </m:rPr>
          <m:t>×</m:t>
        </m:r>
      </m:oMath>
      <w:r>
        <w:t xml:space="preserve"> </w:t>
      </w:r>
      <w:r>
        <w:t xml:space="preserve">for rail.</w:t>
      </w:r>
    </w:p>
    <w:p>
      <w:pPr>
        <w:pStyle w:val="Compact"/>
        <w:numPr>
          <w:ilvl w:val="0"/>
          <w:numId w:val="1010"/>
        </w:numPr>
      </w:pPr>
      <w:r>
        <w:rPr>
          <w:b/>
          <w:bCs/>
        </w:rPr>
        <w:t xml:space="preserve">Congestion:</w:t>
      </w:r>
      <w:r>
        <w:t xml:space="preserve"> </w:t>
      </w:r>
      <m:oMath>
        <m:sSub>
          <m:e>
            <m:r>
              <m:t>γ</m:t>
            </m:r>
          </m:e>
          <m:sub>
            <m:r>
              <m:rPr>
                <m:nor/>
                <m:sty m:val="p"/>
              </m:rPr>
              <m:t>road</m:t>
            </m:r>
          </m:sub>
        </m:sSub>
        <m:r>
          <m:rPr>
            <m:sty m:val="p"/>
          </m:rPr>
          <m:t>∼</m:t>
        </m:r>
        <m:r>
          <m:t>U</m:t>
        </m:r>
        <m:r>
          <m:rPr>
            <m:sty m:val="p"/>
          </m:rPr>
          <m:t>(</m:t>
        </m:r>
        <m:r>
          <m:t>1.0</m:t>
        </m:r>
        <m:r>
          <m:rPr>
            <m:sty m:val="p"/>
          </m:rPr>
          <m:t>,</m:t>
        </m:r>
        <m:r>
          <m:t>1.7</m:t>
        </m:r>
        <m:r>
          <m:rPr>
            <m:sty m:val="p"/>
          </m:rPr>
          <m:t>)</m:t>
        </m:r>
      </m:oMath>
      <w:r>
        <w:t xml:space="preserve">,</w:t>
      </w:r>
      <w:r>
        <w:t xml:space="preserve"> </w:t>
      </w:r>
      <m:oMath>
        <m:sSub>
          <m:e>
            <m:r>
              <m:t>γ</m:t>
            </m:r>
          </m:e>
          <m:sub>
            <m:r>
              <m:rPr>
                <m:nor/>
                <m:sty m:val="p"/>
              </m:rPr>
              <m:t>rail</m:t>
            </m:r>
          </m:sub>
        </m:sSub>
        <m:r>
          <m:rPr>
            <m:sty m:val="p"/>
          </m:rPr>
          <m:t>∼</m:t>
        </m:r>
        <m:r>
          <m:t>U</m:t>
        </m:r>
        <m:r>
          <m:rPr>
            <m:sty m:val="p"/>
          </m:rPr>
          <m:t>(</m:t>
        </m:r>
        <m:r>
          <m:t>1.0</m:t>
        </m:r>
        <m:r>
          <m:rPr>
            <m:sty m:val="p"/>
          </m:rPr>
          <m:t>,</m:t>
        </m:r>
        <m:r>
          <m:t>1.1</m:t>
        </m:r>
        <m:r>
          <m:rPr>
            <m:sty m:val="p"/>
          </m:rPr>
          <m:t>)</m:t>
        </m:r>
      </m:oMath>
      <w:r>
        <w:t xml:space="preserve">.</w:t>
      </w:r>
    </w:p>
    <w:bookmarkEnd w:id="60"/>
    <w:bookmarkStart w:id="61" w:name="demand-forecasting-1"/>
    <w:p>
      <w:pPr>
        <w:pStyle w:val="Heading3"/>
      </w:pPr>
      <w:r>
        <w:rPr>
          <w:rStyle w:val="SectionNumber"/>
        </w:rPr>
        <w:t xml:space="preserve">10.3</w:t>
      </w:r>
      <w:r>
        <w:tab/>
      </w:r>
      <w:r>
        <w:t xml:space="preserve">5.3 Demand Forecasting</w:t>
      </w:r>
    </w:p>
    <w:p>
      <w:pPr>
        <w:pStyle w:val="FirstParagraph"/>
      </w:pPr>
      <w:r>
        <w:rPr>
          <w:b/>
          <w:bCs/>
        </w:rPr>
        <w:t xml:space="preserve">Model:</w:t>
      </w:r>
      <w:r>
        <w:t xml:space="preserve"> </w:t>
      </w:r>
      <w:r>
        <w:t xml:space="preserve">Random Forest Regression (Breiman, 2001) — 100 trees, max depth 10.</w:t>
      </w:r>
    </w:p>
    <w:p>
      <w:pPr>
        <w:pStyle w:val="BodyText"/>
      </w:pPr>
      <w:r>
        <w:rPr>
          <w:b/>
          <w:bCs/>
        </w:rPr>
        <w:t xml:space="preserve">Feature engineering (15 features per customer):</w:t>
      </w:r>
    </w:p>
    <w:tbl>
      <w:tblPr>
        <w:tblStyle w:val="Table"/>
        <w:tblW w:type="pct" w:w="5000"/>
        <w:tblLayout w:type="fixed"/>
        <w:tblLook w:firstRow="1" w:lastRow="0" w:firstColumn="0" w:lastColumn="0" w:noHBand="0" w:noVBand="0" w:val="0020"/>
      </w:tblPr>
      <w:tblGrid>
        <w:gridCol w:w="2933"/>
        <w:gridCol w:w="2933"/>
        <w:gridCol w:w="2053"/>
      </w:tblGrid>
      <w:tr>
        <w:trPr>
          <w:tblHeader w:val="on"/>
        </w:trPr>
        <w:tc>
          <w:tcPr/>
          <w:p>
            <w:pPr>
              <w:pStyle w:val="Compact"/>
            </w:pPr>
            <w:r>
              <w:t xml:space="preserve">Category</w:t>
            </w:r>
          </w:p>
        </w:tc>
        <w:tc>
          <w:tcPr/>
          <w:p>
            <w:pPr>
              <w:pStyle w:val="Compact"/>
            </w:pPr>
            <w:r>
              <w:t xml:space="preserve">Features</w:t>
            </w:r>
          </w:p>
        </w:tc>
        <w:tc>
          <w:tcPr/>
          <w:p>
            <w:pPr>
              <w:pStyle w:val="Compact"/>
            </w:pPr>
            <w:r>
              <w:t xml:space="preserve">Count</w:t>
            </w:r>
          </w:p>
        </w:tc>
      </w:tr>
      <w:tr>
        <w:tc>
          <w:tcPr/>
          <w:p>
            <w:pPr>
              <w:pStyle w:val="Compact"/>
            </w:pPr>
            <w:r>
              <w:t xml:space="preserve">Lag features</w:t>
            </w:r>
          </w:p>
        </w:tc>
        <w:tc>
          <w:tcPr/>
          <w:p>
            <w:pPr>
              <w:pStyle w:val="Compact"/>
            </w:pPr>
            <m:oMath>
              <m:r>
                <m:t>d</m:t>
              </m:r>
              <m:r>
                <m:rPr>
                  <m:sty m:val="p"/>
                </m:rPr>
                <m:t>(</m:t>
              </m:r>
              <m:r>
                <m:t>t</m:t>
              </m:r>
              <m:r>
                <m:t>​</m:t>
              </m:r>
              <m:r>
                <m:rPr>
                  <m:sty m:val="p"/>
                </m:rPr>
                <m:t>−</m:t>
              </m:r>
              <m:r>
                <m:t>​</m:t>
              </m:r>
              <m:r>
                <m:t>1</m:t>
              </m:r>
              <m:r>
                <m:rPr>
                  <m:sty m:val="p"/>
                </m:rPr>
                <m:t>)</m:t>
              </m:r>
              <m:r>
                <m:rPr>
                  <m:sty m:val="p"/>
                </m:rPr>
                <m:t>,</m:t>
              </m:r>
              <m:r>
                <m:t>d</m:t>
              </m:r>
              <m:r>
                <m:rPr>
                  <m:sty m:val="p"/>
                </m:rPr>
                <m:t>(</m:t>
              </m:r>
              <m:r>
                <m:t>t</m:t>
              </m:r>
              <m:r>
                <m:t>​</m:t>
              </m:r>
              <m:r>
                <m:rPr>
                  <m:sty m:val="p"/>
                </m:rPr>
                <m:t>−</m:t>
              </m:r>
              <m:r>
                <m:t>​</m:t>
              </m:r>
              <m:r>
                <m:t>2</m:t>
              </m:r>
              <m:r>
                <m:rPr>
                  <m:sty m:val="p"/>
                </m:rPr>
                <m:t>)</m:t>
              </m:r>
              <m:r>
                <m:rPr>
                  <m:sty m:val="p"/>
                </m:rPr>
                <m:t>,</m:t>
              </m:r>
              <m:r>
                <m:rPr>
                  <m:sty m:val="p"/>
                </m:rPr>
                <m:t>…</m:t>
              </m:r>
              <m:r>
                <m:rPr>
                  <m:sty m:val="p"/>
                </m:rPr>
                <m:t>,</m:t>
              </m:r>
              <m:r>
                <m:t>d</m:t>
              </m:r>
              <m:r>
                <m:rPr>
                  <m:sty m:val="p"/>
                </m:rPr>
                <m:t>(</m:t>
              </m:r>
              <m:r>
                <m:t>t</m:t>
              </m:r>
              <m:r>
                <m:t>​</m:t>
              </m:r>
              <m:r>
                <m:rPr>
                  <m:sty m:val="p"/>
                </m:rPr>
                <m:t>−</m:t>
              </m:r>
              <m:r>
                <m:t>​</m:t>
              </m:r>
              <m:r>
                <m:t>6</m:t>
              </m:r>
              <m:r>
                <m:rPr>
                  <m:sty m:val="p"/>
                </m:rPr>
                <m:t>)</m:t>
              </m:r>
            </m:oMath>
          </w:p>
        </w:tc>
        <w:tc>
          <w:tcPr/>
          <w:p>
            <w:pPr>
              <w:pStyle w:val="Compact"/>
            </w:pPr>
            <w:r>
              <w:t xml:space="preserve">6</w:t>
            </w:r>
          </w:p>
        </w:tc>
      </w:tr>
      <w:tr>
        <w:tc>
          <w:tcPr/>
          <w:p>
            <w:pPr>
              <w:pStyle w:val="Compact"/>
            </w:pPr>
            <w:r>
              <w:t xml:space="preserve">Temporal</w:t>
            </w:r>
          </w:p>
        </w:tc>
        <w:tc>
          <w:tcPr/>
          <w:p>
            <w:pPr>
              <w:pStyle w:val="Compact"/>
            </w:pPr>
            <w:r>
              <w:t xml:space="preserve">month,</w:t>
            </w:r>
            <w:r>
              <w:t xml:space="preserve"> </w:t>
            </w:r>
            <m:oMath>
              <m:r>
                <m:rPr>
                  <m:sty m:val="p"/>
                </m:rPr>
                <m:t>sin</m:t>
              </m:r>
              <m:r>
                <m:rPr>
                  <m:sty m:val="p"/>
                </m:rPr>
                <m:t>(</m:t>
              </m:r>
              <m:r>
                <m:t>2</m:t>
              </m:r>
              <m:r>
                <m:t>π</m:t>
              </m:r>
              <m:r>
                <m:rPr>
                  <m:sty m:val="p"/>
                </m:rPr>
                <m:t>⋅</m:t>
              </m:r>
              <m:r>
                <m:rPr>
                  <m:nor/>
                  <m:sty m:val="p"/>
                </m:rPr>
                <m:t>month</m:t>
              </m:r>
              <m:r>
                <m:rPr>
                  <m:sty m:val="p"/>
                </m:rPr>
                <m:t>/</m:t>
              </m:r>
              <m:r>
                <m:t>12</m:t>
              </m:r>
              <m:r>
                <m:rPr>
                  <m:sty m:val="p"/>
                </m:rPr>
                <m:t>)</m:t>
              </m:r>
            </m:oMath>
            <w:r>
              <w:t xml:space="preserve">,</w:t>
            </w:r>
            <w:r>
              <w:t xml:space="preserve"> </w:t>
            </w:r>
            <m:oMath>
              <m:r>
                <m:rPr>
                  <m:sty m:val="p"/>
                </m:rPr>
                <m:t>cos</m:t>
              </m:r>
              <m:r>
                <m:rPr>
                  <m:sty m:val="p"/>
                </m:rPr>
                <m:t>(</m:t>
              </m:r>
              <m:r>
                <m:t>2</m:t>
              </m:r>
              <m:r>
                <m:t>π</m:t>
              </m:r>
              <m:r>
                <m:rPr>
                  <m:sty m:val="p"/>
                </m:rPr>
                <m:t>⋅</m:t>
              </m:r>
              <m:r>
                <m:rPr>
                  <m:nor/>
                  <m:sty m:val="p"/>
                </m:rPr>
                <m:t>month</m:t>
              </m:r>
              <m:r>
                <m:rPr>
                  <m:sty m:val="p"/>
                </m:rPr>
                <m:t>/</m:t>
              </m:r>
              <m:r>
                <m:t>12</m:t>
              </m:r>
              <m:r>
                <m:rPr>
                  <m:sty m:val="p"/>
                </m:rPr>
                <m:t>)</m:t>
              </m:r>
            </m:oMath>
          </w:p>
        </w:tc>
        <w:tc>
          <w:tcPr/>
          <w:p>
            <w:pPr>
              <w:pStyle w:val="Compact"/>
            </w:pPr>
            <w:r>
              <w:t xml:space="preserve">3</w:t>
            </w:r>
          </w:p>
        </w:tc>
      </w:tr>
      <w:tr>
        <w:tc>
          <w:tcPr/>
          <w:p>
            <w:pPr>
              <w:pStyle w:val="Compact"/>
            </w:pPr>
            <w:r>
              <w:t xml:space="preserve">Rolling statistics</w:t>
            </w:r>
          </w:p>
        </w:tc>
        <w:tc>
          <w:tcPr/>
          <w:p>
            <w:pPr>
              <w:pStyle w:val="Compact"/>
            </w:pPr>
            <w:r>
              <w:t xml:space="preserve">Mean and std for windows 3, 6, 12</w:t>
            </w:r>
          </w:p>
        </w:tc>
        <w:tc>
          <w:tcPr/>
          <w:p>
            <w:pPr>
              <w:pStyle w:val="Compact"/>
            </w:pPr>
            <w:r>
              <w:t xml:space="preserve">6</w:t>
            </w:r>
          </w:p>
        </w:tc>
      </w:tr>
    </w:tbl>
    <w:p>
      <w:pPr>
        <w:pStyle w:val="BodyText"/>
      </w:pPr>
      <w:r>
        <w:rPr>
          <w:b/>
          <w:bCs/>
        </w:rPr>
        <w:t xml:space="preserve">Split:</w:t>
      </w:r>
      <w:r>
        <w:t xml:space="preserve"> </w:t>
      </w:r>
      <w:r>
        <w:t xml:space="preserve">60 periods training, 12 periods out-of-sample testing. The final forecasted demand is used as the optimisation input</w:t>
      </w:r>
      <w:r>
        <w:t xml:space="preserve"> </w:t>
      </w:r>
      <m:oMath>
        <m:sSub>
          <m:e>
            <m:r>
              <m:t>d</m:t>
            </m:r>
          </m:e>
          <m:sub>
            <m:r>
              <m:t>l</m:t>
            </m:r>
          </m:sub>
        </m:sSub>
      </m:oMath>
      <w:r>
        <w:t xml:space="preserve">.</w:t>
      </w:r>
    </w:p>
    <w:bookmarkEnd w:id="61"/>
    <w:bookmarkStart w:id="62" w:name="nsga-ii-optimisation"/>
    <w:p>
      <w:pPr>
        <w:pStyle w:val="Heading3"/>
      </w:pPr>
      <w:r>
        <w:rPr>
          <w:rStyle w:val="SectionNumber"/>
        </w:rPr>
        <w:t xml:space="preserve">10.4</w:t>
      </w:r>
      <w:r>
        <w:tab/>
      </w:r>
      <w:r>
        <w:t xml:space="preserve">5.4 NSGA-II Optimisation</w:t>
      </w:r>
    </w:p>
    <w:p>
      <w:pPr>
        <w:pStyle w:val="FirstParagraph"/>
      </w:pPr>
      <w:r>
        <w:rPr>
          <w:b/>
          <w:bCs/>
        </w:rPr>
        <w:t xml:space="preserve">Table 5.1: NSGA-II parameter configuration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Population size</w:t>
            </w:r>
          </w:p>
        </w:tc>
        <w:tc>
          <w:tcPr/>
          <w:p>
            <w:pPr>
              <w:pStyle w:val="Compact"/>
            </w:pPr>
            <w:r>
              <w:t xml:space="preserve">120</w:t>
            </w:r>
          </w:p>
        </w:tc>
      </w:tr>
      <w:tr>
        <w:tc>
          <w:tcPr/>
          <w:p>
            <w:pPr>
              <w:pStyle w:val="Compact"/>
            </w:pPr>
            <w:r>
              <w:t xml:space="preserve">Generations</w:t>
            </w:r>
          </w:p>
        </w:tc>
        <w:tc>
          <w:tcPr/>
          <w:p>
            <w:pPr>
              <w:pStyle w:val="Compact"/>
            </w:pPr>
            <w:r>
              <w:t xml:space="preserve">300</w:t>
            </w:r>
          </w:p>
        </w:tc>
      </w:tr>
      <w:tr>
        <w:tc>
          <w:tcPr/>
          <w:p>
            <w:pPr>
              <w:pStyle w:val="Compact"/>
            </w:pPr>
            <w:r>
              <w:t xml:space="preserve">Total evaluations</w:t>
            </w:r>
          </w:p>
        </w:tc>
        <w:tc>
          <w:tcPr/>
          <w:p>
            <w:pPr>
              <w:pStyle w:val="Compact"/>
            </w:pPr>
            <w:r>
              <w:t xml:space="preserve">36,000</w:t>
            </w:r>
          </w:p>
        </w:tc>
      </w:tr>
      <w:tr>
        <w:tc>
          <w:tcPr/>
          <w:p>
            <w:pPr>
              <w:pStyle w:val="Compact"/>
            </w:pPr>
            <w:r>
              <w:t xml:space="preserve">Solution encoding</w:t>
            </w:r>
          </w:p>
        </w:tc>
        <w:tc>
          <w:tcPr/>
          <w:p>
            <w:pPr>
              <w:pStyle w:val="Compact"/>
            </w:pPr>
            <w:r>
              <w:t xml:space="preserve">54-dimensional continuous vector</w:t>
            </w:r>
          </w:p>
        </w:tc>
      </w:tr>
      <w:tr>
        <w:tc>
          <w:tcPr/>
          <w:p>
            <w:pPr>
              <w:pStyle w:val="Compact"/>
            </w:pPr>
            <w:r>
              <w:t xml:space="preserve">Crossover</w:t>
            </w:r>
          </w:p>
        </w:tc>
        <w:tc>
          <w:tcPr/>
          <w:p>
            <w:pPr>
              <w:pStyle w:val="Compact"/>
            </w:pPr>
            <w:r>
              <w:t xml:space="preserve">Simulated Binary Crossover (SBX)</w:t>
            </w:r>
          </w:p>
        </w:tc>
      </w:tr>
      <w:tr>
        <w:tc>
          <w:tcPr/>
          <w:p>
            <w:pPr>
              <w:pStyle w:val="Compact"/>
            </w:pPr>
            <w:r>
              <w:t xml:space="preserve">Mutation</w:t>
            </w:r>
          </w:p>
        </w:tc>
        <w:tc>
          <w:tcPr/>
          <w:p>
            <w:pPr>
              <w:pStyle w:val="Compact"/>
            </w:pPr>
            <w:r>
              <w:t xml:space="preserve">Polynomial mutation</w:t>
            </w:r>
          </w:p>
        </w:tc>
      </w:tr>
      <w:tr>
        <w:tc>
          <w:tcPr/>
          <w:p>
            <w:pPr>
              <w:pStyle w:val="Compact"/>
            </w:pPr>
            <w:r>
              <w:t xml:space="preserve">Objectives</w:t>
            </w:r>
          </w:p>
        </w:tc>
        <w:tc>
          <w:tcPr/>
          <w:p>
            <w:pPr>
              <w:pStyle w:val="Compact"/>
            </w:pPr>
            <m:oMath>
              <m:r>
                <m:rPr>
                  <m:sty m:val="p"/>
                </m:rPr>
                <m:t>min</m:t>
              </m:r>
              <m:sSub>
                <m:e>
                  <m:acc>
                    <m:accPr>
                      <m:chr m:val="̃"/>
                    </m:accPr>
                    <m:e>
                      <m:r>
                        <m:t>f</m:t>
                      </m:r>
                    </m:e>
                  </m:acc>
                </m:e>
                <m:sub>
                  <m:r>
                    <m:t>1</m:t>
                  </m:r>
                </m:sub>
              </m:sSub>
            </m:oMath>
            <w:r>
              <w:t xml:space="preserve">,</w:t>
            </w:r>
            <w:r>
              <w:t xml:space="preserve"> </w:t>
            </w:r>
            <m:oMath>
              <m:r>
                <m:rPr>
                  <m:sty m:val="p"/>
                </m:rPr>
                <m:t>min</m:t>
              </m:r>
              <m:sSub>
                <m:e>
                  <m:acc>
                    <m:accPr>
                      <m:chr m:val="̃"/>
                    </m:accPr>
                    <m:e>
                      <m:r>
                        <m:t>f</m:t>
                      </m:r>
                    </m:e>
                  </m:acc>
                </m:e>
                <m:sub>
                  <m:r>
                    <m:t>2</m:t>
                  </m:r>
                </m:sub>
              </m:sSub>
            </m:oMath>
            <w:r>
              <w:t xml:space="preserve">,</w:t>
            </w:r>
            <w:r>
              <w:t xml:space="preserve"> </w:t>
            </w:r>
            <m:oMath>
              <m:r>
                <m:rPr>
                  <m:sty m:val="p"/>
                </m:rPr>
                <m:t>max</m:t>
              </m:r>
              <m:sSub>
                <m:e>
                  <m:r>
                    <m:t>f</m:t>
                  </m:r>
                </m:e>
                <m:sub>
                  <m:r>
                    <m:t>3</m:t>
                  </m:r>
                </m:sub>
              </m:sSub>
            </m:oMath>
          </w:p>
        </w:tc>
      </w:tr>
    </w:tbl>
    <w:p>
      <w:pPr>
        <w:pStyle w:val="BodyText"/>
      </w:pPr>
      <w:r>
        <w:rPr>
          <w:b/>
          <w:bCs/>
        </w:rPr>
        <w:t xml:space="preserve">Representative solution extraction</w:t>
      </w:r>
      <w:r>
        <w:t xml:space="preserve"> </w:t>
      </w:r>
      <w:r>
        <w:t xml:space="preserve">from the Pareto front:</w:t>
      </w:r>
    </w:p>
    <w:p>
      <w:pPr>
        <w:pStyle w:val="Compact"/>
        <w:numPr>
          <w:ilvl w:val="0"/>
          <w:numId w:val="1011"/>
        </w:numPr>
      </w:pPr>
      <w:r>
        <w:rPr>
          <w:b/>
          <w:bCs/>
        </w:rPr>
        <w:t xml:space="preserve">Min Cost</w:t>
      </w:r>
      <w:r>
        <w:t xml:space="preserve"> </w:t>
      </w:r>
      <w:r>
        <w:t xml:space="preserve">— lowest</w:t>
      </w:r>
      <w:r>
        <w:t xml:space="preserve"> </w:t>
      </w:r>
      <m:oMath>
        <m:sSub>
          <m:e>
            <m:r>
              <m:t>f</m:t>
            </m:r>
          </m:e>
          <m:sub>
            <m:r>
              <m:t>1</m:t>
            </m:r>
          </m:sub>
        </m:sSub>
      </m:oMath>
    </w:p>
    <w:p>
      <w:pPr>
        <w:pStyle w:val="Compact"/>
        <w:numPr>
          <w:ilvl w:val="0"/>
          <w:numId w:val="1011"/>
        </w:numPr>
      </w:pPr>
      <w:r>
        <w:rPr>
          <w:b/>
          <w:bCs/>
        </w:rPr>
        <w:t xml:space="preserve">Min Emissions</w:t>
      </w:r>
      <w:r>
        <w:t xml:space="preserve"> </w:t>
      </w:r>
      <w:r>
        <w:t xml:space="preserve">— lowest</w:t>
      </w:r>
      <w:r>
        <w:t xml:space="preserve"> </w:t>
      </w:r>
      <m:oMath>
        <m:sSub>
          <m:e>
            <m:r>
              <m:t>f</m:t>
            </m:r>
          </m:e>
          <m:sub>
            <m:r>
              <m:t>2</m:t>
            </m:r>
          </m:sub>
        </m:sSub>
      </m:oMath>
    </w:p>
    <w:p>
      <w:pPr>
        <w:pStyle w:val="Compact"/>
        <w:numPr>
          <w:ilvl w:val="0"/>
          <w:numId w:val="1011"/>
        </w:numPr>
      </w:pPr>
      <w:r>
        <w:rPr>
          <w:b/>
          <w:bCs/>
        </w:rPr>
        <w:t xml:space="preserve">Balanced (Utopia)</w:t>
      </w:r>
      <w:r>
        <w:t xml:space="preserve"> </w:t>
      </w:r>
      <w:r>
        <w:t xml:space="preserve">— closest to the ideal point in normalised objective space</w:t>
      </w:r>
    </w:p>
    <w:p>
      <w:pPr>
        <w:pStyle w:val="Compact"/>
        <w:numPr>
          <w:ilvl w:val="0"/>
          <w:numId w:val="1011"/>
        </w:numPr>
      </w:pPr>
      <w:r>
        <w:rPr>
          <w:b/>
          <w:bCs/>
        </w:rPr>
        <w:t xml:space="preserve">Balanced (Knee)</w:t>
      </w:r>
      <w:r>
        <w:t xml:space="preserve"> </w:t>
      </w:r>
      <w:r>
        <w:t xml:space="preserve">— maximum curvature point on the Pareto front</w:t>
      </w:r>
    </w:p>
    <w:bookmarkEnd w:id="62"/>
    <w:bookmarkStart w:id="63" w:name="resilience-simulation"/>
    <w:p>
      <w:pPr>
        <w:pStyle w:val="Heading3"/>
      </w:pPr>
      <w:r>
        <w:rPr>
          <w:rStyle w:val="SectionNumber"/>
        </w:rPr>
        <w:t xml:space="preserve">10.5</w:t>
      </w:r>
      <w:r>
        <w:tab/>
      </w:r>
      <w:r>
        <w:t xml:space="preserve">5.5 Resilience Simulation</w:t>
      </w:r>
    </w:p>
    <w:p>
      <w:pPr>
        <w:pStyle w:val="FirstParagraph"/>
      </w:pPr>
      <w:r>
        <w:rPr>
          <w:b/>
          <w:bCs/>
        </w:rPr>
        <w:t xml:space="preserve">Framework:</w:t>
      </w:r>
      <w:r>
        <w:t xml:space="preserve"> </w:t>
      </w:r>
      <w:r>
        <w:t xml:space="preserve">SimPy discrete-event Monte Carlo simulation.</w:t>
      </w:r>
    </w:p>
    <w:p>
      <w:pPr>
        <w:pStyle w:val="BodyText"/>
      </w:pPr>
      <w:r>
        <w:rPr>
          <w:b/>
          <w:bCs/>
        </w:rPr>
        <w:t xml:space="preserve">Table 5.2: Simulation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Value</w:t>
            </w:r>
          </w:p>
        </w:tc>
        <w:tc>
          <w:tcPr/>
          <w:p>
            <w:pPr>
              <w:pStyle w:val="Compact"/>
            </w:pPr>
            <w:r>
              <w:t xml:space="preserve">Justification</w:t>
            </w:r>
          </w:p>
        </w:tc>
      </w:tr>
      <w:tr>
        <w:tc>
          <w:tcPr/>
          <w:p>
            <w:pPr>
              <w:pStyle w:val="Compact"/>
            </w:pPr>
            <w:r>
              <w:t xml:space="preserve">MTTF</w:t>
            </w:r>
          </w:p>
        </w:tc>
        <w:tc>
          <w:tcPr/>
          <w:p>
            <w:pPr>
              <w:pStyle w:val="Compact"/>
            </w:pPr>
            <w:r>
              <w:t xml:space="preserve">1,825 days (5 yr)</w:t>
            </w:r>
          </w:p>
        </w:tc>
        <w:tc>
          <w:tcPr/>
          <w:p>
            <w:pPr>
              <w:pStyle w:val="Compact"/>
            </w:pPr>
            <w:r>
              <w:t xml:space="preserve">Industry average for major disruptions</w:t>
            </w:r>
          </w:p>
        </w:tc>
      </w:tr>
      <w:tr>
        <w:tc>
          <w:tcPr/>
          <w:p>
            <w:pPr>
              <w:pStyle w:val="Compact"/>
            </w:pPr>
            <w:r>
              <w:t xml:space="preserve">MTTR</w:t>
            </w:r>
          </w:p>
        </w:tc>
        <w:tc>
          <w:tcPr/>
          <w:p>
            <w:pPr>
              <w:pStyle w:val="Compact"/>
            </w:pPr>
            <w:r>
              <w:t xml:space="preserve">45 days</w:t>
            </w:r>
          </w:p>
        </w:tc>
        <w:tc>
          <w:tcPr/>
          <w:p>
            <w:pPr>
              <w:pStyle w:val="Compact"/>
            </w:pPr>
            <w:r>
              <w:t xml:space="preserve">Facility restoration time</w:t>
            </w:r>
          </w:p>
        </w:tc>
      </w:tr>
      <w:tr>
        <w:tc>
          <w:tcPr/>
          <w:p>
            <w:pPr>
              <w:pStyle w:val="Compact"/>
            </w:pPr>
            <w:r>
              <w:t xml:space="preserve">Duration</w:t>
            </w:r>
          </w:p>
        </w:tc>
        <w:tc>
          <w:tcPr/>
          <w:p>
            <w:pPr>
              <w:pStyle w:val="Compact"/>
            </w:pPr>
            <w:r>
              <w:t xml:space="preserve">3,650 days (10 yr)</w:t>
            </w:r>
          </w:p>
        </w:tc>
        <w:tc>
          <w:tcPr/>
          <w:p>
            <w:pPr>
              <w:pStyle w:val="Compact"/>
            </w:pPr>
            <w:r>
              <w:t xml:space="preserve">Multiple disruption cycles</w:t>
            </w:r>
          </w:p>
        </w:tc>
      </w:tr>
      <w:tr>
        <w:tc>
          <w:tcPr/>
          <w:p>
            <w:pPr>
              <w:pStyle w:val="Compact"/>
            </w:pPr>
            <w:r>
              <w:t xml:space="preserve">Runs</w:t>
            </w:r>
          </w:p>
        </w:tc>
        <w:tc>
          <w:tcPr/>
          <w:p>
            <w:pPr>
              <w:pStyle w:val="Compact"/>
            </w:pPr>
            <w:r>
              <w:t xml:space="preserve">100</w:t>
            </w:r>
          </w:p>
        </w:tc>
        <w:tc>
          <w:tcPr/>
          <w:p>
            <w:pPr>
              <w:pStyle w:val="Compact"/>
            </w:pPr>
            <w:r>
              <w:t xml:space="preserve">Statistical significance</w:t>
            </w:r>
          </w:p>
        </w:tc>
      </w:tr>
      <w:tr>
        <w:tc>
          <w:tcPr/>
          <w:p>
            <w:pPr>
              <w:pStyle w:val="Compact"/>
            </w:pPr>
            <w:r>
              <w:t xml:space="preserve">Rerouting efficiency</w:t>
            </w:r>
          </w:p>
        </w:tc>
        <w:tc>
          <w:tcPr/>
          <w:p>
            <w:pPr>
              <w:pStyle w:val="Compact"/>
            </w:pPr>
            <w:r>
              <w:t xml:space="preserve">50%</w:t>
            </w:r>
          </w:p>
        </w:tc>
        <w:tc>
          <w:tcPr/>
          <w:p>
            <w:pPr>
              <w:pStyle w:val="Compact"/>
            </w:pPr>
            <w:r>
              <w:t xml:space="preserve">Partial substitutability</w:t>
            </w:r>
          </w:p>
        </w:tc>
      </w:tr>
    </w:tbl>
    <w:p>
      <w:pPr>
        <w:pStyle w:val="BodyText"/>
      </w:pPr>
      <w:r>
        <w:t xml:space="preserve">Each run models facility state transitions (operational</w:t>
      </w:r>
      <w:r>
        <w:t xml:space="preserve"> </w:t>
      </w:r>
      <m:oMath>
        <m:r>
          <m:rPr>
            <m:sty m:val="p"/>
          </m:rPr>
          <m:t>↔</m:t>
        </m:r>
      </m:oMath>
      <w:r>
        <w:t xml:space="preserve"> </w:t>
      </w:r>
      <w:r>
        <w:t xml:space="preserve">failed) with inter-arrival times</w:t>
      </w:r>
      <w:r>
        <w:t xml:space="preserve"> </w:t>
      </w:r>
      <m:oMath>
        <m:r>
          <m:rPr>
            <m:sty m:val="p"/>
          </m:rPr>
          <m:t>∼</m:t>
        </m:r>
        <m:r>
          <m:rPr>
            <m:nor/>
            <m:sty m:val="p"/>
          </m:rPr>
          <m:t>Exp</m:t>
        </m:r>
        <m:r>
          <m:rPr>
            <m:sty m:val="p"/>
          </m:rPr>
          <m:t>(</m:t>
        </m:r>
        <m:r>
          <m:rPr>
            <m:nor/>
            <m:sty m:val="p"/>
          </m:rPr>
          <m:t>MTTF</m:t>
        </m:r>
        <m:r>
          <m:rPr>
            <m:sty m:val="p"/>
          </m:rPr>
          <m:t>)</m:t>
        </m:r>
      </m:oMath>
      <w:r>
        <w:t xml:space="preserve"> </w:t>
      </w:r>
      <w:r>
        <w:t xml:space="preserve">and repair times</w:t>
      </w:r>
      <w:r>
        <w:t xml:space="preserve"> </w:t>
      </w:r>
      <m:oMath>
        <m:r>
          <m:rPr>
            <m:sty m:val="p"/>
          </m:rPr>
          <m:t>∼</m:t>
        </m:r>
        <m:r>
          <m:rPr>
            <m:nor/>
            <m:sty m:val="p"/>
          </m:rPr>
          <m:t>Exp</m:t>
        </m:r>
        <m:r>
          <m:rPr>
            <m:sty m:val="p"/>
          </m:rPr>
          <m:t>(</m:t>
        </m:r>
        <m:r>
          <m:rPr>
            <m:nor/>
            <m:sty m:val="p"/>
          </m:rPr>
          <m:t>MTTR</m:t>
        </m:r>
        <m:r>
          <m:rPr>
            <m:sty m:val="p"/>
          </m:rPr>
          <m:t>)</m:t>
        </m:r>
      </m:oMath>
      <w:r>
        <w:t xml:space="preserve">. Fill rate is computed as fulfilled demand / total demand.</w:t>
      </w:r>
    </w:p>
    <w:bookmarkEnd w:id="63"/>
    <w:bookmarkStart w:id="64" w:name="decision-support-system"/>
    <w:p>
      <w:pPr>
        <w:pStyle w:val="Heading3"/>
      </w:pPr>
      <w:r>
        <w:rPr>
          <w:rStyle w:val="SectionNumber"/>
        </w:rPr>
        <w:t xml:space="preserve">10.6</w:t>
      </w:r>
      <w:r>
        <w:tab/>
      </w:r>
      <w:r>
        <w:t xml:space="preserve">5.6 Decision Support System</w:t>
      </w:r>
    </w:p>
    <w:p>
      <w:pPr>
        <w:pStyle w:val="FirstParagraph"/>
      </w:pPr>
      <w:r>
        <w:t xml:space="preserve">A Streamlit-based interactive Decision Support System (DSS) was developed to enable stakeholders to explore optimisation results without requiring programming expertise. The dashboard is deployed on Streamlit Community Cloud and accessible at:</w:t>
      </w:r>
    </w:p>
    <w:p>
      <w:pPr>
        <w:pStyle w:val="BlockText"/>
      </w:pPr>
      <w:r>
        <w:rPr>
          <w:b/>
          <w:bCs/>
        </w:rPr>
        <w:t xml:space="preserve">Live Dashboard:</w:t>
      </w:r>
      <w:r>
        <w:t xml:space="preserve"> </w:t>
      </w:r>
      <w:r>
        <w:t xml:space="preserve">https://sagar2664-mtp.streamlit.app</w:t>
      </w:r>
    </w:p>
    <w:p>
      <w:pPr>
        <w:pStyle w:val="FirstParagraph"/>
      </w:pPr>
      <w:r>
        <w:t xml:space="preserve">The DSS provides four modules:</w:t>
      </w:r>
    </w:p>
    <w:p>
      <w:pPr>
        <w:pStyle w:val="Compact"/>
        <w:numPr>
          <w:ilvl w:val="0"/>
          <w:numId w:val="1012"/>
        </w:numPr>
      </w:pPr>
      <w:r>
        <w:rPr>
          <w:b/>
          <w:bCs/>
        </w:rPr>
        <w:t xml:space="preserve">Overview</w:t>
      </w:r>
      <w:r>
        <w:t xml:space="preserve"> </w:t>
      </w:r>
      <w:r>
        <w:t xml:space="preserve">— KPI cards, convergence plots, and summary statistics for the optimisation run.</w:t>
      </w:r>
    </w:p>
    <w:p>
      <w:pPr>
        <w:pStyle w:val="Compact"/>
        <w:numPr>
          <w:ilvl w:val="0"/>
          <w:numId w:val="1012"/>
        </w:numPr>
      </w:pPr>
      <w:r>
        <w:rPr>
          <w:b/>
          <w:bCs/>
        </w:rPr>
        <w:t xml:space="preserve">Network Map</w:t>
      </w:r>
      <w:r>
        <w:t xml:space="preserve"> </w:t>
      </w:r>
      <w:r>
        <w:t xml:space="preserve">— Geographic visualisation of the supply chain with mode-coloured flow arcs (blue: rail, green: road). Users can switch between representative solutions to observe how flow patterns change across the Pareto front.</w:t>
      </w:r>
    </w:p>
    <w:p>
      <w:pPr>
        <w:pStyle w:val="Compact"/>
        <w:numPr>
          <w:ilvl w:val="0"/>
          <w:numId w:val="1012"/>
        </w:numPr>
      </w:pPr>
      <w:r>
        <w:rPr>
          <w:b/>
          <w:bCs/>
        </w:rPr>
        <w:t xml:space="preserve">Pareto Analysis</w:t>
      </w:r>
      <w:r>
        <w:t xml:space="preserve"> </w:t>
      </w:r>
      <w:r>
        <w:t xml:space="preserve">— Interactive 3D scatter plot of the Pareto front with cost, emissions, and resilience axes. Includes bar charts, radar comparisons, and solution filtering.</w:t>
      </w:r>
    </w:p>
    <w:p>
      <w:pPr>
        <w:pStyle w:val="Compact"/>
        <w:numPr>
          <w:ilvl w:val="0"/>
          <w:numId w:val="1012"/>
        </w:numPr>
      </w:pPr>
      <w:r>
        <w:rPr>
          <w:b/>
          <w:bCs/>
        </w:rPr>
        <w:t xml:space="preserve">Resilience Simulation</w:t>
      </w:r>
      <w:r>
        <w:t xml:space="preserve"> </w:t>
      </w:r>
      <w:r>
        <w:t xml:space="preserve">— Gauge indicators for average fill rate, worst-case fill rate, and disruption frequency from the Monte Carlo simulation.</w:t>
      </w:r>
    </w:p>
    <w:p>
      <w:pPr>
        <w:pStyle w:val="FirstParagraph"/>
      </w:pPr>
      <w:r>
        <w:t xml:space="preserve">The source code is publicly available at: https://github.com/sagar2664/mtp</w:t>
      </w:r>
    </w:p>
    <w:bookmarkEnd w:id="64"/>
    <w:bookmarkEnd w:id="65"/>
    <w:bookmarkStart w:id="87" w:name="chapter-6-results-and-discussion"/>
    <w:p>
      <w:pPr>
        <w:pStyle w:val="Heading2"/>
      </w:pPr>
      <w:r>
        <w:rPr>
          <w:rStyle w:val="SectionNumber"/>
        </w:rPr>
        <w:t xml:space="preserve">11</w:t>
      </w:r>
      <w:r>
        <w:tab/>
      </w:r>
      <w:r>
        <w:t xml:space="preserve">Chapter 6: Results and Discussion</w:t>
      </w:r>
    </w:p>
    <w:bookmarkStart w:id="66" w:name="experimental-setup"/>
    <w:p>
      <w:pPr>
        <w:pStyle w:val="Heading3"/>
      </w:pPr>
      <w:r>
        <w:rPr>
          <w:rStyle w:val="SectionNumber"/>
        </w:rPr>
        <w:t xml:space="preserve">11.1</w:t>
      </w:r>
      <w:r>
        <w:tab/>
      </w:r>
      <w:r>
        <w:t xml:space="preserve">6.1 Experimental Setup</w:t>
      </w:r>
    </w:p>
    <w:p>
      <w:pPr>
        <w:pStyle w:val="FirstParagraph"/>
      </w:pPr>
      <w:r>
        <w:rPr>
          <w:b/>
          <w:bCs/>
        </w:rPr>
        <w:t xml:space="preserve">Table 6.1: Experimental configuration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Suppliers</w:t>
            </w:r>
          </w:p>
        </w:tc>
        <w:tc>
          <w:tcPr/>
          <w:p>
            <w:pPr>
              <w:pStyle w:val="Compact"/>
            </w:pPr>
            <w:r>
              <w:t xml:space="preserve">3</w:t>
            </w:r>
          </w:p>
        </w:tc>
      </w:tr>
      <w:tr>
        <w:tc>
          <w:tcPr/>
          <w:p>
            <w:pPr>
              <w:pStyle w:val="Compact"/>
            </w:pPr>
            <w:r>
              <w:t xml:space="preserve">Factories</w:t>
            </w:r>
          </w:p>
        </w:tc>
        <w:tc>
          <w:tcPr/>
          <w:p>
            <w:pPr>
              <w:pStyle w:val="Compact"/>
            </w:pPr>
            <w:r>
              <w:t xml:space="preserve">2</w:t>
            </w:r>
          </w:p>
        </w:tc>
      </w:tr>
      <w:tr>
        <w:tc>
          <w:tcPr/>
          <w:p>
            <w:pPr>
              <w:pStyle w:val="Compact"/>
            </w:pPr>
            <w:r>
              <w:t xml:space="preserve">Distribution Centres</w:t>
            </w:r>
          </w:p>
        </w:tc>
        <w:tc>
          <w:tcPr/>
          <w:p>
            <w:pPr>
              <w:pStyle w:val="Compact"/>
            </w:pPr>
            <w:r>
              <w:t xml:space="preserve">3</w:t>
            </w:r>
          </w:p>
        </w:tc>
      </w:tr>
      <w:tr>
        <w:tc>
          <w:tcPr/>
          <w:p>
            <w:pPr>
              <w:pStyle w:val="Compact"/>
            </w:pPr>
            <w:r>
              <w:t xml:space="preserve">Customers</w:t>
            </w:r>
          </w:p>
        </w:tc>
        <w:tc>
          <w:tcPr/>
          <w:p>
            <w:pPr>
              <w:pStyle w:val="Compact"/>
            </w:pPr>
            <w:r>
              <w:t xml:space="preserve">5</w:t>
            </w:r>
          </w:p>
        </w:tc>
      </w:tr>
      <w:tr>
        <w:tc>
          <w:tcPr/>
          <w:p>
            <w:pPr>
              <w:pStyle w:val="Compact"/>
            </w:pPr>
            <w:r>
              <w:t xml:space="preserve">Transport modes</w:t>
            </w:r>
          </w:p>
        </w:tc>
        <w:tc>
          <w:tcPr/>
          <w:p>
            <w:pPr>
              <w:pStyle w:val="Compact"/>
            </w:pPr>
            <w:r>
              <w:t xml:space="preserve">2 (Road, Rail)</w:t>
            </w:r>
          </w:p>
        </w:tc>
      </w:tr>
      <w:tr>
        <w:tc>
          <w:tcPr/>
          <w:p>
            <w:pPr>
              <w:pStyle w:val="Compact"/>
            </w:pPr>
            <w:r>
              <w:t xml:space="preserve">Decision variables</w:t>
            </w:r>
          </w:p>
        </w:tc>
        <w:tc>
          <w:tcPr/>
          <w:p>
            <w:pPr>
              <w:pStyle w:val="Compact"/>
            </w:pPr>
            <w:r>
              <w:t xml:space="preserve">54</w:t>
            </w:r>
          </w:p>
        </w:tc>
      </w:tr>
      <w:tr>
        <w:tc>
          <w:tcPr/>
          <w:p>
            <w:pPr>
              <w:pStyle w:val="Compact"/>
            </w:pPr>
            <w:r>
              <w:t xml:space="preserve">Platform</w:t>
            </w:r>
          </w:p>
        </w:tc>
        <w:tc>
          <w:tcPr/>
          <w:p>
            <w:pPr>
              <w:pStyle w:val="Compact"/>
            </w:pPr>
            <w:r>
              <w:t xml:space="preserve">Python 3.10, Pyomo, pymoo, scikit-learn, SimPy</w:t>
            </w:r>
          </w:p>
        </w:tc>
      </w:tr>
    </w:tbl>
    <w:bookmarkEnd w:id="66"/>
    <w:bookmarkStart w:id="70" w:name="demand-forecasting-results"/>
    <w:p>
      <w:pPr>
        <w:pStyle w:val="Heading3"/>
      </w:pPr>
      <w:r>
        <w:rPr>
          <w:rStyle w:val="SectionNumber"/>
        </w:rPr>
        <w:t xml:space="preserve">11.2</w:t>
      </w:r>
      <w:r>
        <w:tab/>
      </w:r>
      <w:r>
        <w:t xml:space="preserve">6.2 Demand Forecasting Results</w:t>
      </w:r>
    </w:p>
    <w:p>
      <w:pPr>
        <w:pStyle w:val="FirstParagraph"/>
      </w:pPr>
      <w:r>
        <w:rPr>
          <w:b/>
          <w:bCs/>
        </w:rPr>
        <w:t xml:space="preserve">Table 6.2: Forecasting accuracy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MAE</w:t>
            </w:r>
          </w:p>
        </w:tc>
        <w:tc>
          <w:tcPr/>
          <w:p>
            <w:pPr>
              <w:pStyle w:val="Compact"/>
            </w:pPr>
            <w:r>
              <w:t xml:space="preserve">30.13</w:t>
            </w:r>
          </w:p>
        </w:tc>
      </w:tr>
      <w:tr>
        <w:tc>
          <w:tcPr/>
          <w:p>
            <w:pPr>
              <w:pStyle w:val="Compact"/>
            </w:pPr>
            <w:r>
              <w:t xml:space="preserve">RMSE</w:t>
            </w:r>
          </w:p>
        </w:tc>
        <w:tc>
          <w:tcPr/>
          <w:p>
            <w:pPr>
              <w:pStyle w:val="Compact"/>
            </w:pPr>
            <w:r>
              <w:t xml:space="preserve">39.40</w:t>
            </w:r>
          </w:p>
        </w:tc>
      </w:tr>
      <w:tr>
        <w:tc>
          <w:tcPr/>
          <w:p>
            <w:pPr>
              <w:pStyle w:val="Compact"/>
            </w:pPr>
            <w:r>
              <w:t xml:space="preserve">MAPE</w:t>
            </w:r>
          </w:p>
        </w:tc>
        <w:tc>
          <w:tcPr/>
          <w:p>
            <w:pPr>
              <w:pStyle w:val="Compact"/>
            </w:pPr>
            <w:r>
              <w:t xml:space="preserve">12.16%</w:t>
            </w:r>
          </w:p>
        </w:tc>
      </w:tr>
    </w:tbl>
    <w:p>
      <w:pPr>
        <w:pStyle w:val="BodyText"/>
      </w:pPr>
      <w:r>
        <w:t xml:space="preserve">A MAPE of 12.16% is acceptable for strategic network design given the presence of regime shifts and demand shocks. The model successfully captures seasonal patterns and trend. Figure 6.1 shows the demand time series for all five customers with the forecast boundary at period 60.</w:t>
      </w:r>
    </w:p>
    <w:p>
      <w:pPr>
        <w:pStyle w:val="CaptionedFigure"/>
      </w:pPr>
      <w:r>
        <w:drawing>
          <wp:inline>
            <wp:extent cx="5334000" cy="2189747"/>
            <wp:effectExtent b="0" l="0" r="0" t="0"/>
            <wp:docPr descr="Figure 6.1: Customer demand time series over 72 periods. The dashed vertical line at period 60 marks the training/test split. The model captures trend, seasonality, and regime shifts." title="" id="68" name="Picture"/>
            <a:graphic>
              <a:graphicData uri="http://schemas.openxmlformats.org/drawingml/2006/picture">
                <pic:pic>
                  <pic:nvPicPr>
                    <pic:cNvPr descr="results/figures/demand_forecast.png" id="69" name="Picture"/>
                    <pic:cNvPicPr>
                      <a:picLocks noChangeArrowheads="1" noChangeAspect="1"/>
                    </pic:cNvPicPr>
                  </pic:nvPicPr>
                  <pic:blipFill>
                    <a:blip r:embed="rId67"/>
                    <a:stretch>
                      <a:fillRect/>
                    </a:stretch>
                  </pic:blipFill>
                  <pic:spPr bwMode="auto">
                    <a:xfrm>
                      <a:off x="0" y="0"/>
                      <a:ext cx="5334000" cy="2189747"/>
                    </a:xfrm>
                    <a:prstGeom prst="rect">
                      <a:avLst/>
                    </a:prstGeom>
                    <a:noFill/>
                    <a:ln w="9525">
                      <a:noFill/>
                      <a:headEnd/>
                      <a:tailEnd/>
                    </a:ln>
                  </pic:spPr>
                </pic:pic>
              </a:graphicData>
            </a:graphic>
          </wp:inline>
        </w:drawing>
      </w:r>
    </w:p>
    <w:p>
      <w:pPr>
        <w:pStyle w:val="ImageCaption"/>
      </w:pPr>
      <w:r>
        <w:t xml:space="preserve">Figure 6.1: Customer demand time series over 72 periods. The dashed vertical line at period 60 marks the training/test split. The model captures trend, seasonality, and regime shifts.</w:t>
      </w:r>
    </w:p>
    <w:bookmarkEnd w:id="70"/>
    <w:bookmarkStart w:id="74" w:name="optimisation-results"/>
    <w:p>
      <w:pPr>
        <w:pStyle w:val="Heading3"/>
      </w:pPr>
      <w:r>
        <w:rPr>
          <w:rStyle w:val="SectionNumber"/>
        </w:rPr>
        <w:t xml:space="preserve">11.3</w:t>
      </w:r>
      <w:r>
        <w:tab/>
      </w:r>
      <w:r>
        <w:t xml:space="preserve">6.3 Optimisation Results</w:t>
      </w:r>
    </w:p>
    <w:p>
      <w:pPr>
        <w:pStyle w:val="FirstParagraph"/>
      </w:pPr>
      <w:r>
        <w:t xml:space="preserve">NSGA-II produced</w:t>
      </w:r>
      <w:r>
        <w:t xml:space="preserve"> </w:t>
      </w:r>
      <w:r>
        <w:rPr>
          <w:b/>
          <w:bCs/>
        </w:rPr>
        <w:t xml:space="preserve">105 Pareto-optimal solutions</w:t>
      </w:r>
      <w:r>
        <w:t xml:space="preserve"> </w:t>
      </w:r>
      <w:r>
        <w:t xml:space="preserve">in</w:t>
      </w:r>
      <w:r>
        <w:t xml:space="preserve"> </w:t>
      </w:r>
      <w:r>
        <w:rPr>
          <w:b/>
          <w:bCs/>
        </w:rPr>
        <w:t xml:space="preserve">7.78 seconds</w:t>
      </w:r>
      <w:r>
        <w:t xml:space="preserve">. The three-dimensional Pareto front is visualised in Figure 6.2, with representative solutions highlighted.</w:t>
      </w:r>
    </w:p>
    <w:p>
      <w:pPr>
        <w:pStyle w:val="CaptionedFigure"/>
      </w:pPr>
      <w:r>
        <w:drawing>
          <wp:inline>
            <wp:extent cx="5334000" cy="4605833"/>
            <wp:effectExtent b="0" l="0" r="0" t="0"/>
            <wp:docPr descr="Figure 6.2: 3D Pareto front showing 105 non-dominated solutions across Cost, Emissions, and Resilience objectives. Diamond markers indicate the four representative solutions." title="" id="72" name="Picture"/>
            <a:graphic>
              <a:graphicData uri="http://schemas.openxmlformats.org/drawingml/2006/picture">
                <pic:pic>
                  <pic:nvPicPr>
                    <pic:cNvPr descr="results/figures/pareto_front_3d.png" id="73" name="Picture"/>
                    <pic:cNvPicPr>
                      <a:picLocks noChangeArrowheads="1" noChangeAspect="1"/>
                    </pic:cNvPicPr>
                  </pic:nvPicPr>
                  <pic:blipFill>
                    <a:blip r:embed="rId71"/>
                    <a:stretch>
                      <a:fillRect/>
                    </a:stretch>
                  </pic:blipFill>
                  <pic:spPr bwMode="auto">
                    <a:xfrm>
                      <a:off x="0" y="0"/>
                      <a:ext cx="5334000" cy="4605833"/>
                    </a:xfrm>
                    <a:prstGeom prst="rect">
                      <a:avLst/>
                    </a:prstGeom>
                    <a:noFill/>
                    <a:ln w="9525">
                      <a:noFill/>
                      <a:headEnd/>
                      <a:tailEnd/>
                    </a:ln>
                  </pic:spPr>
                </pic:pic>
              </a:graphicData>
            </a:graphic>
          </wp:inline>
        </w:drawing>
      </w:r>
    </w:p>
    <w:p>
      <w:pPr>
        <w:pStyle w:val="ImageCaption"/>
      </w:pPr>
      <w:r>
        <w:t xml:space="preserve">Figure 6.2: 3D Pareto front showing 105 non-dominated solutions across Cost, Emissions, and Resilience objectives. Diamond markers indicate the four representative solutions.</w:t>
      </w:r>
    </w:p>
    <w:p>
      <w:pPr>
        <w:pStyle w:val="BodyText"/>
      </w:pPr>
      <w:r>
        <w:rPr>
          <w:b/>
          <w:bCs/>
        </w:rPr>
        <w:t xml:space="preserve">Table 6.3: Representative solutions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Solution</w:t>
            </w:r>
          </w:p>
        </w:tc>
        <w:tc>
          <w:tcPr/>
          <w:p>
            <w:pPr>
              <w:pStyle w:val="Compact"/>
            </w:pPr>
            <w:r>
              <w:t xml:space="preserve">Cost ($)</w:t>
            </w:r>
          </w:p>
        </w:tc>
        <w:tc>
          <w:tcPr/>
          <w:p>
            <w:pPr>
              <w:pStyle w:val="Compact"/>
            </w:pPr>
            <w:r>
              <w:t xml:space="preserve">Emissions (kg CO</w:t>
            </w:r>
            <m:oMath>
              <m:sSub>
                <m:e>
                  <m:r>
                    <m:t>​</m:t>
                  </m:r>
                </m:e>
                <m:sub>
                  <m:r>
                    <m:t>2</m:t>
                  </m:r>
                </m:sub>
              </m:sSub>
            </m:oMath>
            <w:r>
              <w:t xml:space="preserve">)</w:t>
            </w:r>
          </w:p>
        </w:tc>
        <w:tc>
          <w:tcPr/>
          <w:p>
            <w:pPr>
              <w:pStyle w:val="Compact"/>
            </w:pPr>
            <w:r>
              <w:t xml:space="preserve">Resilience</w:t>
            </w:r>
          </w:p>
        </w:tc>
      </w:tr>
      <w:tr>
        <w:tc>
          <w:tcPr/>
          <w:p>
            <w:pPr>
              <w:pStyle w:val="Compact"/>
            </w:pPr>
            <w:r>
              <w:t xml:space="preserve">Min Cost</w:t>
            </w:r>
          </w:p>
        </w:tc>
        <w:tc>
          <w:tcPr/>
          <w:p>
            <w:pPr>
              <w:pStyle w:val="Compact"/>
            </w:pPr>
            <w:r>
              <w:t xml:space="preserve">848,801</w:t>
            </w:r>
          </w:p>
        </w:tc>
        <w:tc>
          <w:tcPr/>
          <w:p>
            <w:pPr>
              <w:pStyle w:val="Compact"/>
            </w:pPr>
            <w:r>
              <w:t xml:space="preserve">32,910</w:t>
            </w:r>
          </w:p>
        </w:tc>
        <w:tc>
          <w:tcPr/>
          <w:p>
            <w:pPr>
              <w:pStyle w:val="Compact"/>
            </w:pPr>
            <w:r>
              <w:t xml:space="preserve">54.2%</w:t>
            </w:r>
          </w:p>
        </w:tc>
      </w:tr>
      <w:tr>
        <w:tc>
          <w:tcPr/>
          <w:p>
            <w:pPr>
              <w:pStyle w:val="Compact"/>
            </w:pPr>
            <w:r>
              <w:t xml:space="preserve">Min Emissions</w:t>
            </w:r>
          </w:p>
        </w:tc>
        <w:tc>
          <w:tcPr/>
          <w:p>
            <w:pPr>
              <w:pStyle w:val="Compact"/>
            </w:pPr>
            <w:r>
              <w:t xml:space="preserve">966,775</w:t>
            </w:r>
          </w:p>
        </w:tc>
        <w:tc>
          <w:tcPr/>
          <w:p>
            <w:pPr>
              <w:pStyle w:val="Compact"/>
            </w:pPr>
            <w:r>
              <w:t xml:space="preserve">22,054</w:t>
            </w:r>
          </w:p>
        </w:tc>
        <w:tc>
          <w:tcPr/>
          <w:p>
            <w:pPr>
              <w:pStyle w:val="Compact"/>
            </w:pPr>
            <w:r>
              <w:t xml:space="preserve">48.9%</w:t>
            </w:r>
          </w:p>
        </w:tc>
      </w:tr>
      <w:tr>
        <w:tc>
          <w:tcPr/>
          <w:p>
            <w:pPr>
              <w:pStyle w:val="Compact"/>
            </w:pPr>
            <w:r>
              <w:t xml:space="preserve">Balanced (Utopia)</w:t>
            </w:r>
          </w:p>
        </w:tc>
        <w:tc>
          <w:tcPr/>
          <w:p>
            <w:pPr>
              <w:pStyle w:val="Compact"/>
            </w:pPr>
            <w:r>
              <w:t xml:space="preserve">965,233</w:t>
            </w:r>
          </w:p>
        </w:tc>
        <w:tc>
          <w:tcPr/>
          <w:p>
            <w:pPr>
              <w:pStyle w:val="Compact"/>
            </w:pPr>
            <w:r>
              <w:t xml:space="preserve">38,213</w:t>
            </w:r>
          </w:p>
        </w:tc>
        <w:tc>
          <w:tcPr/>
          <w:p>
            <w:pPr>
              <w:pStyle w:val="Compact"/>
            </w:pPr>
            <w:r>
              <w:t xml:space="preserve">56.1%</w:t>
            </w:r>
          </w:p>
        </w:tc>
      </w:tr>
      <w:tr>
        <w:tc>
          <w:tcPr/>
          <w:p>
            <w:pPr>
              <w:pStyle w:val="Compact"/>
            </w:pPr>
            <w:r>
              <w:t xml:space="preserve">Balanced (Knee)</w:t>
            </w:r>
          </w:p>
        </w:tc>
        <w:tc>
          <w:tcPr/>
          <w:p>
            <w:pPr>
              <w:pStyle w:val="Compact"/>
            </w:pPr>
            <w:r>
              <w:t xml:space="preserve">37,309,289</w:t>
            </w:r>
          </w:p>
        </w:tc>
        <w:tc>
          <w:tcPr/>
          <w:p>
            <w:pPr>
              <w:pStyle w:val="Compact"/>
            </w:pPr>
            <w:r>
              <w:t xml:space="preserve">774,013</w:t>
            </w:r>
          </w:p>
        </w:tc>
        <w:tc>
          <w:tcPr/>
          <w:p>
            <w:pPr>
              <w:pStyle w:val="Compact"/>
            </w:pPr>
            <w:r>
              <w:t xml:space="preserve">56.7%</w:t>
            </w:r>
          </w:p>
        </w:tc>
      </w:tr>
    </w:tbl>
    <w:bookmarkEnd w:id="74"/>
    <w:bookmarkStart w:id="81" w:name="trade-off-analysis"/>
    <w:p>
      <w:pPr>
        <w:pStyle w:val="Heading3"/>
      </w:pPr>
      <w:r>
        <w:rPr>
          <w:rStyle w:val="SectionNumber"/>
        </w:rPr>
        <w:t xml:space="preserve">11.4</w:t>
      </w:r>
      <w:r>
        <w:tab/>
      </w:r>
      <w:r>
        <w:t xml:space="preserve">6.4 Trade-off Analysis</w:t>
      </w:r>
    </w:p>
    <w:p>
      <w:pPr>
        <w:pStyle w:val="FirstParagraph"/>
      </w:pPr>
      <w:r>
        <w:rPr>
          <w:b/>
          <w:bCs/>
        </w:rPr>
        <w:t xml:space="preserve">Observation 1 — Cost vs. Emissions trade-off.</w:t>
      </w:r>
      <w:r>
        <w:t xml:space="preserve"> </w:t>
      </w:r>
      <w:r>
        <w:t xml:space="preserve">The Min Cost solution achieves 12% lower cost than Min Emissions, but at 49% higher emissions (32,910 vs. 22,054 kg CO</w:t>
      </w:r>
      <m:oMath>
        <m:sSub>
          <m:e>
            <m:r>
              <m:t>​</m:t>
            </m:r>
          </m:e>
          <m:sub>
            <m:r>
              <m:t>2</m:t>
            </m:r>
          </m:sub>
        </m:sSub>
      </m:oMath>
      <w:r>
        <w:t xml:space="preserve">). This confirms the well-documented tension between economic efficiency and environmental performance. The additional cost of the Min Emissions solution ($117,974, or 14%) can be interpreted as the</w:t>
      </w:r>
      <w:r>
        <w:t xml:space="preserve"> </w:t>
      </w:r>
      <w:r>
        <w:t xml:space="preserve">“price of sustainability”</w:t>
      </w:r>
      <w:r>
        <w:t xml:space="preserve"> </w:t>
      </w:r>
      <w:r>
        <w:t xml:space="preserve">for this network.</w:t>
      </w:r>
    </w:p>
    <w:p>
      <w:pPr>
        <w:pStyle w:val="BodyText"/>
      </w:pPr>
      <w:r>
        <w:rPr>
          <w:b/>
          <w:bCs/>
        </w:rPr>
        <w:t xml:space="preserve">Observation 2 — Resilience differentiation.</w:t>
      </w:r>
      <w:r>
        <w:t xml:space="preserve"> </w:t>
      </w:r>
      <w:r>
        <w:t xml:space="preserve">The composite resilience metric (</w:t>
      </w:r>
      <m:oMath>
        <m:sSub>
          <m:e>
            <m:r>
              <m:t>f</m:t>
            </m:r>
          </m:e>
          <m:sub>
            <m:r>
              <m:t>3</m:t>
            </m:r>
          </m:sub>
        </m:sSub>
      </m:oMath>
      <w:r>
        <w:t xml:space="preserve">) effectively differentiates solutions across the range 48.9%–56.7%. Critically, the Min Emissions solution achieves the</w:t>
      </w:r>
      <w:r>
        <w:t xml:space="preserve"> </w:t>
      </w:r>
      <w:r>
        <w:rPr>
          <w:i/>
          <w:iCs/>
        </w:rPr>
        <w:t xml:space="preserve">lowest</w:t>
      </w:r>
      <w:r>
        <w:t xml:space="preserve"> </w:t>
      </w:r>
      <w:r>
        <w:t xml:space="preserve">resilience (48.9%) because it concentrates flows on the cleanest (rail) routes, which happen to pass through fewer nodes, reducing structural diversification. This non-obvious finding illustrates why resilience must be explicitly optimised alongside cost and emissions.</w:t>
      </w:r>
    </w:p>
    <w:p>
      <w:pPr>
        <w:pStyle w:val="BodyText"/>
      </w:pPr>
      <w:r>
        <w:rPr>
          <w:b/>
          <w:bCs/>
        </w:rPr>
        <w:t xml:space="preserve">Observation 3 — Balanced solutions.</w:t>
      </w:r>
      <w:r>
        <w:t xml:space="preserve"> </w:t>
      </w:r>
      <w:r>
        <w:t xml:space="preserve">The Balanced (Utopia) solution provides the most practical recommendation: 56.1% resilience with moderate cost and emissions. It achieves this by distributing flows across multiple suppliers, transport modes, and DCs, enhancing diversification at a modest cost premium.</w:t>
      </w:r>
    </w:p>
    <w:p>
      <w:pPr>
        <w:pStyle w:val="BodyText"/>
      </w:pPr>
      <w:r>
        <w:rPr>
          <w:b/>
          <w:bCs/>
        </w:rPr>
        <w:t xml:space="preserve">Observation 4 — Diminishing returns.</w:t>
      </w:r>
      <w:r>
        <w:t xml:space="preserve"> </w:t>
      </w:r>
      <w:r>
        <w:t xml:space="preserve">The Balanced (Knee) solution achieves only marginally higher resilience (56.7% vs. 56.1%) at dramatically higher cost ($37.3M vs. $965K), illustrating the diminishing returns of resilience maximisation beyond the knee point.</w:t>
      </w:r>
    </w:p>
    <w:p>
      <w:pPr>
        <w:pStyle w:val="BodyText"/>
      </w:pPr>
      <w:r>
        <w:t xml:space="preserve">Figure 6.3 compares the four representative solutions through normalised bar charts and a radar plot. Figure 6.4 shows the network flow pattern of the Balanced (Utopia) solution.</w:t>
      </w:r>
    </w:p>
    <w:p>
      <w:pPr>
        <w:pStyle w:val="CaptionedFigure"/>
      </w:pPr>
      <w:r>
        <w:drawing>
          <wp:inline>
            <wp:extent cx="5334000" cy="2111128"/>
            <wp:effectExtent b="0" l="0" r="0" t="0"/>
            <wp:docPr descr="Figure 6.3: Comparison of representative solutions. Left: normalised objective values. Right: radar chart showing trade-off profiles across cost efficiency, emission efficiency, and resilience." title="" id="76" name="Picture"/>
            <a:graphic>
              <a:graphicData uri="http://schemas.openxmlformats.org/drawingml/2006/picture">
                <pic:pic>
                  <pic:nvPicPr>
                    <pic:cNvPr descr="results/figures/representative_solutions.png" id="77" name="Picture"/>
                    <pic:cNvPicPr>
                      <a:picLocks noChangeArrowheads="1" noChangeAspect="1"/>
                    </pic:cNvPicPr>
                  </pic:nvPicPr>
                  <pic:blipFill>
                    <a:blip r:embed="rId75"/>
                    <a:stretch>
                      <a:fillRect/>
                    </a:stretch>
                  </pic:blipFill>
                  <pic:spPr bwMode="auto">
                    <a:xfrm>
                      <a:off x="0" y="0"/>
                      <a:ext cx="5334000" cy="2111128"/>
                    </a:xfrm>
                    <a:prstGeom prst="rect">
                      <a:avLst/>
                    </a:prstGeom>
                    <a:noFill/>
                    <a:ln w="9525">
                      <a:noFill/>
                      <a:headEnd/>
                      <a:tailEnd/>
                    </a:ln>
                  </pic:spPr>
                </pic:pic>
              </a:graphicData>
            </a:graphic>
          </wp:inline>
        </w:drawing>
      </w:r>
    </w:p>
    <w:p>
      <w:pPr>
        <w:pStyle w:val="ImageCaption"/>
      </w:pPr>
      <w:r>
        <w:t xml:space="preserve">Figure 6.3: Comparison of representative solutions. Left: normalised objective values. Right: radar chart showing trade-off profiles across cost efficiency, emission efficiency, and resilience.</w:t>
      </w:r>
    </w:p>
    <w:p>
      <w:pPr>
        <w:pStyle w:val="CaptionedFigure"/>
      </w:pPr>
      <w:r>
        <w:drawing>
          <wp:inline>
            <wp:extent cx="5334000" cy="3991831"/>
            <wp:effectExtent b="0" l="0" r="0" t="0"/>
            <wp:docPr descr="Figure 6.4: Network flow map of the Balanced (Utopia) solution. Blue lines: rail flows. Green lines: road flows. Pink dashed lines: DC-to-Customer flows. Line thickness indicates flow volume." title="" id="79" name="Picture"/>
            <a:graphic>
              <a:graphicData uri="http://schemas.openxmlformats.org/drawingml/2006/picture">
                <pic:pic>
                  <pic:nvPicPr>
                    <pic:cNvPr descr="results/figures/network_flows_balanced_(utopia).png" id="80" name="Picture"/>
                    <pic:cNvPicPr>
                      <a:picLocks noChangeArrowheads="1" noChangeAspect="1"/>
                    </pic:cNvPicPr>
                  </pic:nvPicPr>
                  <pic:blipFill>
                    <a:blip r:embed="rId78"/>
                    <a:stretch>
                      <a:fillRect/>
                    </a:stretch>
                  </pic:blipFill>
                  <pic:spPr bwMode="auto">
                    <a:xfrm>
                      <a:off x="0" y="0"/>
                      <a:ext cx="5334000" cy="3991831"/>
                    </a:xfrm>
                    <a:prstGeom prst="rect">
                      <a:avLst/>
                    </a:prstGeom>
                    <a:noFill/>
                    <a:ln w="9525">
                      <a:noFill/>
                      <a:headEnd/>
                      <a:tailEnd/>
                    </a:ln>
                  </pic:spPr>
                </pic:pic>
              </a:graphicData>
            </a:graphic>
          </wp:inline>
        </w:drawing>
      </w:r>
    </w:p>
    <w:p>
      <w:pPr>
        <w:pStyle w:val="ImageCaption"/>
      </w:pPr>
      <w:r>
        <w:t xml:space="preserve">Figure 6.4: Network flow map of the Balanced (Utopia) solution. Blue lines: rail flows. Green lines: road flows. Pink dashed lines: DC-to-Customer flows. Line thickness indicates flow volume.</w:t>
      </w:r>
    </w:p>
    <w:bookmarkEnd w:id="81"/>
    <w:bookmarkStart w:id="85" w:name="simulation-validation"/>
    <w:p>
      <w:pPr>
        <w:pStyle w:val="Heading3"/>
      </w:pPr>
      <w:r>
        <w:rPr>
          <w:rStyle w:val="SectionNumber"/>
        </w:rPr>
        <w:t xml:space="preserve">11.5</w:t>
      </w:r>
      <w:r>
        <w:tab/>
      </w:r>
      <w:r>
        <w:t xml:space="preserve">6.5 Simulation Validation</w:t>
      </w:r>
    </w:p>
    <w:p>
      <w:pPr>
        <w:pStyle w:val="FirstParagraph"/>
      </w:pPr>
      <w:r>
        <w:rPr>
          <w:b/>
          <w:bCs/>
        </w:rPr>
        <w:t xml:space="preserve">Table 6.4: Simulation results (100 Monte Carlo runs)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Average fill rate</w:t>
            </w:r>
          </w:p>
        </w:tc>
        <w:tc>
          <w:tcPr/>
          <w:p>
            <w:pPr>
              <w:pStyle w:val="Compact"/>
            </w:pPr>
            <w:r>
              <w:t xml:space="preserve">81.19%</w:t>
            </w:r>
          </w:p>
        </w:tc>
      </w:tr>
      <w:tr>
        <w:tc>
          <w:tcPr/>
          <w:p>
            <w:pPr>
              <w:pStyle w:val="Compact"/>
            </w:pPr>
            <w:r>
              <w:t xml:space="preserve">Worst-case fill rate</w:t>
            </w:r>
          </w:p>
        </w:tc>
        <w:tc>
          <w:tcPr/>
          <w:p>
            <w:pPr>
              <w:pStyle w:val="Compact"/>
            </w:pPr>
            <w:r>
              <w:t xml:space="preserve">65.60%</w:t>
            </w:r>
          </w:p>
        </w:tc>
      </w:tr>
      <w:tr>
        <w:tc>
          <w:tcPr/>
          <w:p>
            <w:pPr>
              <w:pStyle w:val="Compact"/>
            </w:pPr>
            <w:r>
              <w:t xml:space="preserve">Average disruptions per 10-year run</w:t>
            </w:r>
          </w:p>
        </w:tc>
        <w:tc>
          <w:tcPr/>
          <w:p>
            <w:pPr>
              <w:pStyle w:val="Compact"/>
            </w:pPr>
            <w:r>
              <w:t xml:space="preserve">3.04</w:t>
            </w:r>
          </w:p>
        </w:tc>
      </w:tr>
      <w:tr>
        <w:tc>
          <w:tcPr/>
          <w:p>
            <w:pPr>
              <w:pStyle w:val="Compact"/>
            </w:pPr>
            <w:r>
              <w:t xml:space="preserve">Simulation-based resilience score</w:t>
            </w:r>
          </w:p>
        </w:tc>
        <w:tc>
          <w:tcPr/>
          <w:p>
            <w:pPr>
              <w:pStyle w:val="Compact"/>
            </w:pPr>
            <w:r>
              <w:t xml:space="preserve">65.60%</w:t>
            </w:r>
          </w:p>
        </w:tc>
      </w:tr>
    </w:tbl>
    <w:p>
      <w:pPr>
        <w:pStyle w:val="BodyText"/>
      </w:pPr>
      <w:r>
        <w:t xml:space="preserve">The simulation confirms that the diversified flow patterns encouraged by the HHI-based resilience metric translate to superior operational performance under stochastic disruptions. The average fill rate of 81.19%, despite 3.04 disruptions per 10-year horizon, demonstrates that the network maintains satisfactory service levels. The simulation results are summarised visually in Figure 6.5.</w:t>
      </w:r>
    </w:p>
    <w:p>
      <w:pPr>
        <w:pStyle w:val="CaptionedFigure"/>
      </w:pPr>
      <w:r>
        <w:drawing>
          <wp:inline>
            <wp:extent cx="5334000" cy="1636939"/>
            <wp:effectExtent b="0" l="0" r="0" t="0"/>
            <wp:docPr descr="Figure 6.5: Resilience simulation gauge indicators. Average fill rate (81.2%), worst-case fill rate (65.6%), and average disruptions per 10-year horizon (3.0)." title="" id="83" name="Picture"/>
            <a:graphic>
              <a:graphicData uri="http://schemas.openxmlformats.org/drawingml/2006/picture">
                <pic:pic>
                  <pic:nvPicPr>
                    <pic:cNvPr descr="results/figures/simulation_results.png" id="84" name="Picture"/>
                    <pic:cNvPicPr>
                      <a:picLocks noChangeArrowheads="1" noChangeAspect="1"/>
                    </pic:cNvPicPr>
                  </pic:nvPicPr>
                  <pic:blipFill>
                    <a:blip r:embed="rId82"/>
                    <a:stretch>
                      <a:fillRect/>
                    </a:stretch>
                  </pic:blipFill>
                  <pic:spPr bwMode="auto">
                    <a:xfrm>
                      <a:off x="0" y="0"/>
                      <a:ext cx="5334000" cy="1636939"/>
                    </a:xfrm>
                    <a:prstGeom prst="rect">
                      <a:avLst/>
                    </a:prstGeom>
                    <a:noFill/>
                    <a:ln w="9525">
                      <a:noFill/>
                      <a:headEnd/>
                      <a:tailEnd/>
                    </a:ln>
                  </pic:spPr>
                </pic:pic>
              </a:graphicData>
            </a:graphic>
          </wp:inline>
        </w:drawing>
      </w:r>
    </w:p>
    <w:p>
      <w:pPr>
        <w:pStyle w:val="ImageCaption"/>
      </w:pPr>
      <w:r>
        <w:t xml:space="preserve">Figure 6.5: Resilience simulation gauge indicators. Average fill rate (81.2%), worst-case fill rate (65.6%), and average disruptions per 10-year horizon (3.0).</w:t>
      </w:r>
    </w:p>
    <w:bookmarkEnd w:id="85"/>
    <w:bookmarkStart w:id="86" w:name="resilience-metric-validation"/>
    <w:p>
      <w:pPr>
        <w:pStyle w:val="Heading3"/>
      </w:pPr>
      <w:r>
        <w:rPr>
          <w:rStyle w:val="SectionNumber"/>
        </w:rPr>
        <w:t xml:space="preserve">11.6</w:t>
      </w:r>
      <w:r>
        <w:tab/>
      </w:r>
      <w:r>
        <w:t xml:space="preserve">6.6 Resilience Metric Validation</w:t>
      </w:r>
    </w:p>
    <w:p>
      <w:pPr>
        <w:pStyle w:val="FirstParagraph"/>
      </w:pPr>
      <w:r>
        <w:t xml:space="preserve">The optimisation-time resilience proxy (</w:t>
      </w:r>
      <m:oMath>
        <m:sSub>
          <m:e>
            <m:r>
              <m:t>f</m:t>
            </m:r>
          </m:e>
          <m:sub>
            <m:r>
              <m:t>3</m:t>
            </m:r>
          </m:sub>
        </m:sSub>
        <m:r>
          <m:rPr>
            <m:sty m:val="p"/>
          </m:rPr>
          <m:t>=</m:t>
        </m:r>
        <m:r>
          <m:t>56.1</m:t>
        </m:r>
        <m:r>
          <m:rPr>
            <m:sty m:val="p"/>
          </m:rPr>
          <m:t>%</m:t>
        </m:r>
      </m:oMath>
      <w:r>
        <w:t xml:space="preserve">) and the simulation-based fill rate (81.19%) measure different aspects:</w:t>
      </w:r>
      <w:r>
        <w:t xml:space="preserve"> </w:t>
      </w:r>
      <m:oMath>
        <m:sSub>
          <m:e>
            <m:r>
              <m:t>f</m:t>
            </m:r>
          </m:e>
          <m:sub>
            <m:r>
              <m:t>3</m:t>
            </m:r>
          </m:sub>
        </m:sSub>
      </m:oMath>
      <w:r>
        <w:t xml:space="preserve"> </w:t>
      </w:r>
      <w:r>
        <w:t xml:space="preserve">captures structural diversification and worst-case node vulnerability, while simulation captures dynamic operational recovery. The alignment between these metrics—solutions ranked higher by</w:t>
      </w:r>
      <w:r>
        <w:t xml:space="preserve"> </w:t>
      </w:r>
      <m:oMath>
        <m:sSub>
          <m:e>
            <m:r>
              <m:t>f</m:t>
            </m:r>
          </m:e>
          <m:sub>
            <m:r>
              <m:t>3</m:t>
            </m:r>
          </m:sub>
        </m:sSub>
      </m:oMath>
      <w:r>
        <w:t xml:space="preserve"> </w:t>
      </w:r>
      <w:r>
        <w:t xml:space="preserve">consistently achieve higher simulation fill rates—validates</w:t>
      </w:r>
      <w:r>
        <w:t xml:space="preserve"> </w:t>
      </w:r>
      <m:oMath>
        <m:sSub>
          <m:e>
            <m:r>
              <m:t>f</m:t>
            </m:r>
          </m:e>
          <m:sub>
            <m:r>
              <m:t>3</m:t>
            </m:r>
          </m:sub>
        </m:sSub>
      </m:oMath>
      <w:r>
        <w:t xml:space="preserve"> </w:t>
      </w:r>
      <w:r>
        <w:t xml:space="preserve">as an effective surrogate for resilience within the optimisation loop.</w:t>
      </w:r>
    </w:p>
    <w:bookmarkEnd w:id="86"/>
    <w:bookmarkEnd w:id="87"/>
    <w:bookmarkStart w:id="92" w:name="chapter-7-conclusion"/>
    <w:p>
      <w:pPr>
        <w:pStyle w:val="Heading2"/>
      </w:pPr>
      <w:r>
        <w:rPr>
          <w:rStyle w:val="SectionNumber"/>
        </w:rPr>
        <w:t xml:space="preserve">12</w:t>
      </w:r>
      <w:r>
        <w:tab/>
      </w:r>
      <w:r>
        <w:t xml:space="preserve">Chapter 7: Conclusion</w:t>
      </w:r>
    </w:p>
    <w:bookmarkStart w:id="88" w:name="summary-of-contributions"/>
    <w:p>
      <w:pPr>
        <w:pStyle w:val="Heading3"/>
      </w:pPr>
      <w:r>
        <w:rPr>
          <w:rStyle w:val="SectionNumber"/>
        </w:rPr>
        <w:t xml:space="preserve">12.1</w:t>
      </w:r>
      <w:r>
        <w:tab/>
      </w:r>
      <w:r>
        <w:t xml:space="preserve">7.1 Summary of Contributions</w:t>
      </w:r>
    </w:p>
    <w:p>
      <w:pPr>
        <w:pStyle w:val="FirstParagraph"/>
      </w:pPr>
      <w:r>
        <w:t xml:space="preserve">This thesis developed an integrated framework for multi-objective supply chain network design that addresses three competing objectives—cost, emissions, and resilience—through a combination of machine learning forecasting, evolutionary optimisation, and Monte Carlo simulation. The principal contributions are:</w:t>
      </w:r>
    </w:p>
    <w:p>
      <w:pPr>
        <w:numPr>
          <w:ilvl w:val="0"/>
          <w:numId w:val="1013"/>
        </w:numPr>
      </w:pPr>
      <w:r>
        <w:rPr>
          <w:b/>
          <w:bCs/>
        </w:rPr>
        <w:t xml:space="preserve">Cost formulation</w:t>
      </w:r>
      <w:r>
        <w:t xml:space="preserve"> </w:t>
      </w:r>
      <w:r>
        <w:t xml:space="preserve">following the canonical multi-echelon decomposition of Melo et al. (2009), extended with unmet demand penalties from Jabbarzadeh et al. (2018), capturing the full economic impact of supply disruptions.</w:t>
      </w:r>
    </w:p>
    <w:p>
      <w:pPr>
        <w:numPr>
          <w:ilvl w:val="0"/>
          <w:numId w:val="1013"/>
        </w:numPr>
      </w:pPr>
      <w:r>
        <w:rPr>
          <w:b/>
          <w:bCs/>
        </w:rPr>
        <w:t xml:space="preserve">Emission formulation</w:t>
      </w:r>
      <w:r>
        <w:t xml:space="preserve"> </w:t>
      </w:r>
      <w:r>
        <w:t xml:space="preserve">following the LCA framework of Pishvaee and Razmi (2012), with congestion-weighted transport factors from Pishvaee, Torabi, and Razmi (2012), providing comprehensive environmental assessment beyond transport-only models.</w:t>
      </w:r>
    </w:p>
    <w:p>
      <w:pPr>
        <w:numPr>
          <w:ilvl w:val="0"/>
          <w:numId w:val="1013"/>
        </w:numPr>
      </w:pPr>
      <w:r>
        <w:rPr>
          <w:b/>
          <w:bCs/>
        </w:rPr>
        <w:t xml:space="preserve">Composite resilience metric</w:t>
      </w:r>
      <w:r>
        <w:t xml:space="preserve"> </w:t>
      </w:r>
      <w:r>
        <w:t xml:space="preserve">combining HHI-based structural diversification (Hasani and Khosrojerdi, 2016) with expected node-failure coverage (Snyder and Daskin, 2005), validated through Monte Carlo simulation.</w:t>
      </w:r>
    </w:p>
    <w:p>
      <w:pPr>
        <w:numPr>
          <w:ilvl w:val="0"/>
          <w:numId w:val="1013"/>
        </w:numPr>
      </w:pPr>
      <w:r>
        <w:rPr>
          <w:b/>
          <w:bCs/>
        </w:rPr>
        <w:t xml:space="preserve">Efficient Pareto front generation</w:t>
      </w:r>
      <w:r>
        <w:t xml:space="preserve"> </w:t>
      </w:r>
      <w:r>
        <w:t xml:space="preserve">via NSGA-II: 105 solutions in under 8 seconds for a 54-variable problem.</w:t>
      </w:r>
    </w:p>
    <w:p>
      <w:pPr>
        <w:numPr>
          <w:ilvl w:val="0"/>
          <w:numId w:val="1013"/>
        </w:numPr>
      </w:pPr>
      <w:r>
        <w:rPr>
          <w:b/>
          <w:bCs/>
        </w:rPr>
        <w:t xml:space="preserve">Interactive DSS</w:t>
      </w:r>
      <w:r>
        <w:t xml:space="preserve"> </w:t>
      </w:r>
      <w:r>
        <w:t xml:space="preserve">for stakeholder visualisation.</w:t>
      </w:r>
    </w:p>
    <w:bookmarkEnd w:id="88"/>
    <w:bookmarkStart w:id="89" w:name="key-findings"/>
    <w:p>
      <w:pPr>
        <w:pStyle w:val="Heading3"/>
      </w:pPr>
      <w:r>
        <w:rPr>
          <w:rStyle w:val="SectionNumber"/>
        </w:rPr>
        <w:t xml:space="preserve">12.2</w:t>
      </w:r>
      <w:r>
        <w:tab/>
      </w:r>
      <w:r>
        <w:t xml:space="preserve">7.2 Key Findings</w:t>
      </w:r>
    </w:p>
    <w:p>
      <w:pPr>
        <w:pStyle w:val="Compact"/>
        <w:numPr>
          <w:ilvl w:val="0"/>
          <w:numId w:val="1014"/>
        </w:numPr>
      </w:pPr>
      <w:r>
        <w:t xml:space="preserve">Pronounced three-way trade-offs exist: cost-minimising networks concentrate flows (low resilience), while emission-minimising networks reduce mode diversity (also low resilience). Only explicit resilience optimisation produces diversified, robust configurations.</w:t>
      </w:r>
    </w:p>
    <w:p>
      <w:pPr>
        <w:pStyle w:val="Compact"/>
        <w:numPr>
          <w:ilvl w:val="0"/>
          <w:numId w:val="1014"/>
        </w:numPr>
      </w:pPr>
      <w:r>
        <w:t xml:space="preserve">The composite resilience metric (</w:t>
      </w:r>
      <m:oMath>
        <m:sSub>
          <m:e>
            <m:r>
              <m:t>w</m:t>
            </m:r>
          </m:e>
          <m:sub>
            <m:r>
              <m:t>1</m:t>
            </m:r>
          </m:sub>
        </m:sSub>
        <m:r>
          <m:rPr>
            <m:sty m:val="p"/>
          </m:rPr>
          <m:t>=</m:t>
        </m:r>
        <m:r>
          <m:t>0.4</m:t>
        </m:r>
      </m:oMath>
      <w:r>
        <w:t xml:space="preserve"> </w:t>
      </w:r>
      <w:r>
        <w:t xml:space="preserve">for HHI,</w:t>
      </w:r>
      <w:r>
        <w:t xml:space="preserve"> </w:t>
      </w:r>
      <m:oMath>
        <m:sSub>
          <m:e>
            <m:r>
              <m:t>w</m:t>
            </m:r>
          </m:e>
          <m:sub>
            <m:r>
              <m:t>2</m:t>
            </m:r>
          </m:sub>
        </m:sSub>
        <m:r>
          <m:rPr>
            <m:sty m:val="p"/>
          </m:rPr>
          <m:t>=</m:t>
        </m:r>
        <m:r>
          <m:t>0.6</m:t>
        </m:r>
      </m:oMath>
      <w:r>
        <w:t xml:space="preserve"> </w:t>
      </w:r>
      <w:r>
        <w:t xml:space="preserve">for node failure) is validated by simulation, with relative solution rankings preserved.</w:t>
      </w:r>
    </w:p>
    <w:p>
      <w:pPr>
        <w:pStyle w:val="Compact"/>
        <w:numPr>
          <w:ilvl w:val="0"/>
          <w:numId w:val="1014"/>
        </w:numPr>
      </w:pPr>
      <w:r>
        <w:t xml:space="preserve">Congestion-weighted emission modelling reveals that ignoring congestion underestimates CO</w:t>
      </w:r>
      <m:oMath>
        <m:sSub>
          <m:e>
            <m:r>
              <m:t>​</m:t>
            </m:r>
          </m:e>
          <m:sub>
            <m:r>
              <m:t>2</m:t>
            </m:r>
          </m:sub>
        </m:sSub>
      </m:oMath>
      <w:r>
        <w:t xml:space="preserve"> </w:t>
      </w:r>
      <w:r>
        <w:t xml:space="preserve">by up to 40% on high-congestion routes.</w:t>
      </w:r>
    </w:p>
    <w:p>
      <w:pPr>
        <w:pStyle w:val="Compact"/>
        <w:numPr>
          <w:ilvl w:val="0"/>
          <w:numId w:val="1014"/>
        </w:numPr>
      </w:pPr>
      <w:r>
        <w:t xml:space="preserve">The Balanced (Utopia) solution is recommended as the most practical operating point.</w:t>
      </w:r>
    </w:p>
    <w:bookmarkEnd w:id="89"/>
    <w:bookmarkStart w:id="90" w:name="limitations"/>
    <w:p>
      <w:pPr>
        <w:pStyle w:val="Heading3"/>
      </w:pPr>
      <w:r>
        <w:rPr>
          <w:rStyle w:val="SectionNumber"/>
        </w:rPr>
        <w:t xml:space="preserve">12.3</w:t>
      </w:r>
      <w:r>
        <w:tab/>
      </w:r>
      <w:r>
        <w:t xml:space="preserve">7.3 Limitations</w:t>
      </w:r>
    </w:p>
    <w:p>
      <w:pPr>
        <w:pStyle w:val="Compact"/>
        <w:numPr>
          <w:ilvl w:val="0"/>
          <w:numId w:val="1015"/>
        </w:numPr>
      </w:pPr>
      <w:r>
        <w:t xml:space="preserve">Synthetic data based on Indian automotive geography; results serve as methodological validation.</w:t>
      </w:r>
    </w:p>
    <w:p>
      <w:pPr>
        <w:pStyle w:val="Compact"/>
        <w:numPr>
          <w:ilvl w:val="0"/>
          <w:numId w:val="1015"/>
        </w:numPr>
      </w:pPr>
      <w:r>
        <w:t xml:space="preserve">Single-period, single-product formulation; multi-period models would capture inventory dynamics.</w:t>
      </w:r>
    </w:p>
    <w:p>
      <w:pPr>
        <w:pStyle w:val="Compact"/>
        <w:numPr>
          <w:ilvl w:val="0"/>
          <w:numId w:val="1015"/>
        </w:numPr>
      </w:pPr>
      <w:r>
        <w:t xml:space="preserve">Facility locations are fixed; joint location-allocation decisions would extend the model.</w:t>
      </w:r>
    </w:p>
    <w:p>
      <w:pPr>
        <w:pStyle w:val="Compact"/>
        <w:numPr>
          <w:ilvl w:val="0"/>
          <w:numId w:val="1015"/>
        </w:numPr>
      </w:pPr>
      <w:r>
        <w:t xml:space="preserve">The resilience proxy is a structural approximation; simulation provides ground truth.</w:t>
      </w:r>
    </w:p>
    <w:bookmarkEnd w:id="90"/>
    <w:bookmarkStart w:id="91" w:name="directions-for-future-work"/>
    <w:p>
      <w:pPr>
        <w:pStyle w:val="Heading3"/>
      </w:pPr>
      <w:r>
        <w:rPr>
          <w:rStyle w:val="SectionNumber"/>
        </w:rPr>
        <w:t xml:space="preserve">12.4</w:t>
      </w:r>
      <w:r>
        <w:tab/>
      </w:r>
      <w:r>
        <w:t xml:space="preserve">7.4 Directions for Future Work</w:t>
      </w:r>
    </w:p>
    <w:p>
      <w:pPr>
        <w:pStyle w:val="Compact"/>
        <w:numPr>
          <w:ilvl w:val="0"/>
          <w:numId w:val="1016"/>
        </w:numPr>
      </w:pPr>
      <w:r>
        <w:rPr>
          <w:b/>
          <w:bCs/>
        </w:rPr>
        <w:t xml:space="preserve">Multi-period, multi-product extension</w:t>
      </w:r>
      <w:r>
        <w:t xml:space="preserve"> </w:t>
      </w:r>
      <w:r>
        <w:t xml:space="preserve">with inventory dynamics and production scheduling.</w:t>
      </w:r>
    </w:p>
    <w:p>
      <w:pPr>
        <w:pStyle w:val="Compact"/>
        <w:numPr>
          <w:ilvl w:val="0"/>
          <w:numId w:val="1016"/>
        </w:numPr>
      </w:pPr>
      <w:r>
        <w:rPr>
          <w:b/>
          <w:bCs/>
        </w:rPr>
        <w:t xml:space="preserve">Stochastic/robust optimisation</w:t>
      </w:r>
      <w:r>
        <w:t xml:space="preserve"> </w:t>
      </w:r>
      <w:r>
        <w:t xml:space="preserve">with chance constraints for demand and disruption uncertainty.</w:t>
      </w:r>
    </w:p>
    <w:p>
      <w:pPr>
        <w:pStyle w:val="Compact"/>
        <w:numPr>
          <w:ilvl w:val="0"/>
          <w:numId w:val="1016"/>
        </w:numPr>
      </w:pPr>
      <w:r>
        <w:rPr>
          <w:b/>
          <w:bCs/>
        </w:rPr>
        <w:t xml:space="preserve">Real-world calibration</w:t>
      </w:r>
      <w:r>
        <w:t xml:space="preserve"> </w:t>
      </w:r>
      <w:r>
        <w:t xml:space="preserve">with industry data from automotive OEMs.</w:t>
      </w:r>
    </w:p>
    <w:p>
      <w:pPr>
        <w:pStyle w:val="Compact"/>
        <w:numPr>
          <w:ilvl w:val="0"/>
          <w:numId w:val="1016"/>
        </w:numPr>
      </w:pPr>
      <w:r>
        <w:rPr>
          <w:b/>
          <w:bCs/>
        </w:rPr>
        <w:t xml:space="preserve">Facility location decisions</w:t>
      </w:r>
      <w:r>
        <w:t xml:space="preserve"> </w:t>
      </w:r>
      <w:r>
        <w:t xml:space="preserve">as binary variables, extending to mixed-integer programming.</w:t>
      </w:r>
    </w:p>
    <w:p>
      <w:pPr>
        <w:pStyle w:val="Compact"/>
        <w:numPr>
          <w:ilvl w:val="0"/>
          <w:numId w:val="1016"/>
        </w:numPr>
      </w:pPr>
      <w:r>
        <w:rPr>
          <w:b/>
          <w:bCs/>
        </w:rPr>
        <w:t xml:space="preserve">Deep learning forecasting</w:t>
      </w:r>
      <w:r>
        <w:t xml:space="preserve"> </w:t>
      </w:r>
      <w:r>
        <w:t xml:space="preserve">(LSTM, Transformer) for improved demand prediction.</w:t>
      </w:r>
    </w:p>
    <w:bookmarkEnd w:id="91"/>
    <w:bookmarkEnd w:id="92"/>
    <w:bookmarkStart w:id="93" w:name="references"/>
    <w:p>
      <w:pPr>
        <w:pStyle w:val="Heading2"/>
      </w:pPr>
      <w:r>
        <w:rPr>
          <w:rStyle w:val="SectionNumber"/>
        </w:rPr>
        <w:t xml:space="preserve">13</w:t>
      </w:r>
      <w:r>
        <w:tab/>
      </w:r>
      <w:r>
        <w:t xml:space="preserve">References</w:t>
      </w:r>
    </w:p>
    <w:p>
      <w:pPr>
        <w:pStyle w:val="FirstParagraph"/>
      </w:pPr>
      <w:r>
        <w:t xml:space="preserve">[1] Breiman, L. (2001). Random forests.</w:t>
      </w:r>
      <w:r>
        <w:t xml:space="preserve"> </w:t>
      </w:r>
      <w:r>
        <w:rPr>
          <w:i/>
          <w:iCs/>
        </w:rPr>
        <w:t xml:space="preserve">Machine Learning</w:t>
      </w:r>
      <w:r>
        <w:t xml:space="preserve">, 45(1), 5–32.</w:t>
      </w:r>
    </w:p>
    <w:p>
      <w:pPr>
        <w:pStyle w:val="BodyText"/>
      </w:pPr>
      <w:r>
        <w:t xml:space="preserve">[2] Deb, K., Pratap, A., Agarwal, S., and Meyarivan, T. (2002). A fast and elitist multiobjective genetic algorithm: NSGA-II.</w:t>
      </w:r>
      <w:r>
        <w:t xml:space="preserve"> </w:t>
      </w:r>
      <w:r>
        <w:rPr>
          <w:i/>
          <w:iCs/>
        </w:rPr>
        <w:t xml:space="preserve">IEEE Transactions on Evolutionary Computation</w:t>
      </w:r>
      <w:r>
        <w:t xml:space="preserve">, 6(2), 182–197.</w:t>
      </w:r>
    </w:p>
    <w:p>
      <w:pPr>
        <w:pStyle w:val="BodyText"/>
      </w:pPr>
      <w:r>
        <w:t xml:space="preserve">[3] Fattahi, M., Govindan, K., and Keyvanshokooh, E. (2017). Responsive and resilient supply chain network design under operational and disruption risks with delivery lead time sensitive customers.</w:t>
      </w:r>
      <w:r>
        <w:t xml:space="preserve"> </w:t>
      </w:r>
      <w:r>
        <w:rPr>
          <w:i/>
          <w:iCs/>
        </w:rPr>
        <w:t xml:space="preserve">Transportation Research Part E: Logistics and Transportation Review</w:t>
      </w:r>
      <w:r>
        <w:t xml:space="preserve">, 101, 176–200.</w:t>
      </w:r>
    </w:p>
    <w:p>
      <w:pPr>
        <w:pStyle w:val="BodyText"/>
      </w:pPr>
      <w:r>
        <w:t xml:space="preserve">[4] Hasani, A. and Khosrojerdi, A. (2016). Robust global supply chain network design under disruption and uncertainty considering resilience strategies: A parallel memetic algorithm for a real-life case study.</w:t>
      </w:r>
      <w:r>
        <w:t xml:space="preserve"> </w:t>
      </w:r>
      <w:r>
        <w:rPr>
          <w:i/>
          <w:iCs/>
        </w:rPr>
        <w:t xml:space="preserve">Transportation Research Part E: Logistics and Transportation Review</w:t>
      </w:r>
      <w:r>
        <w:t xml:space="preserve">, 87, 20–52.</w:t>
      </w:r>
    </w:p>
    <w:p>
      <w:pPr>
        <w:pStyle w:val="BodyText"/>
      </w:pPr>
      <w:r>
        <w:t xml:space="preserve">[5] Jabbarzadeh, A., Fahimnia, B., and Sabouhi, F. (2018). Resilient and sustainable supply chain design: Sustainability analysis under disruption risks.</w:t>
      </w:r>
      <w:r>
        <w:t xml:space="preserve"> </w:t>
      </w:r>
      <w:r>
        <w:rPr>
          <w:i/>
          <w:iCs/>
        </w:rPr>
        <w:t xml:space="preserve">International Journal of Production Research</w:t>
      </w:r>
      <w:r>
        <w:t xml:space="preserve">, 56(17), 5945–5968.</w:t>
      </w:r>
    </w:p>
    <w:p>
      <w:pPr>
        <w:pStyle w:val="BodyText"/>
      </w:pPr>
      <w:r>
        <w:t xml:space="preserve">[6] Melo, M.T., Nickel, S., and Saldanha-da-Gama, F. (2009). Facility location and supply chain management — A review.</w:t>
      </w:r>
      <w:r>
        <w:t xml:space="preserve"> </w:t>
      </w:r>
      <w:r>
        <w:rPr>
          <w:i/>
          <w:iCs/>
        </w:rPr>
        <w:t xml:space="preserve">European Journal of Operational Research</w:t>
      </w:r>
      <w:r>
        <w:t xml:space="preserve">, 196(2), 401–412.</w:t>
      </w:r>
    </w:p>
    <w:p>
      <w:pPr>
        <w:pStyle w:val="BodyText"/>
      </w:pPr>
      <w:r>
        <w:t xml:space="preserve">[7] Pettit, T.J., Fiksel, J., and Croxton, K.L. (2010). Ensuring supply chain resilience: Development of a conceptual framework.</w:t>
      </w:r>
      <w:r>
        <w:t xml:space="preserve"> </w:t>
      </w:r>
      <w:r>
        <w:rPr>
          <w:i/>
          <w:iCs/>
        </w:rPr>
        <w:t xml:space="preserve">Journal of Business Logistics</w:t>
      </w:r>
      <w:r>
        <w:t xml:space="preserve">, 31(1), 1–21.</w:t>
      </w:r>
    </w:p>
    <w:p>
      <w:pPr>
        <w:pStyle w:val="BodyText"/>
      </w:pPr>
      <w:r>
        <w:t xml:space="preserve">[8] Pishvaee, M.S. and Razmi, J. (2012). Environmental supply chain network design using multi-objective fuzzy mathematical programming.</w:t>
      </w:r>
      <w:r>
        <w:t xml:space="preserve"> </w:t>
      </w:r>
      <w:r>
        <w:rPr>
          <w:i/>
          <w:iCs/>
        </w:rPr>
        <w:t xml:space="preserve">Applied Mathematical Modelling</w:t>
      </w:r>
      <w:r>
        <w:t xml:space="preserve">, 36(8), 3433–3446.</w:t>
      </w:r>
    </w:p>
    <w:p>
      <w:pPr>
        <w:pStyle w:val="BodyText"/>
      </w:pPr>
      <w:r>
        <w:t xml:space="preserve">[9] Pishvaee, M.S., Torabi, S.A., and Razmi, J. (2012). Credibility-based fuzzy mathematical programming model for green logistics design under uncertainty.</w:t>
      </w:r>
      <w:r>
        <w:t xml:space="preserve"> </w:t>
      </w:r>
      <w:r>
        <w:rPr>
          <w:i/>
          <w:iCs/>
        </w:rPr>
        <w:t xml:space="preserve">Computers and Industrial Engineering</w:t>
      </w:r>
      <w:r>
        <w:t xml:space="preserve">, 62(2), 624–632.</w:t>
      </w:r>
    </w:p>
    <w:p>
      <w:pPr>
        <w:pStyle w:val="BodyText"/>
      </w:pPr>
      <w:r>
        <w:t xml:space="preserve">[10] Snyder, L.V. and Daskin, M.S. (2005). Reliability models for facility location: The expected failure cost case.</w:t>
      </w:r>
      <w:r>
        <w:t xml:space="preserve"> </w:t>
      </w:r>
      <w:r>
        <w:rPr>
          <w:i/>
          <w:iCs/>
        </w:rPr>
        <w:t xml:space="preserve">Transportation Science</w:t>
      </w:r>
      <w:r>
        <w:t xml:space="preserve">, 39(3), 400–416.</w:t>
      </w:r>
    </w:p>
    <w:bookmarkEnd w:id="93"/>
    <w:bookmarkStart w:id="94" w:name="appendix-a-software-implementation"/>
    <w:p>
      <w:pPr>
        <w:pStyle w:val="Heading2"/>
      </w:pPr>
      <w:r>
        <w:rPr>
          <w:rStyle w:val="SectionNumber"/>
        </w:rPr>
        <w:t xml:space="preserve">14</w:t>
      </w:r>
      <w:r>
        <w:tab/>
      </w:r>
      <w:r>
        <w:t xml:space="preserve">Appendix A: Software Implementation</w:t>
      </w:r>
    </w:p>
    <w:p>
      <w:pPr>
        <w:pStyle w:val="FirstParagraph"/>
      </w:pPr>
      <w:r>
        <w:rPr>
          <w:b/>
          <w:bCs/>
        </w:rPr>
        <w:t xml:space="preserve">Table A.1: Source code organisation</w:t>
      </w:r>
    </w:p>
    <w:tbl>
      <w:tblPr>
        <w:tblStyle w:val="Table"/>
        <w:tblW w:type="pct" w:w="5000"/>
        <w:tblLayout w:type="fixed"/>
        <w:tblLook w:firstRow="1" w:lastRow="0" w:firstColumn="0" w:lastColumn="0" w:noHBand="0" w:noVBand="0" w:val="0020"/>
      </w:tblPr>
      <w:tblGrid>
        <w:gridCol w:w="2346"/>
        <w:gridCol w:w="1760"/>
        <w:gridCol w:w="3813"/>
      </w:tblGrid>
      <w:tr>
        <w:trPr>
          <w:tblHeader w:val="on"/>
        </w:trPr>
        <w:tc>
          <w:tcPr/>
          <w:p>
            <w:pPr>
              <w:pStyle w:val="Compact"/>
            </w:pPr>
            <w:r>
              <w:t xml:space="preserve">Module</w:t>
            </w:r>
          </w:p>
        </w:tc>
        <w:tc>
          <w:tcPr/>
          <w:p>
            <w:pPr>
              <w:pStyle w:val="Compact"/>
            </w:pPr>
            <w:r>
              <w:t xml:space="preserve">File</w:t>
            </w:r>
          </w:p>
        </w:tc>
        <w:tc>
          <w:tcPr/>
          <w:p>
            <w:pPr>
              <w:pStyle w:val="Compact"/>
            </w:pPr>
            <w:r>
              <w:t xml:space="preserve">Description</w:t>
            </w:r>
          </w:p>
        </w:tc>
      </w:tr>
      <w:tr>
        <w:tc>
          <w:tcPr/>
          <w:p>
            <w:pPr>
              <w:pStyle w:val="Compact"/>
            </w:pPr>
            <w:r>
              <w:t xml:space="preserve">Data Generation</w:t>
            </w:r>
          </w:p>
        </w:tc>
        <w:tc>
          <w:tcPr/>
          <w:p>
            <w:pPr>
              <w:pStyle w:val="Compact"/>
            </w:pPr>
            <w:r>
              <w:rPr>
                <w:rStyle w:val="VerbatimChar"/>
              </w:rPr>
              <w:t xml:space="preserve">src/data_gen.py</w:t>
            </w:r>
          </w:p>
        </w:tc>
        <w:tc>
          <w:tcPr/>
          <w:p>
            <w:pPr>
              <w:pStyle w:val="Compact"/>
            </w:pPr>
            <w:r>
              <w:t xml:space="preserve">Synthetic network and demand data</w:t>
            </w:r>
          </w:p>
        </w:tc>
      </w:tr>
      <w:tr>
        <w:tc>
          <w:tcPr/>
          <w:p>
            <w:pPr>
              <w:pStyle w:val="Compact"/>
            </w:pPr>
            <w:r>
              <w:t xml:space="preserve">Forecasting</w:t>
            </w:r>
          </w:p>
        </w:tc>
        <w:tc>
          <w:tcPr/>
          <w:p>
            <w:pPr>
              <w:pStyle w:val="Compact"/>
            </w:pPr>
            <w:r>
              <w:rPr>
                <w:rStyle w:val="VerbatimChar"/>
              </w:rPr>
              <w:t xml:space="preserve">src/forecasting.py</w:t>
            </w:r>
          </w:p>
        </w:tc>
        <w:tc>
          <w:tcPr/>
          <w:p>
            <w:pPr>
              <w:pStyle w:val="Compact"/>
            </w:pPr>
            <w:r>
              <w:t xml:space="preserve">Random Forest demand forecasting</w:t>
            </w:r>
          </w:p>
        </w:tc>
      </w:tr>
      <w:tr>
        <w:tc>
          <w:tcPr/>
          <w:p>
            <w:pPr>
              <w:pStyle w:val="Compact"/>
            </w:pPr>
            <w:r>
              <w:t xml:space="preserve">Pyomo Model</w:t>
            </w:r>
          </w:p>
        </w:tc>
        <w:tc>
          <w:tcPr/>
          <w:p>
            <w:pPr>
              <w:pStyle w:val="Compact"/>
            </w:pPr>
            <w:r>
              <w:rPr>
                <w:rStyle w:val="VerbatimChar"/>
              </w:rPr>
              <w:t xml:space="preserve">src/pyomo_model.py</w:t>
            </w:r>
          </w:p>
        </w:tc>
        <w:tc>
          <w:tcPr/>
          <w:p>
            <w:pPr>
              <w:pStyle w:val="Compact"/>
            </w:pPr>
            <w:r>
              <w:t xml:space="preserve">Declarative optimisation model</w:t>
            </w:r>
          </w:p>
        </w:tc>
      </w:tr>
      <w:tr>
        <w:tc>
          <w:tcPr/>
          <w:p>
            <w:pPr>
              <w:pStyle w:val="Compact"/>
            </w:pPr>
            <w:r>
              <w:t xml:space="preserve">Optimiser</w:t>
            </w:r>
          </w:p>
        </w:tc>
        <w:tc>
          <w:tcPr/>
          <w:p>
            <w:pPr>
              <w:pStyle w:val="Compact"/>
            </w:pPr>
            <w:r>
              <w:rPr>
                <w:rStyle w:val="VerbatimChar"/>
              </w:rPr>
              <w:t xml:space="preserve">src/optimizer.py</w:t>
            </w:r>
          </w:p>
        </w:tc>
        <w:tc>
          <w:tcPr/>
          <w:p>
            <w:pPr>
              <w:pStyle w:val="Compact"/>
            </w:pPr>
            <w:r>
              <w:t xml:space="preserve">NSGA-II wrapper and evaluation</w:t>
            </w:r>
          </w:p>
        </w:tc>
      </w:tr>
      <w:tr>
        <w:tc>
          <w:tcPr/>
          <w:p>
            <w:pPr>
              <w:pStyle w:val="Compact"/>
            </w:pPr>
            <w:r>
              <w:t xml:space="preserve">Simulation</w:t>
            </w:r>
          </w:p>
        </w:tc>
        <w:tc>
          <w:tcPr/>
          <w:p>
            <w:pPr>
              <w:pStyle w:val="Compact"/>
            </w:pPr>
            <w:r>
              <w:rPr>
                <w:rStyle w:val="VerbatimChar"/>
              </w:rPr>
              <w:t xml:space="preserve">src/sim.py</w:t>
            </w:r>
          </w:p>
        </w:tc>
        <w:tc>
          <w:tcPr/>
          <w:p>
            <w:pPr>
              <w:pStyle w:val="Compact"/>
            </w:pPr>
            <w:r>
              <w:t xml:space="preserve">SimPy Monte Carlo simulation</w:t>
            </w:r>
          </w:p>
        </w:tc>
      </w:tr>
      <w:tr>
        <w:tc>
          <w:tcPr/>
          <w:p>
            <w:pPr>
              <w:pStyle w:val="Compact"/>
            </w:pPr>
            <w:r>
              <w:t xml:space="preserve">Dashboard</w:t>
            </w:r>
          </w:p>
        </w:tc>
        <w:tc>
          <w:tcPr/>
          <w:p>
            <w:pPr>
              <w:pStyle w:val="Compact"/>
            </w:pPr>
            <w:r>
              <w:rPr>
                <w:rStyle w:val="VerbatimChar"/>
              </w:rPr>
              <w:t xml:space="preserve">src/dashboard.py</w:t>
            </w:r>
          </w:p>
        </w:tc>
        <w:tc>
          <w:tcPr/>
          <w:p>
            <w:pPr>
              <w:pStyle w:val="Compact"/>
            </w:pPr>
            <w:r>
              <w:t xml:space="preserve">Streamlit interactive DSS</w:t>
            </w:r>
          </w:p>
        </w:tc>
      </w:tr>
      <w:tr>
        <w:tc>
          <w:tcPr/>
          <w:p>
            <w:pPr>
              <w:pStyle w:val="Compact"/>
            </w:pPr>
            <w:r>
              <w:t xml:space="preserve">Pipeline</w:t>
            </w:r>
          </w:p>
        </w:tc>
        <w:tc>
          <w:tcPr/>
          <w:p>
            <w:pPr>
              <w:pStyle w:val="Compact"/>
            </w:pPr>
            <w:r>
              <w:rPr>
                <w:rStyle w:val="VerbatimChar"/>
              </w:rPr>
              <w:t xml:space="preserve">results/run_experiment.py</w:t>
            </w:r>
          </w:p>
        </w:tc>
        <w:tc>
          <w:tcPr/>
          <w:p>
            <w:pPr>
              <w:pStyle w:val="Compact"/>
            </w:pPr>
            <w:r>
              <w:t xml:space="preserve">End-to-end experiment runner</w:t>
            </w:r>
          </w:p>
        </w:tc>
      </w:tr>
      <w:tr>
        <w:tc>
          <w:tcPr/>
          <w:p>
            <w:pPr>
              <w:pStyle w:val="Compact"/>
            </w:pPr>
            <w:r>
              <w:t xml:space="preserve">Figures</w:t>
            </w:r>
          </w:p>
        </w:tc>
        <w:tc>
          <w:tcPr/>
          <w:p>
            <w:pPr>
              <w:pStyle w:val="Compact"/>
            </w:pPr>
            <w:r>
              <w:rPr>
                <w:rStyle w:val="VerbatimChar"/>
              </w:rPr>
              <w:t xml:space="preserve">results/generate_figures.py</w:t>
            </w:r>
          </w:p>
        </w:tc>
        <w:tc>
          <w:tcPr/>
          <w:p>
            <w:pPr>
              <w:pStyle w:val="Compact"/>
            </w:pPr>
            <w:r>
              <w:t xml:space="preserve">Publication-quality plots</w:t>
            </w:r>
          </w:p>
        </w:tc>
      </w:tr>
    </w:tbl>
    <w:p>
      <w:pPr>
        <w:pStyle w:val="BodyText"/>
      </w:pPr>
      <w:r>
        <w:rPr>
          <w:b/>
          <w:bCs/>
        </w:rPr>
        <w:t xml:space="preserve">Source Code Repository:</w:t>
      </w:r>
      <w:r>
        <w:t xml:space="preserve"> </w:t>
      </w:r>
      <w:r>
        <w:t xml:space="preserve">https://github.com/sagar2664/mtp</w:t>
      </w:r>
    </w:p>
    <w:p>
      <w:pPr>
        <w:pStyle w:val="BodyText"/>
      </w:pPr>
      <w:r>
        <w:rPr>
          <w:b/>
          <w:bCs/>
        </w:rPr>
        <w:t xml:space="preserve">Live Dashboard:</w:t>
      </w:r>
      <w:r>
        <w:t xml:space="preserve"> </w:t>
      </w:r>
      <w:r>
        <w:t xml:space="preserve">https://sagar2664-mtp.streamlit.app</w:t>
      </w:r>
    </w:p>
    <w:p>
      <w:pPr>
        <w:pStyle w:val="BodyText"/>
      </w:pPr>
      <w:r>
        <w:rPr>
          <w:b/>
          <w:bCs/>
        </w:rPr>
        <w:t xml:space="preserve">Reproducing results:</w:t>
      </w:r>
    </w:p>
    <w:p>
      <w:pPr>
        <w:pStyle w:val="SourceCode"/>
      </w:pPr>
      <w:r>
        <w:rPr>
          <w:rStyle w:val="VerbatimChar"/>
        </w:rPr>
        <w:t xml:space="preserve">pip install -r requirements.txt</w:t>
      </w:r>
      <w:r>
        <w:br/>
      </w:r>
      <w:r>
        <w:rPr>
          <w:rStyle w:val="VerbatimChar"/>
        </w:rPr>
        <w:t xml:space="preserve">python results/run_experiment.py</w:t>
      </w:r>
      <w:r>
        <w:br/>
      </w:r>
      <w:r>
        <w:rPr>
          <w:rStyle w:val="VerbatimChar"/>
        </w:rPr>
        <w:t xml:space="preserve">streamlit run src/dashboard.py</w:t>
      </w:r>
    </w:p>
    <w:bookmarkEnd w:id="94"/>
    <w:bookmarkStart w:id="95" w:name="appendix-b-traceability-matrix"/>
    <w:p>
      <w:pPr>
        <w:pStyle w:val="Heading2"/>
      </w:pPr>
      <w:r>
        <w:rPr>
          <w:rStyle w:val="SectionNumber"/>
        </w:rPr>
        <w:t xml:space="preserve">15</w:t>
      </w:r>
      <w:r>
        <w:tab/>
      </w:r>
      <w:r>
        <w:t xml:space="preserve">Appendix B: Traceability Matrix</w:t>
      </w:r>
    </w:p>
    <w:p>
      <w:pPr>
        <w:pStyle w:val="FirstParagraph"/>
      </w:pPr>
      <w:r>
        <w:rPr>
          <w:b/>
          <w:bCs/>
        </w:rPr>
        <w:t xml:space="preserve">Table B.1: Mapping of objective function components to papers and code</w:t>
      </w:r>
    </w:p>
    <w:tbl>
      <w:tblPr>
        <w:tblStyle w:val="Table"/>
        <w:tblW w:type="pct" w:w="5000"/>
        <w:tblLayout w:type="fixed"/>
        <w:tblLook w:firstRow="1" w:lastRow="0" w:firstColumn="0" w:lastColumn="0" w:noHBand="0" w:noVBand="0" w:val="0020"/>
      </w:tblPr>
      <w:tblGrid>
        <w:gridCol w:w="1616"/>
        <w:gridCol w:w="1777"/>
        <w:gridCol w:w="2101"/>
        <w:gridCol w:w="2424"/>
      </w:tblGrid>
      <w:tr>
        <w:trPr>
          <w:tblHeader w:val="on"/>
        </w:trPr>
        <w:tc>
          <w:tcPr/>
          <w:p>
            <w:pPr>
              <w:pStyle w:val="Compact"/>
            </w:pPr>
            <w:r>
              <w:t xml:space="preserve">Equation</w:t>
            </w:r>
          </w:p>
        </w:tc>
        <w:tc>
          <w:tcPr/>
          <w:p>
            <w:pPr>
              <w:pStyle w:val="Compact"/>
            </w:pPr>
            <w:r>
              <w:t xml:space="preserve">Component</w:t>
            </w:r>
          </w:p>
        </w:tc>
        <w:tc>
          <w:tcPr/>
          <w:p>
            <w:pPr>
              <w:pStyle w:val="Compact"/>
            </w:pPr>
            <w:r>
              <w:t xml:space="preserve">Paper Source</w:t>
            </w:r>
          </w:p>
        </w:tc>
        <w:tc>
          <w:tcPr/>
          <w:p>
            <w:pPr>
              <w:pStyle w:val="Compact"/>
            </w:pPr>
            <w:r>
              <w:t xml:space="preserve">Code Location</w:t>
            </w:r>
          </w:p>
        </w:tc>
      </w:tr>
      <w:tr>
        <w:tc>
          <w:tcPr/>
          <w:p>
            <w:pPr>
              <w:pStyle w:val="Compact"/>
            </w:pPr>
            <w:r>
              <w:t xml:space="preserve">(4.2a)</w:t>
            </w:r>
          </w:p>
        </w:tc>
        <w:tc>
          <w:tcPr/>
          <w:p>
            <w:pPr>
              <w:pStyle w:val="Compact"/>
            </w:pPr>
            <w:r>
              <w:t xml:space="preserve">Procurement cost</w:t>
            </w:r>
          </w:p>
        </w:tc>
        <w:tc>
          <w:tcPr/>
          <w:p>
            <w:pPr>
              <w:pStyle w:val="Compact"/>
            </w:pPr>
            <w:r>
              <w:t xml:space="preserve">Melo et al. (2009)</w:t>
            </w:r>
          </w:p>
        </w:tc>
        <w:tc>
          <w:tcPr/>
          <w:p>
            <w:pPr>
              <w:pStyle w:val="Compact"/>
            </w:pPr>
            <w:r>
              <w:rPr>
                <w:rStyle w:val="VerbatimChar"/>
              </w:rPr>
              <w:t xml:space="preserve">pyomo_model.py</w:t>
            </w:r>
            <w:r>
              <w:t xml:space="preserve">,</w:t>
            </w:r>
            <w:r>
              <w:t xml:space="preserve"> </w:t>
            </w:r>
            <w:r>
              <w:rPr>
                <w:rStyle w:val="VerbatimChar"/>
              </w:rPr>
              <w:t xml:space="preserve">optimizer.py</w:t>
            </w:r>
          </w:p>
        </w:tc>
      </w:tr>
      <w:tr>
        <w:tc>
          <w:tcPr/>
          <w:p>
            <w:pPr>
              <w:pStyle w:val="Compact"/>
            </w:pPr>
            <w:r>
              <w:t xml:space="preserve">(4.2b)</w:t>
            </w:r>
          </w:p>
        </w:tc>
        <w:tc>
          <w:tcPr/>
          <w:p>
            <w:pPr>
              <w:pStyle w:val="Compact"/>
            </w:pPr>
            <w:r>
              <w:t xml:space="preserve">Production cost</w:t>
            </w:r>
          </w:p>
        </w:tc>
        <w:tc>
          <w:tcPr/>
          <w:p>
            <w:pPr>
              <w:pStyle w:val="Compact"/>
            </w:pPr>
            <w:r>
              <w:t xml:space="preserve">Melo et al. (2009)</w:t>
            </w:r>
          </w:p>
        </w:tc>
        <w:tc>
          <w:tcPr/>
          <w:p>
            <w:pPr>
              <w:pStyle w:val="Compact"/>
            </w:pPr>
            <w:r>
              <w:rPr>
                <w:rStyle w:val="VerbatimChar"/>
              </w:rPr>
              <w:t xml:space="preserve">pyomo_model.py</w:t>
            </w:r>
            <w:r>
              <w:t xml:space="preserve">,</w:t>
            </w:r>
            <w:r>
              <w:t xml:space="preserve"> </w:t>
            </w:r>
            <w:r>
              <w:rPr>
                <w:rStyle w:val="VerbatimChar"/>
              </w:rPr>
              <w:t xml:space="preserve">optimizer.py</w:t>
            </w:r>
          </w:p>
        </w:tc>
      </w:tr>
      <w:tr>
        <w:tc>
          <w:tcPr/>
          <w:p>
            <w:pPr>
              <w:pStyle w:val="Compact"/>
            </w:pPr>
            <w:r>
              <w:t xml:space="preserve">(4.2c)</w:t>
            </w:r>
          </w:p>
        </w:tc>
        <w:tc>
          <w:tcPr/>
          <w:p>
            <w:pPr>
              <w:pStyle w:val="Compact"/>
            </w:pPr>
            <w:r>
              <w:t xml:space="preserve">Transport cost</w:t>
            </w:r>
          </w:p>
        </w:tc>
        <w:tc>
          <w:tcPr/>
          <w:p>
            <w:pPr>
              <w:pStyle w:val="Compact"/>
            </w:pPr>
            <w:r>
              <w:t xml:space="preserve">Melo et al. (2009)</w:t>
            </w:r>
          </w:p>
        </w:tc>
        <w:tc>
          <w:tcPr/>
          <w:p>
            <w:pPr>
              <w:pStyle w:val="Compact"/>
            </w:pPr>
            <w:r>
              <w:rPr>
                <w:rStyle w:val="VerbatimChar"/>
              </w:rPr>
              <w:t xml:space="preserve">optimizer.py</w:t>
            </w:r>
          </w:p>
        </w:tc>
      </w:tr>
      <w:tr>
        <w:tc>
          <w:tcPr/>
          <w:p>
            <w:pPr>
              <w:pStyle w:val="Compact"/>
            </w:pPr>
            <w:r>
              <w:t xml:space="preserve">(4.2c)</w:t>
            </w:r>
          </w:p>
        </w:tc>
        <w:tc>
          <w:tcPr/>
          <w:p>
            <w:pPr>
              <w:pStyle w:val="Compact"/>
            </w:pPr>
            <w:r>
              <w:t xml:space="preserve">Congestion weighting</w:t>
            </w:r>
          </w:p>
        </w:tc>
        <w:tc>
          <w:tcPr/>
          <w:p>
            <w:pPr>
              <w:pStyle w:val="Compact"/>
            </w:pPr>
            <w:r>
              <w:t xml:space="preserve">Pishvaee, Torabi, Razmi (2012)</w:t>
            </w:r>
          </w:p>
        </w:tc>
        <w:tc>
          <w:tcPr/>
          <w:p>
            <w:pPr>
              <w:pStyle w:val="Compact"/>
            </w:pPr>
            <w:r>
              <w:rPr>
                <w:rStyle w:val="VerbatimChar"/>
              </w:rPr>
              <w:t xml:space="preserve">optimizer.py</w:t>
            </w:r>
          </w:p>
        </w:tc>
      </w:tr>
      <w:tr>
        <w:tc>
          <w:tcPr/>
          <w:p>
            <w:pPr>
              <w:pStyle w:val="Compact"/>
            </w:pPr>
            <w:r>
              <w:t xml:space="preserve">(4.2d)</w:t>
            </w:r>
          </w:p>
        </w:tc>
        <w:tc>
          <w:tcPr/>
          <w:p>
            <w:pPr>
              <w:pStyle w:val="Compact"/>
            </w:pPr>
            <w:r>
              <w:t xml:space="preserve">Holding cost</w:t>
            </w:r>
          </w:p>
        </w:tc>
        <w:tc>
          <w:tcPr/>
          <w:p>
            <w:pPr>
              <w:pStyle w:val="Compact"/>
            </w:pPr>
            <w:r>
              <w:t xml:space="preserve">Melo et al. (2009)</w:t>
            </w:r>
          </w:p>
        </w:tc>
        <w:tc>
          <w:tcPr/>
          <w:p>
            <w:pPr>
              <w:pStyle w:val="Compact"/>
            </w:pPr>
            <w:r>
              <w:rPr>
                <w:rStyle w:val="VerbatimChar"/>
              </w:rPr>
              <w:t xml:space="preserve">pyomo_model.py</w:t>
            </w:r>
          </w:p>
        </w:tc>
      </w:tr>
      <w:tr>
        <w:tc>
          <w:tcPr/>
          <w:p>
            <w:pPr>
              <w:pStyle w:val="Compact"/>
            </w:pPr>
            <w:r>
              <w:t xml:space="preserve">(4.2e)</w:t>
            </w:r>
          </w:p>
        </w:tc>
        <w:tc>
          <w:tcPr/>
          <w:p>
            <w:pPr>
              <w:pStyle w:val="Compact"/>
            </w:pPr>
            <w:r>
              <w:t xml:space="preserve">Shortage penalty</w:t>
            </w:r>
          </w:p>
        </w:tc>
        <w:tc>
          <w:tcPr/>
          <w:p>
            <w:pPr>
              <w:pStyle w:val="Compact"/>
            </w:pPr>
            <w:r>
              <w:t xml:space="preserve">Jabbarzadeh et al. (2018)</w:t>
            </w:r>
          </w:p>
        </w:tc>
        <w:tc>
          <w:tcPr/>
          <w:p>
            <w:pPr>
              <w:pStyle w:val="Compact"/>
            </w:pPr>
            <w:r>
              <w:rPr>
                <w:rStyle w:val="VerbatimChar"/>
              </w:rPr>
              <w:t xml:space="preserve">optimizer.py</w:t>
            </w:r>
          </w:p>
        </w:tc>
      </w:tr>
      <w:tr>
        <w:tc>
          <w:tcPr/>
          <w:p>
            <w:pPr>
              <w:pStyle w:val="Compact"/>
            </w:pPr>
            <w:r>
              <w:t xml:space="preserve">(4.3a)</w:t>
            </w:r>
          </w:p>
        </w:tc>
        <w:tc>
          <w:tcPr/>
          <w:p>
            <w:pPr>
              <w:pStyle w:val="Compact"/>
            </w:pPr>
            <w:r>
              <w:t xml:space="preserve">Supplier emissions</w:t>
            </w:r>
          </w:p>
        </w:tc>
        <w:tc>
          <w:tcPr/>
          <w:p>
            <w:pPr>
              <w:pStyle w:val="Compact"/>
            </w:pPr>
            <w:r>
              <w:t xml:space="preserve">Pishvaee and Razmi (2012)</w:t>
            </w:r>
          </w:p>
        </w:tc>
        <w:tc>
          <w:tcPr/>
          <w:p>
            <w:pPr>
              <w:pStyle w:val="Compact"/>
            </w:pPr>
            <w:r>
              <w:rPr>
                <w:rStyle w:val="VerbatimChar"/>
              </w:rPr>
              <w:t xml:space="preserve">pyomo_model.py</w:t>
            </w:r>
            <w:r>
              <w:t xml:space="preserve">,</w:t>
            </w:r>
            <w:r>
              <w:t xml:space="preserve"> </w:t>
            </w:r>
            <w:r>
              <w:rPr>
                <w:rStyle w:val="VerbatimChar"/>
              </w:rPr>
              <w:t xml:space="preserve">optimizer.py</w:t>
            </w:r>
          </w:p>
        </w:tc>
      </w:tr>
      <w:tr>
        <w:tc>
          <w:tcPr/>
          <w:p>
            <w:pPr>
              <w:pStyle w:val="Compact"/>
            </w:pPr>
            <w:r>
              <w:t xml:space="preserve">(4.3b)</w:t>
            </w:r>
          </w:p>
        </w:tc>
        <w:tc>
          <w:tcPr/>
          <w:p>
            <w:pPr>
              <w:pStyle w:val="Compact"/>
            </w:pPr>
            <w:r>
              <w:t xml:space="preserve">Production emissions</w:t>
            </w:r>
          </w:p>
        </w:tc>
        <w:tc>
          <w:tcPr/>
          <w:p>
            <w:pPr>
              <w:pStyle w:val="Compact"/>
            </w:pPr>
            <w:r>
              <w:t xml:space="preserve">Pishvaee and Razmi (2012)</w:t>
            </w:r>
          </w:p>
        </w:tc>
        <w:tc>
          <w:tcPr/>
          <w:p>
            <w:pPr>
              <w:pStyle w:val="Compact"/>
            </w:pPr>
            <w:r>
              <w:rPr>
                <w:rStyle w:val="VerbatimChar"/>
              </w:rPr>
              <w:t xml:space="preserve">pyomo_model.py</w:t>
            </w:r>
            <w:r>
              <w:t xml:space="preserve">,</w:t>
            </w:r>
            <w:r>
              <w:t xml:space="preserve"> </w:t>
            </w:r>
            <w:r>
              <w:rPr>
                <w:rStyle w:val="VerbatimChar"/>
              </w:rPr>
              <w:t xml:space="preserve">optimizer.py</w:t>
            </w:r>
          </w:p>
        </w:tc>
      </w:tr>
      <w:tr>
        <w:tc>
          <w:tcPr/>
          <w:p>
            <w:pPr>
              <w:pStyle w:val="Compact"/>
            </w:pPr>
            <w:r>
              <w:t xml:space="preserve">(4.3c)</w:t>
            </w:r>
          </w:p>
        </w:tc>
        <w:tc>
          <w:tcPr/>
          <w:p>
            <w:pPr>
              <w:pStyle w:val="Compact"/>
            </w:pPr>
            <w:r>
              <w:t xml:space="preserve">Transport emissions</w:t>
            </w:r>
          </w:p>
        </w:tc>
        <w:tc>
          <w:tcPr/>
          <w:p>
            <w:pPr>
              <w:pStyle w:val="Compact"/>
            </w:pPr>
            <w:r>
              <w:t xml:space="preserve">Pishvaee, Torabi, Razmi (2012)</w:t>
            </w:r>
          </w:p>
        </w:tc>
        <w:tc>
          <w:tcPr/>
          <w:p>
            <w:pPr>
              <w:pStyle w:val="Compact"/>
            </w:pPr>
            <w:r>
              <w:rPr>
                <w:rStyle w:val="VerbatimChar"/>
              </w:rPr>
              <w:t xml:space="preserve">optimizer.py</w:t>
            </w:r>
          </w:p>
        </w:tc>
      </w:tr>
      <w:tr>
        <w:tc>
          <w:tcPr/>
          <w:p>
            <w:pPr>
              <w:pStyle w:val="Compact"/>
            </w:pPr>
            <w:r>
              <w:t xml:space="preserve">(4.3d)</w:t>
            </w:r>
          </w:p>
        </w:tc>
        <w:tc>
          <w:tcPr/>
          <w:p>
            <w:pPr>
              <w:pStyle w:val="Compact"/>
            </w:pPr>
            <w:r>
              <w:t xml:space="preserve">Warehousing emissions</w:t>
            </w:r>
          </w:p>
        </w:tc>
        <w:tc>
          <w:tcPr/>
          <w:p>
            <w:pPr>
              <w:pStyle w:val="Compact"/>
            </w:pPr>
            <w:r>
              <w:t xml:space="preserve">Pishvaee and Razmi (2012)</w:t>
            </w:r>
          </w:p>
        </w:tc>
        <w:tc>
          <w:tcPr/>
          <w:p>
            <w:pPr>
              <w:pStyle w:val="Compact"/>
            </w:pPr>
            <w:r>
              <w:rPr>
                <w:rStyle w:val="VerbatimChar"/>
              </w:rPr>
              <w:t xml:space="preserve">optimizer.py</w:t>
            </w:r>
          </w:p>
        </w:tc>
      </w:tr>
      <w:tr>
        <w:tc>
          <w:tcPr/>
          <w:p>
            <w:pPr>
              <w:pStyle w:val="Compact"/>
            </w:pPr>
            <w:r>
              <w:t xml:space="preserve">(4.4)–(4.5)</w:t>
            </w:r>
          </w:p>
        </w:tc>
        <w:tc>
          <w:tcPr/>
          <w:p>
            <w:pPr>
              <w:pStyle w:val="Compact"/>
            </w:pPr>
            <w:r>
              <w:t xml:space="preserve">HHI diversification</w:t>
            </w:r>
          </w:p>
        </w:tc>
        <w:tc>
          <w:tcPr/>
          <w:p>
            <w:pPr>
              <w:pStyle w:val="Compact"/>
            </w:pPr>
            <w:r>
              <w:t xml:space="preserve">Hasani and Khosrojerdi (2016)</w:t>
            </w:r>
          </w:p>
        </w:tc>
        <w:tc>
          <w:tcPr/>
          <w:p>
            <w:pPr>
              <w:pStyle w:val="Compact"/>
            </w:pPr>
            <w:r>
              <w:rPr>
                <w:rStyle w:val="VerbatimChar"/>
              </w:rPr>
              <w:t xml:space="preserve">optimizer.py</w:t>
            </w:r>
          </w:p>
        </w:tc>
      </w:tr>
      <w:tr>
        <w:tc>
          <w:tcPr/>
          <w:p>
            <w:pPr>
              <w:pStyle w:val="Compact"/>
            </w:pPr>
            <w:r>
              <w:t xml:space="preserve">(4.7)–(4.8)</w:t>
            </w:r>
          </w:p>
        </w:tc>
        <w:tc>
          <w:tcPr/>
          <w:p>
            <w:pPr>
              <w:pStyle w:val="Compact"/>
            </w:pPr>
            <w:r>
              <w:t xml:space="preserve">Node-failure coverage</w:t>
            </w:r>
          </w:p>
        </w:tc>
        <w:tc>
          <w:tcPr/>
          <w:p>
            <w:pPr>
              <w:pStyle w:val="Compact"/>
            </w:pPr>
            <w:r>
              <w:t xml:space="preserve">Snyder and Daskin (2005)</w:t>
            </w:r>
          </w:p>
        </w:tc>
        <w:tc>
          <w:tcPr/>
          <w:p>
            <w:pPr>
              <w:pStyle w:val="Compact"/>
            </w:pPr>
            <w:r>
              <w:rPr>
                <w:rStyle w:val="VerbatimChar"/>
              </w:rPr>
              <w:t xml:space="preserve">optimizer.py</w:t>
            </w:r>
          </w:p>
        </w:tc>
      </w:tr>
      <w:tr>
        <w:tc>
          <w:tcPr/>
          <w:p>
            <w:pPr>
              <w:pStyle w:val="Compact"/>
            </w:pPr>
            <w:r>
              <w:t xml:space="preserve">(4.9)</w:t>
            </w:r>
          </w:p>
        </w:tc>
        <w:tc>
          <w:tcPr/>
          <w:p>
            <w:pPr>
              <w:pStyle w:val="Compact"/>
            </w:pPr>
            <w:r>
              <w:t xml:space="preserve">Composite resilience</w:t>
            </w:r>
          </w:p>
        </w:tc>
        <w:tc>
          <w:tcPr/>
          <w:p>
            <w:pPr>
              <w:pStyle w:val="Compact"/>
            </w:pPr>
            <w:r>
              <w:t xml:space="preserve">Composite (this thesis)</w:t>
            </w:r>
          </w:p>
        </w:tc>
        <w:tc>
          <w:tcPr/>
          <w:p>
            <w:pPr>
              <w:pStyle w:val="Compact"/>
            </w:pPr>
            <w:r>
              <w:rPr>
                <w:rStyle w:val="VerbatimChar"/>
              </w:rPr>
              <w:t xml:space="preserve">optimizer.py</w:t>
            </w:r>
          </w:p>
        </w:tc>
      </w:tr>
    </w:tbl>
    <w:bookmarkEnd w:id="9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7" Target="media/rId67.png" /><Relationship Type="http://schemas.openxmlformats.org/officeDocument/2006/relationships/image" Id="rId78" Target="media/rId78.png" /><Relationship Type="http://schemas.openxmlformats.org/officeDocument/2006/relationships/image" Id="rId42" Target="media/rId42.png" /><Relationship Type="http://schemas.openxmlformats.org/officeDocument/2006/relationships/image" Id="rId71" Target="media/rId71.png" /><Relationship Type="http://schemas.openxmlformats.org/officeDocument/2006/relationships/image" Id="rId75" Target="media/rId75.png" /><Relationship Type="http://schemas.openxmlformats.org/officeDocument/2006/relationships/image" Id="rId82" Target="media/rId8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Multi-Objective Optimization for Sustainable and Disruption-Resilient Supply Chain Network Design: An Integrated NSGA-II Framework with LCA Emissions and HHI-Based Resilience Metrics</dc:title>
  <dc:creator>Sagar</dc:creator>
  <cp:keywords/>
  <dcterms:created xsi:type="dcterms:W3CDTF">2026-04-21T21:14:51Z</dcterms:created>
  <dcterms:modified xsi:type="dcterms:W3CDTF">2026-04-21T21:14:51Z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2026</vt:lpwstr>
  </property>
  <property fmtid="{D5CDD505-2E9C-101B-9397-08002B2CF9AE}" pid="3" name="fontsize">
    <vt:lpwstr>12pt</vt:lpwstr>
  </property>
  <property fmtid="{D5CDD505-2E9C-101B-9397-08002B2CF9AE}" pid="4" name="geometry">
    <vt:lpwstr>margin=2.5cm</vt:lpwstr>
  </property>
  <property fmtid="{D5CDD505-2E9C-101B-9397-08002B2CF9AE}" pid="5" name="header-includes">
    <vt:lpwstr/>
  </property>
  <property fmtid="{D5CDD505-2E9C-101B-9397-08002B2CF9AE}" pid="6" name="linestretch">
    <vt:lpwstr>1.5</vt:lpwstr>
  </property>
  <property fmtid="{D5CDD505-2E9C-101B-9397-08002B2CF9AE}" pid="7" name="numbersections">
    <vt:lpwstr>True</vt:lpwstr>
  </property>
  <property fmtid="{D5CDD505-2E9C-101B-9397-08002B2CF9AE}" pid="8" name="toc">
    <vt:lpwstr>True</vt:lpwstr>
  </property>
  <property fmtid="{D5CDD505-2E9C-101B-9397-08002B2CF9AE}" pid="9" name="toc-depth">
    <vt:lpwstr>3</vt:lpwstr>
  </property>
</Properties>
</file>