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10F1" w14:textId="77777777" w:rsidR="00557E70" w:rsidRDefault="00000000">
      <w:pPr>
        <w:spacing w:after="2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F35E44B" wp14:editId="3183F966">
            <wp:extent cx="6375400" cy="284353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74B5"/>
        </w:rPr>
        <w:t xml:space="preserve">  </w:t>
      </w:r>
    </w:p>
    <w:p w14:paraId="3768E24A" w14:textId="77777777" w:rsidR="00557E70" w:rsidRDefault="00000000">
      <w:pPr>
        <w:spacing w:after="0" w:line="259" w:lineRule="auto"/>
        <w:ind w:left="0" w:right="0" w:firstLine="0"/>
      </w:pPr>
      <w:r>
        <w:rPr>
          <w:b/>
          <w:color w:val="7030A0"/>
          <w:sz w:val="24"/>
        </w:rPr>
        <w:t>Round 2 - Prototype Development</w:t>
      </w:r>
      <w:r>
        <w:rPr>
          <w:color w:val="2E74B5"/>
        </w:rPr>
        <w:t xml:space="preserve"> </w:t>
      </w:r>
    </w:p>
    <w:p w14:paraId="4DBE0AB9" w14:textId="77777777" w:rsidR="00557E70" w:rsidRDefault="00000000">
      <w:pPr>
        <w:spacing w:after="173" w:line="259" w:lineRule="auto"/>
        <w:ind w:left="-29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0383F7" wp14:editId="34EA6044">
                <wp:extent cx="6412739" cy="18288"/>
                <wp:effectExtent l="0" t="0" r="0" b="0"/>
                <wp:docPr id="7767" name="Group 7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8288"/>
                          <a:chOff x="0" y="0"/>
                          <a:chExt cx="6412739" cy="18288"/>
                        </a:xfrm>
                      </wpg:grpSpPr>
                      <wps:wsp>
                        <wps:cNvPr id="9314" name="Shape 9314"/>
                        <wps:cNvSpPr/>
                        <wps:spPr>
                          <a:xfrm>
                            <a:off x="0" y="0"/>
                            <a:ext cx="64127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8288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7" style="width:504.94pt;height:1.44pt;mso-position-horizontal-relative:char;mso-position-vertical-relative:line" coordsize="64127,182">
                <v:shape id="Shape 9315" style="position:absolute;width:64127;height:182;left:0;top:0;" coordsize="6412739,18288" path="m0,0l6412739,0l6412739,18288l0,18288l0,0">
                  <v:stroke weight="0pt" endcap="flat" joinstyle="miter" miterlimit="10" on="false" color="#000000" opacity="0"/>
                  <v:fill on="true" color="#a100ff"/>
                </v:shape>
              </v:group>
            </w:pict>
          </mc:Fallback>
        </mc:AlternateContent>
      </w:r>
    </w:p>
    <w:p w14:paraId="0EAE2CE2" w14:textId="77777777" w:rsidR="00557E70" w:rsidRDefault="00000000">
      <w:pPr>
        <w:spacing w:after="112"/>
        <w:ind w:left="0" w:right="113" w:firstLine="0"/>
      </w:pPr>
      <w:r>
        <w:t xml:space="preserve">Congratulations on advancing to Round 2. You've already pitched an initial concept for one of the four problem statements — now it's time to go deeper. This document expands your chosen track with the real-world complexity that companies grapple with, along with a broader option for solutioning areas you might explore. It is still intentionally open: there is no single "correct" architecture, and you are not expected to have access to a real company's proprietary data. Use reasonable assumptions and focus on innovation, creativity, and technical novelty. </w:t>
      </w:r>
      <w:r>
        <w:rPr>
          <w:color w:val="000000"/>
        </w:rPr>
        <w:t xml:space="preserve"> </w:t>
      </w:r>
    </w:p>
    <w:p w14:paraId="4AFC8D21" w14:textId="77777777" w:rsidR="00557E70" w:rsidRDefault="00000000">
      <w:pPr>
        <w:spacing w:after="147" w:line="267" w:lineRule="auto"/>
        <w:ind w:left="10" w:right="114" w:hanging="10"/>
      </w:pPr>
      <w:r>
        <w:t>Each</w:t>
      </w:r>
      <w:r>
        <w:rPr>
          <w:color w:val="000000"/>
        </w:rPr>
        <w:t xml:space="preserve"> problem track below expands on its Round 1 brief with deeper context, the real complexities such problems present inside real organizations, and a broad set of solutioning areas you're free to draw from selectively — you are not expected to address every point listed. </w:t>
      </w:r>
    </w:p>
    <w:p w14:paraId="46DD2D38" w14:textId="1E4F8665" w:rsidR="00557E70" w:rsidRDefault="00000000" w:rsidP="00AF1822">
      <w:pPr>
        <w:spacing w:after="85"/>
        <w:ind w:left="0" w:right="113" w:firstLine="0"/>
      </w:pPr>
      <w:r>
        <w:t xml:space="preserve"> </w:t>
      </w:r>
    </w:p>
    <w:p w14:paraId="2E1C84D4" w14:textId="77777777" w:rsidR="00557E70" w:rsidRDefault="00000000">
      <w:pPr>
        <w:spacing w:after="42" w:line="259" w:lineRule="auto"/>
        <w:ind w:left="0" w:right="0" w:firstLine="0"/>
      </w:pPr>
      <w:r>
        <w:rPr>
          <w:i/>
          <w:color w:val="595959"/>
        </w:rPr>
        <w:t xml:space="preserve"> </w:t>
      </w:r>
    </w:p>
    <w:p w14:paraId="1720776F" w14:textId="77777777" w:rsidR="00557E70" w:rsidRDefault="00000000">
      <w:pPr>
        <w:pStyle w:val="Heading1"/>
        <w:ind w:left="-5"/>
      </w:pPr>
      <w:r>
        <w:t xml:space="preserve"> PROBLEM TRACK 4</w:t>
      </w:r>
      <w:r>
        <w:rPr>
          <w:shd w:val="clear" w:color="auto" w:fill="auto"/>
        </w:rPr>
        <w:t xml:space="preserve">  </w:t>
      </w:r>
      <w:r>
        <w:rPr>
          <w:b w:val="0"/>
          <w:color w:val="000000"/>
          <w:shd w:val="clear" w:color="auto" w:fill="auto"/>
        </w:rPr>
        <w:t xml:space="preserve"> </w:t>
      </w:r>
    </w:p>
    <w:p w14:paraId="53929C90" w14:textId="77777777" w:rsidR="00557E70" w:rsidRDefault="00000000">
      <w:pPr>
        <w:pStyle w:val="Heading2"/>
        <w:spacing w:after="0"/>
        <w:ind w:left="-5"/>
      </w:pPr>
      <w:r>
        <w:t xml:space="preserve">DigitalTwin.ai </w:t>
      </w:r>
      <w:r>
        <w:rPr>
          <w:b w:val="0"/>
          <w:color w:val="2E74B5"/>
        </w:rPr>
        <w:t xml:space="preserve"> </w:t>
      </w:r>
    </w:p>
    <w:p w14:paraId="3A8D25D7" w14:textId="77777777" w:rsidR="00557E70" w:rsidRDefault="00000000">
      <w:pPr>
        <w:spacing w:after="217" w:line="259" w:lineRule="auto"/>
        <w:ind w:left="-29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8CBD39" wp14:editId="7244011B">
                <wp:extent cx="6412739" cy="18288"/>
                <wp:effectExtent l="0" t="0" r="0" b="0"/>
                <wp:docPr id="8155" name="Group 8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739" cy="18288"/>
                          <a:chOff x="0" y="0"/>
                          <a:chExt cx="6412739" cy="18288"/>
                        </a:xfrm>
                      </wpg:grpSpPr>
                      <wps:wsp>
                        <wps:cNvPr id="9322" name="Shape 9322"/>
                        <wps:cNvSpPr/>
                        <wps:spPr>
                          <a:xfrm>
                            <a:off x="0" y="0"/>
                            <a:ext cx="64127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2739" h="18288">
                                <a:moveTo>
                                  <a:pt x="0" y="0"/>
                                </a:moveTo>
                                <a:lnTo>
                                  <a:pt x="6412739" y="0"/>
                                </a:lnTo>
                                <a:lnTo>
                                  <a:pt x="64127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55" style="width:504.94pt;height:1.44pt;mso-position-horizontal-relative:char;mso-position-vertical-relative:line" coordsize="64127,182">
                <v:shape id="Shape 9323" style="position:absolute;width:64127;height:182;left:0;top:0;" coordsize="6412739,18288" path="m0,0l6412739,0l6412739,18288l0,18288l0,0">
                  <v:stroke weight="0pt" endcap="flat" joinstyle="miter" miterlimit="10" on="false" color="#000000" opacity="0"/>
                  <v:fill on="true" color="#a100ff"/>
                </v:shape>
              </v:group>
            </w:pict>
          </mc:Fallback>
        </mc:AlternateContent>
      </w:r>
    </w:p>
    <w:p w14:paraId="53F187AA" w14:textId="77777777" w:rsidR="00557E70" w:rsidRDefault="00000000">
      <w:pPr>
        <w:pStyle w:val="Heading2"/>
        <w:ind w:left="-5"/>
      </w:pPr>
      <w:r>
        <w:t>Recap &amp; Expanded Context</w:t>
      </w:r>
      <w:r>
        <w:rPr>
          <w:b w:val="0"/>
          <w:color w:val="000000"/>
        </w:rPr>
        <w:t xml:space="preserve"> </w:t>
      </w:r>
    </w:p>
    <w:p w14:paraId="73EE676F" w14:textId="77777777" w:rsidR="00557E70" w:rsidRDefault="00000000">
      <w:pPr>
        <w:spacing w:after="111"/>
        <w:ind w:left="0" w:right="113" w:firstLine="0"/>
      </w:pPr>
      <w:r>
        <w:t>In Round 1, you explored a digital twin prototype for a vehicle assembly line that helps plant teams see where bottlenecks are forming and predict likely defects before they happen. In practice, most assembly lines are a patchwork of legacy and modern equipment, and any twin must work with uneven sensor coverage rather than a perfectly instrumented, ideal factory.</w:t>
      </w:r>
      <w:r>
        <w:rPr>
          <w:color w:val="000000"/>
        </w:rPr>
        <w:t xml:space="preserve"> </w:t>
      </w:r>
    </w:p>
    <w:p w14:paraId="1C0315FF" w14:textId="77777777" w:rsidR="00557E70" w:rsidRDefault="00000000">
      <w:pPr>
        <w:spacing w:after="186"/>
        <w:ind w:left="0" w:right="113" w:firstLine="0"/>
      </w:pPr>
      <w:r>
        <w:t>For Round 2, extend your concept into a fuller solution design, backed by a working prototype that demonstrates the core predictive mechanism on realistic (even if simplified or simulated) production data.</w:t>
      </w:r>
      <w:r>
        <w:rPr>
          <w:color w:val="000000"/>
        </w:rPr>
        <w:t xml:space="preserve"> </w:t>
      </w:r>
    </w:p>
    <w:p w14:paraId="3D6F971A" w14:textId="77777777" w:rsidR="00557E70" w:rsidRDefault="00000000">
      <w:pPr>
        <w:pStyle w:val="Heading2"/>
        <w:ind w:left="-5"/>
      </w:pPr>
      <w:r>
        <w:t>Real-World Complexities to Consider</w:t>
      </w:r>
      <w:r>
        <w:rPr>
          <w:b w:val="0"/>
          <w:color w:val="000000"/>
        </w:rPr>
        <w:t xml:space="preserve"> </w:t>
      </w:r>
    </w:p>
    <w:p w14:paraId="7D049483" w14:textId="77777777" w:rsidR="00557E70" w:rsidRDefault="00000000">
      <w:pPr>
        <w:numPr>
          <w:ilvl w:val="0"/>
          <w:numId w:val="10"/>
        </w:numPr>
        <w:ind w:right="113" w:hanging="259"/>
      </w:pPr>
      <w:r>
        <w:t>Assembly lines mix legacy and modern equipment, so sensor coverage is often inconsistent — some stations are richly instrumented, others rely entirely on manual checklists.</w:t>
      </w:r>
      <w:r>
        <w:rPr>
          <w:color w:val="000000"/>
        </w:rPr>
        <w:t xml:space="preserve"> </w:t>
      </w:r>
    </w:p>
    <w:p w14:paraId="33C25E27" w14:textId="77777777" w:rsidR="00557E70" w:rsidRDefault="00000000">
      <w:pPr>
        <w:numPr>
          <w:ilvl w:val="0"/>
          <w:numId w:val="10"/>
        </w:numPr>
        <w:ind w:right="113" w:hanging="259"/>
      </w:pPr>
      <w:r>
        <w:t>Bottlenecks and defects often have multi-causal, intermittent root causes (equipment wear, operator variation, upstream part quality, environmental conditions) that are hard to isolate from data alone.</w:t>
      </w:r>
      <w:r>
        <w:rPr>
          <w:color w:val="000000"/>
        </w:rPr>
        <w:t xml:space="preserve"> </w:t>
      </w:r>
    </w:p>
    <w:p w14:paraId="42A2BBAF" w14:textId="77777777" w:rsidR="00557E70" w:rsidRDefault="00000000">
      <w:pPr>
        <w:numPr>
          <w:ilvl w:val="0"/>
          <w:numId w:val="10"/>
        </w:numPr>
        <w:ind w:right="113" w:hanging="259"/>
      </w:pPr>
      <w:r>
        <w:lastRenderedPageBreak/>
        <w:t>Modifying live production systems (PLCs, line control logic) carries real operational risk, and most plants only allow retrofits during scheduled, infrequent maintenance windows.</w:t>
      </w:r>
      <w:r>
        <w:rPr>
          <w:color w:val="000000"/>
        </w:rPr>
        <w:t xml:space="preserve"> </w:t>
      </w:r>
    </w:p>
    <w:p w14:paraId="78070748" w14:textId="77777777" w:rsidR="00557E70" w:rsidRDefault="00000000">
      <w:pPr>
        <w:numPr>
          <w:ilvl w:val="0"/>
          <w:numId w:val="10"/>
        </w:numPr>
        <w:ind w:right="113" w:hanging="259"/>
      </w:pPr>
      <w:r>
        <w:t>A defect introduced early in the line may not surface until a much later inspection point, by which time many downstream units may carry the same undetected issue — making root-cause tracing after the fact especially difficult.</w:t>
      </w:r>
      <w:r>
        <w:rPr>
          <w:color w:val="000000"/>
        </w:rPr>
        <w:t xml:space="preserve"> </w:t>
      </w:r>
    </w:p>
    <w:p w14:paraId="40AF45C6" w14:textId="77777777" w:rsidR="00557E70" w:rsidRDefault="00000000">
      <w:pPr>
        <w:numPr>
          <w:ilvl w:val="0"/>
          <w:numId w:val="10"/>
        </w:numPr>
        <w:ind w:right="113" w:hanging="259"/>
      </w:pPr>
      <w:r>
        <w:t xml:space="preserve">Different stakeholders need very different views of the same twin — a floor supervisor needs </w:t>
      </w:r>
      <w:proofErr w:type="spellStart"/>
      <w:r>
        <w:t>realtime</w:t>
      </w:r>
      <w:proofErr w:type="spellEnd"/>
      <w:r>
        <w:t>, in-the-moment signals, a plant manager needs weekly planning trends, and leadership needs a rollout business case.</w:t>
      </w:r>
      <w:r>
        <w:rPr>
          <w:color w:val="000000"/>
        </w:rPr>
        <w:t xml:space="preserve"> </w:t>
      </w:r>
    </w:p>
    <w:p w14:paraId="1F149712" w14:textId="77777777" w:rsidR="00557E70" w:rsidRDefault="00000000">
      <w:pPr>
        <w:numPr>
          <w:ilvl w:val="0"/>
          <w:numId w:val="10"/>
        </w:numPr>
        <w:ind w:right="113" w:hanging="259"/>
      </w:pPr>
      <w:r>
        <w:t>Extending a solution beyond a single line or plant means accounting for real variation in layout, equipment vintage, and sensor maturity across different sites.</w:t>
      </w:r>
      <w:r>
        <w:rPr>
          <w:color w:val="000000"/>
        </w:rPr>
        <w:t xml:space="preserve"> </w:t>
      </w:r>
    </w:p>
    <w:p w14:paraId="73F454B8" w14:textId="77777777" w:rsidR="00557E70" w:rsidRDefault="00000000">
      <w:pPr>
        <w:numPr>
          <w:ilvl w:val="0"/>
          <w:numId w:val="10"/>
        </w:numPr>
        <w:spacing w:after="186"/>
        <w:ind w:right="113" w:hanging="259"/>
      </w:pPr>
      <w:r>
        <w:t>Predictive claims must be validated against real outcomes over time — false alarms about defects that don't materialise can erode floor-level trust in the system quickly.</w:t>
      </w:r>
      <w:r>
        <w:rPr>
          <w:color w:val="000000"/>
        </w:rPr>
        <w:t xml:space="preserve"> </w:t>
      </w:r>
    </w:p>
    <w:p w14:paraId="7F63061C" w14:textId="77777777" w:rsidR="00557E70" w:rsidRDefault="00000000">
      <w:pPr>
        <w:pStyle w:val="Heading2"/>
        <w:ind w:left="-5"/>
      </w:pPr>
      <w:r>
        <w:t>Solutioning Areas You Could Explore</w:t>
      </w:r>
      <w:r>
        <w:rPr>
          <w:b w:val="0"/>
          <w:color w:val="000000"/>
        </w:rPr>
        <w:t xml:space="preserve"> </w:t>
      </w:r>
    </w:p>
    <w:p w14:paraId="14EE5656" w14:textId="77777777" w:rsidR="00557E70" w:rsidRDefault="00000000">
      <w:pPr>
        <w:numPr>
          <w:ilvl w:val="0"/>
          <w:numId w:val="11"/>
        </w:numPr>
        <w:ind w:right="113" w:hanging="259"/>
      </w:pPr>
      <w:r>
        <w:t>Modelling approach — what to represent explicitly (cycle time, torque, vibration, temperature, throughput) versus infer indirectly, especially at sensor-poor stations</w:t>
      </w:r>
      <w:r>
        <w:rPr>
          <w:color w:val="000000"/>
        </w:rPr>
        <w:t xml:space="preserve"> </w:t>
      </w:r>
    </w:p>
    <w:p w14:paraId="1672E5F4" w14:textId="77777777" w:rsidR="00557E70" w:rsidRDefault="00000000">
      <w:pPr>
        <w:numPr>
          <w:ilvl w:val="0"/>
          <w:numId w:val="11"/>
        </w:numPr>
        <w:ind w:right="113" w:hanging="259"/>
      </w:pPr>
      <w:r>
        <w:t>Predictive techniques — anomaly detection, statistical process control, physics-informed models, or ML-based bottleneck/defect prediction, and how you'd validate them before trusting their output</w:t>
      </w:r>
      <w:r>
        <w:rPr>
          <w:color w:val="000000"/>
        </w:rPr>
        <w:t xml:space="preserve"> </w:t>
      </w:r>
    </w:p>
    <w:p w14:paraId="50EC8AC5" w14:textId="77777777" w:rsidR="00557E70" w:rsidRDefault="00000000">
      <w:pPr>
        <w:numPr>
          <w:ilvl w:val="0"/>
          <w:numId w:val="11"/>
        </w:numPr>
        <w:ind w:right="113" w:hanging="259"/>
      </w:pPr>
      <w:r>
        <w:t>Handling data gaps — how the twin stays useful at stations with partial or no instrumentation, including any low-cost sensing you might propose</w:t>
      </w:r>
      <w:r>
        <w:rPr>
          <w:color w:val="000000"/>
        </w:rPr>
        <w:t xml:space="preserve"> </w:t>
      </w:r>
    </w:p>
    <w:p w14:paraId="1D948C33" w14:textId="77777777" w:rsidR="00557E70" w:rsidRDefault="00000000">
      <w:pPr>
        <w:numPr>
          <w:ilvl w:val="0"/>
          <w:numId w:val="11"/>
        </w:numPr>
        <w:ind w:right="113" w:hanging="259"/>
      </w:pPr>
      <w:r>
        <w:t>User experience — distinct views for a floor supervisor's real-time needs, a plant manager's planning needs, and leadership's investment case, from the same underlying model</w:t>
      </w:r>
      <w:r>
        <w:rPr>
          <w:color w:val="000000"/>
        </w:rPr>
        <w:t xml:space="preserve"> </w:t>
      </w:r>
    </w:p>
    <w:p w14:paraId="66D331D4" w14:textId="77777777" w:rsidR="00557E70" w:rsidRDefault="00000000">
      <w:pPr>
        <w:numPr>
          <w:ilvl w:val="0"/>
          <w:numId w:val="11"/>
        </w:numPr>
        <w:ind w:right="113" w:hanging="259"/>
      </w:pPr>
      <w:r>
        <w:t>Integration approach — working around legacy PLCs, OT data and live-production constraints without disrupting ongoing operations</w:t>
      </w:r>
      <w:r>
        <w:rPr>
          <w:color w:val="000000"/>
        </w:rPr>
        <w:t xml:space="preserve"> </w:t>
      </w:r>
    </w:p>
    <w:p w14:paraId="4F2B7FC9" w14:textId="77777777" w:rsidR="00557E70" w:rsidRDefault="00000000">
      <w:pPr>
        <w:numPr>
          <w:ilvl w:val="0"/>
          <w:numId w:val="11"/>
        </w:numPr>
        <w:spacing w:after="186"/>
        <w:ind w:right="113" w:hanging="259"/>
      </w:pPr>
      <w:r>
        <w:t>Scalability &amp; ROI — how a prototype built for one line could reasonably extend to other lines, plants, or sites with different starting conditions</w:t>
      </w:r>
      <w:r>
        <w:rPr>
          <w:color w:val="000000"/>
        </w:rPr>
        <w:t xml:space="preserve"> </w:t>
      </w:r>
    </w:p>
    <w:p w14:paraId="52D21FD4" w14:textId="77777777" w:rsidR="00557E70" w:rsidRDefault="00000000">
      <w:pPr>
        <w:pStyle w:val="Heading2"/>
        <w:ind w:left="-5"/>
      </w:pPr>
      <w:r>
        <w:t>Reference Parameters (Illustrative — Adapt Freely)</w:t>
      </w:r>
      <w:r>
        <w:rPr>
          <w:b w:val="0"/>
          <w:color w:val="000000"/>
        </w:rPr>
        <w:t xml:space="preserve"> </w:t>
      </w:r>
    </w:p>
    <w:p w14:paraId="621BF1BD" w14:textId="77777777" w:rsidR="00557E70" w:rsidRDefault="00000000">
      <w:pPr>
        <w:numPr>
          <w:ilvl w:val="0"/>
          <w:numId w:val="12"/>
        </w:numPr>
        <w:ind w:right="113" w:hanging="259"/>
      </w:pPr>
      <w:r>
        <w:t>Assume a mixed-model assembly line with roughly 30–50 stations across body construction, paint, and final assembly</w:t>
      </w:r>
      <w:r>
        <w:rPr>
          <w:color w:val="000000"/>
        </w:rPr>
        <w:t xml:space="preserve"> </w:t>
      </w:r>
    </w:p>
    <w:p w14:paraId="6515C4D0" w14:textId="77777777" w:rsidR="00557E70" w:rsidRDefault="00000000">
      <w:pPr>
        <w:numPr>
          <w:ilvl w:val="0"/>
          <w:numId w:val="12"/>
        </w:numPr>
        <w:ind w:right="113" w:hanging="259"/>
      </w:pPr>
      <w:r>
        <w:t>Assume meaningful but uneven sensor coverage — a majority of stations well-instrumented, a meaningful minority reliant on manual checks</w:t>
      </w:r>
      <w:r>
        <w:rPr>
          <w:color w:val="000000"/>
        </w:rPr>
        <w:t xml:space="preserve"> </w:t>
      </w:r>
    </w:p>
    <w:p w14:paraId="0F2C41A6" w14:textId="77777777" w:rsidR="00557E70" w:rsidRDefault="00000000">
      <w:pPr>
        <w:numPr>
          <w:ilvl w:val="0"/>
          <w:numId w:val="12"/>
        </w:numPr>
        <w:spacing w:after="101"/>
        <w:ind w:right="113" w:hanging="259"/>
      </w:pPr>
      <w:r>
        <w:t>Assume production can only be paused for instrumentation changes during a small number of scheduled maintenance windows per year</w:t>
      </w:r>
      <w:r>
        <w:rPr>
          <w:color w:val="000000"/>
        </w:rPr>
        <w:t xml:space="preserve"> </w:t>
      </w:r>
    </w:p>
    <w:p w14:paraId="2FDF27DE" w14:textId="77777777" w:rsidR="00557E70" w:rsidRDefault="00000000">
      <w:pPr>
        <w:spacing w:after="277"/>
        <w:ind w:left="-5" w:right="0" w:hanging="10"/>
      </w:pPr>
      <w:r>
        <w:rPr>
          <w:i/>
          <w:color w:val="595959"/>
        </w:rPr>
        <w:t xml:space="preserve">These parameters are directional, not a fixed dataset — you're encouraged to make your own reasonable assumptions, state them clearly, and design a solution that would generalize beyond one specific company. </w:t>
      </w:r>
    </w:p>
    <w:p w14:paraId="1F0929B8" w14:textId="77777777" w:rsidR="00557E70" w:rsidRDefault="00000000">
      <w:pPr>
        <w:pStyle w:val="Heading1"/>
        <w:spacing w:after="85"/>
        <w:ind w:left="0" w:firstLine="0"/>
      </w:pPr>
      <w:r>
        <w:rPr>
          <w:color w:val="A100FF"/>
          <w:sz w:val="24"/>
          <w:shd w:val="clear" w:color="auto" w:fill="auto"/>
        </w:rPr>
        <w:t>What Round 2 Asks You to Deliver</w:t>
      </w:r>
      <w:r>
        <w:rPr>
          <w:b w:val="0"/>
          <w:color w:val="2E74B5"/>
          <w:sz w:val="24"/>
          <w:shd w:val="clear" w:color="auto" w:fill="auto"/>
        </w:rPr>
        <w:t xml:space="preserve"> </w:t>
      </w:r>
    </w:p>
    <w:p w14:paraId="3D9248EB" w14:textId="77777777" w:rsidR="00557E70" w:rsidRDefault="00000000">
      <w:pPr>
        <w:numPr>
          <w:ilvl w:val="0"/>
          <w:numId w:val="13"/>
        </w:numPr>
        <w:ind w:right="113" w:hanging="259"/>
      </w:pPr>
      <w:r>
        <w:t>Detailed Business Proposal — problem framing, solution design, target users, business case and impact, a phased roadmap, and key risks with mitigations</w:t>
      </w:r>
      <w:r>
        <w:rPr>
          <w:color w:val="000000"/>
        </w:rPr>
        <w:t xml:space="preserve"> </w:t>
      </w:r>
    </w:p>
    <w:p w14:paraId="30042761" w14:textId="77777777" w:rsidR="00557E70" w:rsidRDefault="00000000">
      <w:pPr>
        <w:numPr>
          <w:ilvl w:val="0"/>
          <w:numId w:val="13"/>
        </w:numPr>
        <w:ind w:right="113" w:hanging="259"/>
      </w:pPr>
      <w:r>
        <w:t>Working Prototype — a functional demonstration of your solution's core mechanism. It does not need to be production-grade or use real enterprise data; a working proof-of-concept on illustrative or sample data is expected and encouraged</w:t>
      </w:r>
      <w:r>
        <w:rPr>
          <w:color w:val="000000"/>
        </w:rPr>
        <w:t xml:space="preserve"> </w:t>
      </w:r>
    </w:p>
    <w:p w14:paraId="2A677D12" w14:textId="77777777" w:rsidR="00557E70" w:rsidRDefault="00000000">
      <w:pPr>
        <w:numPr>
          <w:ilvl w:val="0"/>
          <w:numId w:val="13"/>
        </w:numPr>
        <w:ind w:right="113" w:hanging="259"/>
      </w:pPr>
      <w:r>
        <w:t>Pitch Presentation — presenting both your proposal and prototype for us to evaluate</w:t>
      </w:r>
      <w:r>
        <w:rPr>
          <w:color w:val="000000"/>
        </w:rPr>
        <w:t xml:space="preserve"> </w:t>
      </w:r>
    </w:p>
    <w:sectPr w:rsidR="00557E70">
      <w:pgSz w:w="12240" w:h="15840"/>
      <w:pgMar w:top="1032" w:right="984" w:bottom="1017" w:left="10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A0B"/>
    <w:multiLevelType w:val="hybridMultilevel"/>
    <w:tmpl w:val="591E6428"/>
    <w:lvl w:ilvl="0" w:tplc="A9CEED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F6BC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7809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4A47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F27E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852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18A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DA79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02BA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7F2641"/>
    <w:multiLevelType w:val="hybridMultilevel"/>
    <w:tmpl w:val="64D484AA"/>
    <w:lvl w:ilvl="0" w:tplc="F9561BBC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E6EBA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9439AC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78CB82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441630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0F73C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522596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F4CCCA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181532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E048C"/>
    <w:multiLevelType w:val="hybridMultilevel"/>
    <w:tmpl w:val="16A4F918"/>
    <w:lvl w:ilvl="0" w:tplc="BA1A0F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FCE9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82C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B81F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2C7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18A0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344E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B49A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F8CC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D73128"/>
    <w:multiLevelType w:val="hybridMultilevel"/>
    <w:tmpl w:val="2C3EAD16"/>
    <w:lvl w:ilvl="0" w:tplc="C73AB512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2CF24C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A41BA6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5C38FE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E8CB9C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D231DE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2CEDFA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EE5F78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3A646E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2E691F"/>
    <w:multiLevelType w:val="hybridMultilevel"/>
    <w:tmpl w:val="42C62A2C"/>
    <w:lvl w:ilvl="0" w:tplc="5E905578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AA94E4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460138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56B056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44F2BC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F4FFB8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5A4E32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ACA86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4616E2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E277EC"/>
    <w:multiLevelType w:val="hybridMultilevel"/>
    <w:tmpl w:val="A51EE1A4"/>
    <w:lvl w:ilvl="0" w:tplc="143CAC14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AE9E78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AC8CAA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70388A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34B480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E4C9B0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8C8522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8C34D0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F086B2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791960"/>
    <w:multiLevelType w:val="hybridMultilevel"/>
    <w:tmpl w:val="511884A8"/>
    <w:lvl w:ilvl="0" w:tplc="AAC4C2DC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A2E85C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44914A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AE24E4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38334E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8D62C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D615A2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FA620A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8A8106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6E5A77"/>
    <w:multiLevelType w:val="hybridMultilevel"/>
    <w:tmpl w:val="8BD0565E"/>
    <w:lvl w:ilvl="0" w:tplc="BB2C0D04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B0E160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4ED32E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7A1512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783B1A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0F560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267A58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F46454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BA29E8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C11E30"/>
    <w:multiLevelType w:val="hybridMultilevel"/>
    <w:tmpl w:val="81F4CD02"/>
    <w:lvl w:ilvl="0" w:tplc="5942A326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D481BE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858C6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D0D830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1A07E4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DCB68E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1EDFA4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54488E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0A2D86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CB0716"/>
    <w:multiLevelType w:val="hybridMultilevel"/>
    <w:tmpl w:val="FE28EC04"/>
    <w:lvl w:ilvl="0" w:tplc="E4FC48DA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48F540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D48D98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76E464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16E1DE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7EBC04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3CA186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D23BE2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345750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6C55AC"/>
    <w:multiLevelType w:val="hybridMultilevel"/>
    <w:tmpl w:val="F71806AC"/>
    <w:lvl w:ilvl="0" w:tplc="2CB45F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626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6C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8E8D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3426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CC6F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407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48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A47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2334D8"/>
    <w:multiLevelType w:val="hybridMultilevel"/>
    <w:tmpl w:val="268AD740"/>
    <w:lvl w:ilvl="0" w:tplc="6B80753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94A2FA">
      <w:start w:val="1"/>
      <w:numFmt w:val="bullet"/>
      <w:lvlText w:val="o"/>
      <w:lvlJc w:val="left"/>
      <w:pPr>
        <w:ind w:left="1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A5B28">
      <w:start w:val="1"/>
      <w:numFmt w:val="bullet"/>
      <w:lvlText w:val="▪"/>
      <w:lvlJc w:val="left"/>
      <w:pPr>
        <w:ind w:left="2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367B50">
      <w:start w:val="1"/>
      <w:numFmt w:val="bullet"/>
      <w:lvlText w:val="•"/>
      <w:lvlJc w:val="left"/>
      <w:pPr>
        <w:ind w:left="2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6EF01C">
      <w:start w:val="1"/>
      <w:numFmt w:val="bullet"/>
      <w:lvlText w:val="o"/>
      <w:lvlJc w:val="left"/>
      <w:pPr>
        <w:ind w:left="3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BE9C26">
      <w:start w:val="1"/>
      <w:numFmt w:val="bullet"/>
      <w:lvlText w:val="▪"/>
      <w:lvlJc w:val="left"/>
      <w:pPr>
        <w:ind w:left="4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BC013A">
      <w:start w:val="1"/>
      <w:numFmt w:val="bullet"/>
      <w:lvlText w:val="•"/>
      <w:lvlJc w:val="left"/>
      <w:pPr>
        <w:ind w:left="4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D2E45E">
      <w:start w:val="1"/>
      <w:numFmt w:val="bullet"/>
      <w:lvlText w:val="o"/>
      <w:lvlJc w:val="left"/>
      <w:pPr>
        <w:ind w:left="5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A6B924">
      <w:start w:val="1"/>
      <w:numFmt w:val="bullet"/>
      <w:lvlText w:val="▪"/>
      <w:lvlJc w:val="left"/>
      <w:pPr>
        <w:ind w:left="6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C00C14"/>
    <w:multiLevelType w:val="hybridMultilevel"/>
    <w:tmpl w:val="066CA9F6"/>
    <w:lvl w:ilvl="0" w:tplc="D5EC7D3E">
      <w:start w:val="1"/>
      <w:numFmt w:val="bullet"/>
      <w:lvlText w:val="•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BC69A0">
      <w:start w:val="1"/>
      <w:numFmt w:val="bullet"/>
      <w:lvlText w:val="o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ACA464">
      <w:start w:val="1"/>
      <w:numFmt w:val="bullet"/>
      <w:lvlText w:val="▪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06C414">
      <w:start w:val="1"/>
      <w:numFmt w:val="bullet"/>
      <w:lvlText w:val="•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5E40E6">
      <w:start w:val="1"/>
      <w:numFmt w:val="bullet"/>
      <w:lvlText w:val="o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600752">
      <w:start w:val="1"/>
      <w:numFmt w:val="bullet"/>
      <w:lvlText w:val="▪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B8D7C4">
      <w:start w:val="1"/>
      <w:numFmt w:val="bullet"/>
      <w:lvlText w:val="•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329CE6">
      <w:start w:val="1"/>
      <w:numFmt w:val="bullet"/>
      <w:lvlText w:val="o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E1CE0">
      <w:start w:val="1"/>
      <w:numFmt w:val="bullet"/>
      <w:lvlText w:val="▪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492391">
    <w:abstractNumId w:val="5"/>
  </w:num>
  <w:num w:numId="2" w16cid:durableId="753598731">
    <w:abstractNumId w:val="4"/>
  </w:num>
  <w:num w:numId="3" w16cid:durableId="537397097">
    <w:abstractNumId w:val="6"/>
  </w:num>
  <w:num w:numId="4" w16cid:durableId="1318269878">
    <w:abstractNumId w:val="1"/>
  </w:num>
  <w:num w:numId="5" w16cid:durableId="35739074">
    <w:abstractNumId w:val="8"/>
  </w:num>
  <w:num w:numId="6" w16cid:durableId="663973261">
    <w:abstractNumId w:val="11"/>
  </w:num>
  <w:num w:numId="7" w16cid:durableId="233004713">
    <w:abstractNumId w:val="2"/>
  </w:num>
  <w:num w:numId="8" w16cid:durableId="1716540878">
    <w:abstractNumId w:val="0"/>
  </w:num>
  <w:num w:numId="9" w16cid:durableId="1315111740">
    <w:abstractNumId w:val="10"/>
  </w:num>
  <w:num w:numId="10" w16cid:durableId="1101991397">
    <w:abstractNumId w:val="7"/>
  </w:num>
  <w:num w:numId="11" w16cid:durableId="1672635128">
    <w:abstractNumId w:val="3"/>
  </w:num>
  <w:num w:numId="12" w16cid:durableId="1797140396">
    <w:abstractNumId w:val="12"/>
  </w:num>
  <w:num w:numId="13" w16cid:durableId="1466776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70"/>
    <w:rsid w:val="000A5185"/>
    <w:rsid w:val="00557E70"/>
    <w:rsid w:val="00AF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0ABF"/>
  <w15:docId w15:val="{201738D1-643E-4655-BF82-C07BA447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69" w:lineRule="auto"/>
      <w:ind w:left="269" w:right="92" w:hanging="269"/>
    </w:pPr>
    <w:rPr>
      <w:rFonts w:ascii="Calibri" w:eastAsia="Calibri" w:hAnsi="Calibri" w:cs="Calibri"/>
      <w:color w:val="222222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4" w:line="259" w:lineRule="auto"/>
      <w:ind w:left="10" w:hanging="10"/>
      <w:outlineLvl w:val="0"/>
    </w:pPr>
    <w:rPr>
      <w:rFonts w:ascii="Calibri" w:eastAsia="Calibri" w:hAnsi="Calibri" w:cs="Calibri"/>
      <w:b/>
      <w:color w:val="FFFFFF"/>
      <w:sz w:val="20"/>
      <w:shd w:val="clear" w:color="auto" w:fill="A100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7" w:line="259" w:lineRule="auto"/>
      <w:ind w:left="10" w:hanging="10"/>
      <w:outlineLvl w:val="1"/>
    </w:pPr>
    <w:rPr>
      <w:rFonts w:ascii="Calibri" w:eastAsia="Calibri" w:hAnsi="Calibri" w:cs="Calibri"/>
      <w:b/>
      <w:color w:val="1B2A4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B2A4A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0"/>
      <w:shd w:val="clear" w:color="auto" w:fill="A1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sagar sahu</cp:lastModifiedBy>
  <cp:revision>2</cp:revision>
  <dcterms:created xsi:type="dcterms:W3CDTF">2026-08-21T15:44:00Z</dcterms:created>
  <dcterms:modified xsi:type="dcterms:W3CDTF">2026-08-21T15:44:00Z</dcterms:modified>
</cp:coreProperties>
</file>