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365D"/>
          <w:sz w:val="36"/>
          <w:szCs w:val="36"/>
        </w:rPr>
        <w:t xml:space="preserve">Configurable Aggregate Report — Class Summary</w:t>
      </w:r>
    </w:p>
    <w:p>
      <w:pPr>
        <w:spacing w:after="60"/>
      </w:pPr>
      <w:r>
        <w:rPr>
          <w:rFonts w:ascii="Arial" w:cs="Arial" w:eastAsia="Arial" w:hAnsi="Arial"/>
          <w:color w:val="718096"/>
          <w:sz w:val="20"/>
          <w:szCs w:val="20"/>
        </w:rPr>
        <w:t xml:space="preserve">src/main/java  ·  32 classes  ·  Ordered by execution flow</w:t>
      </w:r>
    </w:p>
    <w:p>
      <w:pPr>
        <w:pBdr>
          <w:bottom w:val="single" w:color="2B6CB0" w:sz="6" w:space="1"/>
        </w:pBdr>
        <w:spacing w:after="240"/>
      </w:pPr>
      <w:r>
        <w:t xml:space="preserve"/>
      </w:r>
    </w:p>
    <w:p>
      <w:pPr>
        <w:spacing w:after="300"/>
      </w:pPr>
      <w:r>
        <w:rPr>
          <w:rFonts w:ascii="Arial" w:cs="Arial" w:eastAsia="Arial" w:hAnsi="Arial"/>
          <w:color w:val="2D3748"/>
          <w:sz w:val="20"/>
          <w:szCs w:val="20"/>
        </w:rPr>
        <w:t xml:space="preserve">Each row describes one Java source file. Classes are grouped by package and ordered by the sequence in which they are invoked during a typical plugin execution — from entry point through parsing, UI rendering, CLI pipeline, and AI report generation.</w:t>
      </w:r>
    </w:p>
    <w:p>
      <w:pPr>
        <w:pStyle w:val="Heading2"/>
      </w:pPr>
      <w:r>
        <w:rPr>
          <w:rFonts w:ascii="Arial" w:cs="Arial" w:eastAsia="Arial" w:hAnsi="Arial"/>
          <w:b/>
          <w:bCs/>
          <w:color w:val="2B6CB0"/>
          <w:sz w:val="26"/>
          <w:szCs w:val="26"/>
        </w:rPr>
        <w:t xml:space="preserve">Package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com.personal.jmeter.listener</w:t>
            </w:r>
          </w:p>
        </w:tc>
        <w:tc>
          <w:tcPr>
            <w:tcW w:type="dxa" w:w="716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val="false"/>
                <w:iCs w:val="false"/>
                <w:color w:val="2D3748"/>
                <w:sz w:val="19"/>
                <w:szCs w:val="19"/>
              </w:rPr>
              <w:t xml:space="preserve">JMeter plugin GUI, UI panel, table, SLA, CSV export</w:t>
            </w:r>
          </w:p>
        </w:tc>
      </w:tr>
      <w:tr>
        <w:tc>
          <w:tcPr>
            <w:tcW w:type="dxa" w:w="22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com.personal.jmeter.parser</w:t>
            </w:r>
          </w:p>
        </w:tc>
        <w:tc>
          <w:tcPr>
            <w:tcW w:type="dxa" w:w="71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D3748"/>
                <w:sz w:val="19"/>
                <w:szCs w:val="19"/>
              </w:rPr>
              <w:t xml:space="preserve">Two-pass JTL file parsing and aggregation</w:t>
            </w:r>
          </w:p>
        </w:tc>
      </w:tr>
      <w:tr>
        <w:tc>
          <w:tcPr>
            <w:tcW w:type="dxa" w:w="22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com.personal.jmeter.cli</w:t>
            </w:r>
          </w:p>
        </w:tc>
        <w:tc>
          <w:tcPr>
            <w:tcW w:type="dxa" w:w="716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val="false"/>
                <w:iCs w:val="false"/>
                <w:color w:val="2D3748"/>
                <w:sz w:val="19"/>
                <w:szCs w:val="19"/>
              </w:rPr>
              <w:t xml:space="preserve">Headless CLI pipeline, argument parsing, and entry point</w:t>
            </w:r>
          </w:p>
        </w:tc>
      </w:tr>
      <w:tr>
        <w:tc>
          <w:tcPr>
            <w:tcW w:type="dxa" w:w="22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com.personal.jmeter.ai</w:t>
            </w:r>
          </w:p>
        </w:tc>
        <w:tc>
          <w:tcPr>
            <w:tcW w:type="dxa" w:w="71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D3748"/>
                <w:sz w:val="19"/>
                <w:szCs w:val="19"/>
              </w:rPr>
              <w:t xml:space="preserve">AI provider management, prompt building, and HTML report rendering</w:t>
            </w:r>
          </w:p>
        </w:tc>
      </w:tr>
    </w:tbl>
    <w:p>
      <w:pPr>
        <w:spacing w:after="320"/>
      </w:pPr>
      <w:r>
        <w:t xml:space="preserve"/>
      </w:r>
    </w:p>
    <w:p>
      <w:pPr>
        <w:pStyle w:val="Heading2"/>
      </w:pPr>
      <w:r>
        <w:rPr>
          <w:rFonts w:ascii="Arial" w:cs="Arial" w:eastAsia="Arial" w:hAnsi="Arial"/>
          <w:b/>
          <w:bCs/>
          <w:color w:val="2B6CB0"/>
          <w:sz w:val="26"/>
          <w:szCs w:val="26"/>
        </w:rPr>
        <w:t xml:space="preserve">Class Responsibilities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Class / Interface</w:t>
            </w:r>
          </w:p>
        </w:tc>
        <w:tc>
          <w:tcPr>
            <w:tcW w:type="dxa" w:w="140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Package</w:t>
            </w:r>
          </w:p>
        </w:tc>
        <w:tc>
          <w:tcPr>
            <w:tcW w:type="dxa" w:w="536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Responsibility</w:t>
            </w:r>
          </w:p>
        </w:tc>
      </w:tr>
      <w:tr>
        <w:tc>
          <w:tcPr>
            <w:tcW w:type="dxa" w:w="9360"/>
            <w:gridSpan w:val="3"/>
            <w:tcBorders>
              <w:top w:val="single" w:color="BEE3F8" w:sz="1"/>
              <w:left w:val="single" w:color="BEE3F8" w:sz="1"/>
              <w:bottom w:val="single" w:color="BEE3F8" w:sz="1"/>
              <w:right w:val="single" w:color="BEE3F8"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  Entry Points  (com.personal.jmeter.entry)</w:t>
            </w:r>
          </w:p>
        </w:tc>
      </w:tr>
      <w:tr>
        <w:tc>
          <w:tcPr>
            <w:tcW w:type="dxa" w:w="2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ListenerGUI</w:t>
            </w:r>
          </w:p>
        </w:tc>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listener</w:t>
            </w:r>
          </w:p>
        </w:tc>
        <w:tc>
          <w:tcPr>
            <w:tcW w:type="dxa" w:w="53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JMeter plugin entry point (GUI mode). Registers the listener in JMeter, manages the full lifecycle (configure, modifyTestElement, clearGui, clearData), persists all UI state to the .jmx file, and coordinates state restoration on tree navigation.</w:t>
            </w:r>
          </w:p>
        </w:tc>
      </w:tr>
      <w:tr>
        <w:tc>
          <w:tcPr>
            <w:tcW w:type="dxa" w:w="26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Main</w:t>
            </w:r>
          </w:p>
        </w:tc>
        <w:tc>
          <w:tcPr>
            <w:tcW w:type="dxa" w:w="14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cli</w:t>
            </w:r>
          </w:p>
        </w:tc>
        <w:tc>
          <w:tcPr>
            <w:tcW w:type="dxa" w:w="536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Command-line entry point (CLI mode). Parses arguments via CliArgs, delegates execution to CliReportPipeline, prints the report path and VERDICT to stdout, and maps outcomes to exit codes (0=PASS, 1=FAIL, 2=UNDECISIVE, 3–6=errors).</w:t>
            </w:r>
          </w:p>
        </w:tc>
      </w:tr>
      <w:tr>
        <w:tc>
          <w:tcPr>
            <w:tcW w:type="dxa" w:w="9360"/>
            <w:gridSpan w:val="3"/>
            <w:tcBorders>
              <w:top w:val="single" w:color="BEE3F8" w:sz="1"/>
              <w:left w:val="single" w:color="BEE3F8" w:sz="1"/>
              <w:bottom w:val="single" w:color="BEE3F8" w:sz="1"/>
              <w:right w:val="single" w:color="BEE3F8"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  Parser  (com.personal.jmeter.parser)</w:t>
            </w:r>
          </w:p>
        </w:tc>
      </w:tr>
      <w:tr>
        <w:tc>
          <w:tcPr>
            <w:tcW w:type="dxa" w:w="2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JTLParser</w:t>
            </w:r>
          </w:p>
        </w:tc>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parser</w:t>
            </w:r>
          </w:p>
        </w:tc>
        <w:tc>
          <w:tcPr>
            <w:tcW w:type="dxa" w:w="53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Two-pass CSV parser for JTL files. Pass 1 collects all labels, minimum timestamp, and sub-result labels. Pass 2 aggregates filtered samples into SamplingStatCalculator instances, 30-second time buckets, error type counts, and Latency/Connect averages.</w:t>
            </w:r>
          </w:p>
        </w:tc>
      </w:tr>
      <w:tr>
        <w:tc>
          <w:tcPr>
            <w:tcW w:type="dxa" w:w="26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JtlParserCore</w:t>
            </w:r>
          </w:p>
        </w:tc>
        <w:tc>
          <w:tcPr>
            <w:tcW w:type="dxa" w:w="14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parser</w:t>
            </w:r>
          </w:p>
        </w:tc>
        <w:tc>
          <w:tcPr>
            <w:tcW w:type="dxa" w:w="536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Low-level CSV parsing helpers extracted from JTLParser. Provides per-line parsing, column-map construction, include/exclude filtering, elapsed extraction, and time-bucket assembly. All methods are package-private statics.</w:t>
            </w:r>
          </w:p>
        </w:tc>
      </w:tr>
      <w:tr>
        <w:tc>
          <w:tcPr>
            <w:tcW w:type="dxa" w:w="2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JtlParseException</w:t>
            </w:r>
          </w:p>
        </w:tc>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parser</w:t>
            </w:r>
          </w:p>
        </w:tc>
        <w:tc>
          <w:tcPr>
            <w:tcW w:type="dxa" w:w="53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Typed IOException thrown when a JTL file is empty, unreadable, or contains no valid data rows. Allows Main to map parse failures to EXIT_PARSE_ERROR without string-matching exception messages.</w:t>
            </w:r>
          </w:p>
        </w:tc>
      </w:tr>
      <w:tr>
        <w:tc>
          <w:tcPr>
            <w:tcW w:type="dxa" w:w="9360"/>
            <w:gridSpan w:val="3"/>
            <w:tcBorders>
              <w:top w:val="single" w:color="BEE3F8" w:sz="1"/>
              <w:left w:val="single" w:color="BEE3F8" w:sz="1"/>
              <w:bottom w:val="single" w:color="BEE3F8" w:sz="1"/>
              <w:right w:val="single" w:color="BEE3F8"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  Listener / UI  (com.personal.jmeter.listener)</w:t>
            </w:r>
          </w:p>
        </w:tc>
      </w:tr>
      <w:tr>
        <w:tc>
          <w:tcPr>
            <w:tcW w:type="dxa" w:w="2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ListenerCollector</w:t>
            </w:r>
          </w:p>
        </w:tc>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listener</w:t>
            </w:r>
          </w:p>
        </w:tc>
        <w:tc>
          <w:tcPr>
            <w:tcW w:type="dxa" w:w="53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JMeter ResultCollector subclass that persists all 11 UI configuration properties to the .jmx file. Defines the property key constants used by ListenerGUI for modifyTestElement and configure.</w:t>
            </w:r>
          </w:p>
        </w:tc>
      </w:tr>
      <w:tr>
        <w:tc>
          <w:tcPr>
            <w:tcW w:type="dxa" w:w="26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AggregateReportPanel</w:t>
            </w:r>
          </w:p>
        </w:tc>
        <w:tc>
          <w:tcPr>
            <w:tcW w:type="dxa" w:w="14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listener</w:t>
            </w:r>
          </w:p>
        </w:tc>
        <w:tc>
          <w:tcPr>
            <w:tcW w:type="dxa" w:w="536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Central Swing panel hosting the filter fields, time info, SLA inputs, results table, and action buttons. Orchestrates all collaborators (TablePopulator, CsvExporter, AiReportLauncher) and owns all cached JTL state.</w:t>
            </w:r>
          </w:p>
        </w:tc>
      </w:tr>
      <w:tr>
        <w:tc>
          <w:tcPr>
            <w:tcW w:type="dxa" w:w="2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ReportPanelBuilder</w:t>
            </w:r>
          </w:p>
        </w:tc>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listener</w:t>
            </w:r>
          </w:p>
        </w:tc>
        <w:tc>
          <w:tcPr>
            <w:tcW w:type="dxa" w:w="53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Constructs and lays out all Swing sub-panels and the table scroll pane for AggregateReportPanel. Purely responsible for UI assembly — no business logic or I/O.</w:t>
            </w:r>
          </w:p>
        </w:tc>
      </w:tr>
      <w:tr>
        <w:tc>
          <w:tcPr>
            <w:tcW w:type="dxa" w:w="26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TablePopulator</w:t>
            </w:r>
          </w:p>
        </w:tc>
        <w:tc>
          <w:tcPr>
            <w:tcW w:type="dxa" w:w="14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listener</w:t>
            </w:r>
          </w:p>
        </w:tc>
        <w:tc>
          <w:tcPr>
            <w:tcW w:type="dxa" w:w="536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Populates the results table from SamplingStatCalculator data, handles column-header sort cycling, manages column visibility toggling, and provides row snapshots for CSV and AI report use.</w:t>
            </w:r>
          </w:p>
        </w:tc>
      </w:tr>
      <w:tr>
        <w:tc>
          <w:tcPr>
            <w:tcW w:type="dxa" w:w="2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TransactionFilter</w:t>
            </w:r>
          </w:p>
        </w:tc>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listener</w:t>
            </w:r>
          </w:p>
        </w:tc>
        <w:tc>
          <w:tcPr>
            <w:tcW w:type="dxa" w:w="53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Stateless utility that matches a transaction label against a plain-text or regex search pattern. Caches compiled patterns up to a configurable limit to avoid recompilation on every table row during live search.</w:t>
            </w:r>
          </w:p>
        </w:tc>
      </w:tr>
      <w:tr>
        <w:tc>
          <w:tcPr>
            <w:tcW w:type="dxa" w:w="26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SlaConfig</w:t>
            </w:r>
          </w:p>
        </w:tc>
        <w:tc>
          <w:tcPr>
            <w:tcW w:type="dxa" w:w="14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listener</w:t>
            </w:r>
          </w:p>
        </w:tc>
        <w:tc>
          <w:tcPr>
            <w:tcW w:type="dxa" w:w="536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Immutable snapshot of the active SLA thresholds (error % and response time). Built from raw field values by AggregateReportPanel and consumed by SlaRowRenderer to decide which cells to highlight.</w:t>
            </w:r>
          </w:p>
        </w:tc>
      </w:tr>
      <w:tr>
        <w:tc>
          <w:tcPr>
            <w:tcW w:type="dxa" w:w="2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SlaRowRenderer</w:t>
            </w:r>
          </w:p>
        </w:tc>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listener</w:t>
            </w:r>
          </w:p>
        </w:tc>
        <w:tc>
          <w:tcPr>
            <w:tcW w:type="dxa" w:w="53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Swing table cell renderer that highlights breaching cells in red bold. Reads SlaConfig on every paint call via a Supplier so threshold changes take effect immediately without a full table repopulate.</w:t>
            </w:r>
          </w:p>
        </w:tc>
      </w:tr>
      <w:tr>
        <w:tc>
          <w:tcPr>
            <w:tcW w:type="dxa" w:w="26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CsvExporter</w:t>
            </w:r>
          </w:p>
        </w:tc>
        <w:tc>
          <w:tcPr>
            <w:tcW w:type="dxa" w:w="14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listener</w:t>
            </w:r>
          </w:p>
        </w:tc>
        <w:tc>
          <w:tcPr>
            <w:tcW w:type="dxa" w:w="536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Opens a save dialog and writes the currently visible table columns to a UTF-8 CSV file. Applies RFC 4180 escaping to every cell value. Only visible columns are exported.</w:t>
            </w:r>
          </w:p>
        </w:tc>
      </w:tr>
      <w:tr>
        <w:tc>
          <w:tcPr>
            <w:tcW w:type="dxa" w:w="2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AiReportLauncher</w:t>
            </w:r>
          </w:p>
        </w:tc>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listener</w:t>
            </w:r>
          </w:p>
        </w:tc>
        <w:tc>
          <w:tcPr>
            <w:tcW w:type="dxa" w:w="53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Handles the Generate AI Report button workflow: validates provider selection, pings the API key, loads the prompt, builds the ReportContext, shows the progress dialog, and wires up AiReportCoordinator.</w:t>
            </w:r>
          </w:p>
        </w:tc>
      </w:tr>
      <w:tr>
        <w:tc>
          <w:tcPr>
            <w:tcW w:type="dxa" w:w="26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FilePanelCustomizer</w:t>
            </w:r>
          </w:p>
        </w:tc>
        <w:tc>
          <w:tcPr>
            <w:tcW w:type="dxa" w:w="14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listener</w:t>
            </w:r>
          </w:p>
        </w:tc>
        <w:tc>
          <w:tcPr>
            <w:tcW w:type="dxa" w:w="536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Static utility that surgically modifies the AbstractVisualizer FilePanel — hides irrelevant controls (Log/Display Only, Errors, Successes, Configure) and overrides the Browse button to open a file chooser starting in the current file's directory.</w:t>
            </w:r>
          </w:p>
        </w:tc>
      </w:tr>
      <w:tr>
        <w:tc>
          <w:tcPr>
            <w:tcW w:type="dxa" w:w="2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ScenarioMetadata</w:t>
            </w:r>
          </w:p>
        </w:tc>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listener</w:t>
            </w:r>
          </w:p>
        </w:tc>
        <w:tc>
          <w:tcPr>
            <w:tcW w:type="dxa" w:w="53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Immutable value object carrying test-plan name, description, virtual-user count, and first thread-group name. Read from the live JMeter tree by ListenerGUI and passed to AiReportLauncher for inclusion in the AI prompt.</w:t>
            </w:r>
          </w:p>
        </w:tc>
      </w:tr>
      <w:tr>
        <w:tc>
          <w:tcPr>
            <w:tcW w:type="dxa" w:w="26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SimpleDocListener</w:t>
            </w:r>
          </w:p>
        </w:tc>
        <w:tc>
          <w:tcPr>
            <w:tcW w:type="dxa" w:w="14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listener</w:t>
            </w:r>
          </w:p>
        </w:tc>
        <w:tc>
          <w:tcPr>
            <w:tcW w:type="dxa" w:w="536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Functional interface extending Swing DocumentListener. Collapses all three document events (insert, remove, change) into a single onUpdate() callback, eliminating repetitive anonymous class boilerplate in AggregateReportPanel.</w:t>
            </w:r>
          </w:p>
        </w:tc>
      </w:tr>
      <w:tr>
        <w:tc>
          <w:tcPr>
            <w:tcW w:type="dxa" w:w="9360"/>
            <w:gridSpan w:val="3"/>
            <w:tcBorders>
              <w:top w:val="single" w:color="BEE3F8" w:sz="1"/>
              <w:left w:val="single" w:color="BEE3F8" w:sz="1"/>
              <w:bottom w:val="single" w:color="BEE3F8" w:sz="1"/>
              <w:right w:val="single" w:color="BEE3F8"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  CLI  (com.personal.jmeter.cli)</w:t>
            </w:r>
          </w:p>
        </w:tc>
      </w:tr>
      <w:tr>
        <w:tc>
          <w:tcPr>
            <w:tcW w:type="dxa" w:w="2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CliArgs</w:t>
            </w:r>
          </w:p>
        </w:tc>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cli</w:t>
            </w:r>
          </w:p>
        </w:tc>
        <w:tc>
          <w:tcPr>
            <w:tcW w:type="dxa" w:w="53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Parses and validates raw command-line arguments for CLI mode. Uses a plain switch loop — no external libraries. Exposes typed accessors for all 17 arguments and collects validation errors for bulk reporting.</w:t>
            </w:r>
          </w:p>
        </w:tc>
      </w:tr>
      <w:tr>
        <w:tc>
          <w:tcPr>
            <w:tcW w:type="dxa" w:w="26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CliReportPipeline</w:t>
            </w:r>
          </w:p>
        </w:tc>
        <w:tc>
          <w:tcPr>
            <w:tcW w:type="dxa" w:w="14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cli</w:t>
            </w:r>
          </w:p>
        </w:tc>
        <w:tc>
          <w:tcPr>
            <w:tcW w:type="dxa" w:w="536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Headless 9-step pipeline: parse JTL → build table rows → resolve provider → validate/ping → load prompt → call AI → extract verdict → strip verdict line → render HTML. Returns a PipelineResult carrying the output path and verdict (PASS/FAIL/UNDECISIVE).</w:t>
            </w:r>
          </w:p>
        </w:tc>
      </w:tr>
      <w:tr>
        <w:tc>
          <w:tcPr>
            <w:tcW w:type="dxa" w:w="9360"/>
            <w:gridSpan w:val="3"/>
            <w:tcBorders>
              <w:top w:val="single" w:color="BEE3F8" w:sz="1"/>
              <w:left w:val="single" w:color="BEE3F8" w:sz="1"/>
              <w:bottom w:val="single" w:color="BEE3F8" w:sz="1"/>
              <w:right w:val="single" w:color="BEE3F8"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  AI  (com.personal.jmeter.ai)</w:t>
            </w:r>
          </w:p>
        </w:tc>
      </w:tr>
      <w:tr>
        <w:tc>
          <w:tcPr>
            <w:tcW w:type="dxa" w:w="2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AiProviderRegistry</w:t>
            </w:r>
          </w:p>
        </w:tc>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ai</w:t>
            </w:r>
          </w:p>
        </w:tc>
        <w:tc>
          <w:tcPr>
            <w:tcW w:type="dxa" w:w="53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Reads ai-reporter.properties, discovers all providers whose api.key is non-blank, resolves per-provider defaults, and exposes an ordered provider list. Also performs structural key-format validation and live 1-token pings with detailed per-status error messages (401, 403, 404, 429, 500, 503, 408/504).</w:t>
            </w:r>
          </w:p>
        </w:tc>
      </w:tr>
      <w:tr>
        <w:tc>
          <w:tcPr>
            <w:tcW w:type="dxa" w:w="26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AiProviderConfig</w:t>
            </w:r>
          </w:p>
        </w:tc>
        <w:tc>
          <w:tcPr>
            <w:tcW w:type="dxa" w:w="14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ai</w:t>
            </w:r>
          </w:p>
        </w:tc>
        <w:tc>
          <w:tcPr>
            <w:tcW w:type="dxa" w:w="536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Immutable value object holding the fully-resolved configuration for one AI provider: key, display name, model, base URL, timeout, max tokens, and temperature. Validates all fields at construction and derives the chat-completions endpoint URL.</w:t>
            </w:r>
          </w:p>
        </w:tc>
      </w:tr>
      <w:tr>
        <w:tc>
          <w:tcPr>
            <w:tcW w:type="dxa" w:w="2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AiReportCoordinator</w:t>
            </w:r>
          </w:p>
        </w:tc>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ai</w:t>
            </w:r>
          </w:p>
        </w:tc>
        <w:tc>
          <w:tcPr>
            <w:tcW w:type="dxa" w:w="53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Orchestrates the GUI-mode AI report workflow on a background thread: builds the prompt, calls the AI API, renders the HTML report, prompts the user for a save path, and updates the progress dialog and trigger button on the EDT.</w:t>
            </w:r>
          </w:p>
        </w:tc>
      </w:tr>
      <w:tr>
        <w:tc>
          <w:tcPr>
            <w:tcW w:type="dxa" w:w="26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AiReportService</w:t>
            </w:r>
          </w:p>
        </w:tc>
        <w:tc>
          <w:tcPr>
            <w:tcW w:type="dxa" w:w="14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ai</w:t>
            </w:r>
          </w:p>
        </w:tc>
        <w:tc>
          <w:tcPr>
            <w:tcW w:type="dxa" w:w="536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Sends the two-part prompt to an OpenAI-compatible endpoint and returns the AI-generated Markdown. Implements retry logic for HTTP 429 and 5xx responses with up to 3 total attempts and a 2-second minimum delay between retries.</w:t>
            </w:r>
          </w:p>
        </w:tc>
      </w:tr>
      <w:tr>
        <w:tc>
          <w:tcPr>
            <w:tcW w:type="dxa" w:w="2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PromptLoader</w:t>
            </w:r>
          </w:p>
        </w:tc>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ai</w:t>
            </w:r>
          </w:p>
        </w:tc>
        <w:tc>
          <w:tcPr>
            <w:tcW w:type="dxa" w:w="53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Loads the system prompt from the bundled JAR classpath resource /ai-reporter-prompt.txt. Returns null if the resource is missing or empty so callers can show an appropriate error.</w:t>
            </w:r>
          </w:p>
        </w:tc>
      </w:tr>
      <w:tr>
        <w:tc>
          <w:tcPr>
            <w:tcW w:type="dxa" w:w="26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PromptBuilder</w:t>
            </w:r>
          </w:p>
        </w:tc>
        <w:tc>
          <w:tcPr>
            <w:tcW w:type="dxa" w:w="14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ai</w:t>
            </w:r>
          </w:p>
        </w:tc>
        <w:tc>
          <w:tcPr>
            <w:tcW w:type="dxa" w:w="536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Builds the two-part AI analysis prompt from aggregated JMeter results. The system message provides the analytical framework; the user message contains runtime test data including global stats, anomaly transactions, error endpoints, error type summary, and slowest endpoints as JSON.</w:t>
            </w:r>
          </w:p>
        </w:tc>
      </w:tr>
      <w:tr>
        <w:tc>
          <w:tcPr>
            <w:tcW w:type="dxa" w:w="2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PromptRequest</w:t>
            </w:r>
          </w:p>
        </w:tc>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ai</w:t>
            </w:r>
          </w:p>
        </w:tc>
        <w:tc>
          <w:tcPr>
            <w:tcW w:type="dxa" w:w="53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Immutable record grouping all scenario-level context fields for the AI prompt: users, scenario name, description, timing, thread group name, percentile, and SLA thresholds. Normalises nulls to empty strings or Not configured.</w:t>
            </w:r>
          </w:p>
        </w:tc>
      </w:tr>
      <w:tr>
        <w:tc>
          <w:tcPr>
            <w:tcW w:type="dxa" w:w="26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PromptContent</w:t>
            </w:r>
          </w:p>
        </w:tc>
        <w:tc>
          <w:tcPr>
            <w:tcW w:type="dxa" w:w="14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ai</w:t>
            </w:r>
          </w:p>
        </w:tc>
        <w:tc>
          <w:tcPr>
            <w:tcW w:type="dxa" w:w="536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Immutable record holding the two-part AI request payload: a static system prompt and a dynamic user message. Passed directly to AiReportService for serialisation into the OpenAI-compatible chat-completions API body.</w:t>
            </w:r>
          </w:p>
        </w:tc>
      </w:tr>
      <w:tr>
        <w:tc>
          <w:tcPr>
            <w:tcW w:type="dxa" w:w="2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HtmlReportRenderer</w:t>
            </w:r>
          </w:p>
        </w:tc>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ai</w:t>
            </w:r>
          </w:p>
        </w:tc>
        <w:tc>
          <w:tcPr>
            <w:tcW w:type="dxa" w:w="53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Converts AI-generated Markdown into a styled standalone HTML file and writes it atomically (write to .tmp then rename). Builds the Transaction Metrics table and delegates Markdown conversion and chart generation to HtmlPageBuilder.</w:t>
            </w:r>
          </w:p>
        </w:tc>
      </w:tr>
      <w:tr>
        <w:tc>
          <w:tcPr>
            <w:tcW w:type="dxa" w:w="26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HtmlPageBuilder</w:t>
            </w:r>
          </w:p>
        </w:tc>
        <w:tc>
          <w:tcPr>
            <w:tcW w:type="dxa" w:w="14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ai</w:t>
            </w:r>
          </w:p>
        </w:tc>
        <w:tc>
          <w:tcPr>
            <w:tcW w:type="dxa" w:w="536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Assembles the complete HTML report page from its parts: converts Markdown (including GFM pipe tables) to HTML, builds the four Chart.js time-series chart blocks, and composes the final document with CSS, metadata header, and footer.</w:t>
            </w:r>
          </w:p>
        </w:tc>
      </w:tr>
      <w:tr>
        <w:tc>
          <w:tcPr>
            <w:tcW w:type="dxa" w:w="2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SharedHttpClient</w:t>
            </w:r>
          </w:p>
        </w:tc>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ai</w:t>
            </w:r>
          </w:p>
        </w:tc>
        <w:tc>
          <w:tcPr>
            <w:tcW w:type="dxa" w:w="53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Singleton Java HttpClient shared across AiReportService and AiProviderRegistry. Uses a 15-second connect timeout, enabling connection-pool reuse across report generation and provider pings to avoid redundant TLS handshakes.</w:t>
            </w:r>
          </w:p>
        </w:tc>
      </w:tr>
      <w:tr>
        <w:tc>
          <w:tcPr>
            <w:tcW w:type="dxa" w:w="26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AiProviderException</w:t>
            </w:r>
          </w:p>
        </w:tc>
        <w:tc>
          <w:tcPr>
            <w:tcW w:type="dxa" w:w="140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ai</w:t>
            </w:r>
          </w:p>
        </w:tc>
        <w:tc>
          <w:tcPr>
            <w:tcW w:type="dxa" w:w="5360"/>
            <w:tcBorders>
              <w:top w:val="single" w:color="BEE3F8" w:sz="1"/>
              <w:left w:val="single" w:color="BEE3F8" w:sz="1"/>
              <w:bottom w:val="single" w:color="BEE3F8" w:sz="1"/>
              <w:right w:val="single" w:color="BEE3F8" w:sz="1"/>
            </w:tcBorders>
            <w:shd w:fill="EBF4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Typed IOException thrown for configuration-time AI provider failures: provider not found, API key format invalid, or live ping rejected. Allows Main to map provider failures to EXIT_AI_ERROR without string-matching.</w:t>
            </w:r>
          </w:p>
        </w:tc>
      </w:tr>
      <w:tr>
        <w:tc>
          <w:tcPr>
            <w:tcW w:type="dxa" w:w="2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bCs/>
                <w:i w:val="false"/>
                <w:iCs w:val="false"/>
                <w:color w:val="1A365D"/>
                <w:sz w:val="19"/>
                <w:szCs w:val="19"/>
              </w:rPr>
              <w:t xml:space="preserve">AiServiceException</w:t>
            </w:r>
          </w:p>
        </w:tc>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iCs/>
                <w:color w:val="4A5568"/>
                <w:sz w:val="18"/>
                <w:szCs w:val="18"/>
              </w:rPr>
              <w:t xml:space="preserve">ai</w:t>
            </w:r>
          </w:p>
        </w:tc>
        <w:tc>
          <w:tcPr>
            <w:tcW w:type="dxa" w:w="53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202C"/>
                <w:sz w:val="19"/>
                <w:szCs w:val="19"/>
              </w:rPr>
              <w:t xml:space="preserve">Typed IOException thrown for runtime AI API failures: HTTP error responses, empty content, or retry exhaustion. Distinct from AiProviderException which covers pre-call configuration failures.</w:t>
            </w:r>
          </w:p>
        </w:tc>
      </w:tr>
    </w:tbl>
    <w:p>
      <w:pPr>
        <w:spacing w:after="200"/>
      </w:pPr>
      <w:r>
        <w:t xml:space="preserve"/>
      </w:r>
    </w:p>
    <w:p>
      <w:pPr>
        <w:pBdr>
          <w:top w:val="single" w:color="BEE3F8" w:sz="4" w:space="1"/>
        </w:pBdr>
        <w:spacing w:before="200"/>
      </w:pPr>
      <w:r>
        <w:rPr>
          <w:rFonts w:ascii="Arial" w:cs="Arial" w:eastAsia="Arial" w:hAnsi="Arial"/>
          <w:color w:val="718096"/>
          <w:sz w:val="17"/>
          <w:szCs w:val="17"/>
        </w:rPr>
        <w:t xml:space="preserve">All classes reside under src/main/java/com/personal/jmeter/. Resource files (ai-reporter-prompt.txt, ai-reporter.properties) and the META-INF service registration are not listed here as they are not Java classes.</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18096"/>
        <w:sz w:val="16"/>
        <w:szCs w:val="16"/>
      </w:rPr>
      <w:t xml:space="preserve">Configurable Aggregate Report Plugin  |  Class Summary  |  Page </w:t>
    </w:r>
    <w:r>
      <w:rPr>
        <w:rFonts w:ascii="Arial" w:cs="Arial" w:eastAsia="Arial" w:hAnsi="Arial"/>
        <w:color w:val="718096"/>
        <w:sz w:val="16"/>
        <w:szCs w:val="16"/>
      </w:rPr>
      <w:fldChar w:fldCharType="begin"/>
      <w:instrText xml:space="preserve">PAGE</w:instrText>
      <w:fldChar w:fldCharType="separate"/>
      <w:fldChar w:fldCharType="end"/>
    </w:r>
    <w:r>
      <w:rPr>
        <w:rFonts w:ascii="Arial" w:cs="Arial" w:eastAsia="Arial" w:hAnsi="Arial"/>
        <w:color w:val="718096"/>
        <w:sz w:val="16"/>
        <w:szCs w:val="16"/>
      </w:rPr>
      <w:t xml:space="preserve"> of </w:t>
    </w:r>
    <w:r>
      <w:rPr>
        <w:rFonts w:ascii="Arial" w:cs="Arial" w:eastAsia="Arial" w:hAnsi="Arial"/>
        <w:color w:val="7180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A365D"/>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2B6C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2026-03-12T22:24:58.029Z</dcterms:created>
  <dcterms:modified xsi:type="dcterms:W3CDTF">2026-03-12T22:24:58.030Z</dcterms:modified>
</cp:coreProperties>
</file>

<file path=docProps/custom.xml><?xml version="1.0" encoding="utf-8"?>
<Properties xmlns="http://schemas.openxmlformats.org/officeDocument/2006/custom-properties" xmlns:vt="http://schemas.openxmlformats.org/officeDocument/2006/docPropsVTypes"/>
</file>