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 FNOL Triage &amp; Adjuster Assignment</w:t>
      </w:r>
    </w:p>
    <w:p>
      <w:pPr>
        <w:jc w:val="center"/>
      </w:pPr>
      <w:r>
        <w:rPr>
          <w:i/>
          <w:sz w:val="26"/>
        </w:rPr>
        <w:t>Solution Design Document | Insurance IQ Solution Accelerator</w:t>
      </w:r>
    </w:p>
    <w:p>
      <w:pPr>
        <w:jc w:val="center"/>
      </w:pPr>
      <w:r>
        <w:rPr>
          <w:color w:val="808080"/>
          <w:sz w:val="20"/>
        </w:rPr>
        <w:t>Target tenant: sagarbathe@mngenvmcap146722.onmicrosoft.com</w:t>
      </w:r>
    </w:p>
    <w:p/>
    <w:p>
      <w:pPr>
        <w:pStyle w:val="Heading1"/>
      </w:pPr>
      <w:r>
        <w:t>1. Executive Summary</w:t>
      </w:r>
    </w:p>
    <w:p>
      <w:r>
        <w:t>This document describes the design for an Auto First Notice of Loss (FNOL) Triage &amp; Adjuster Assignment solution, built on the Microsoft IQ Solution Accelerator pattern. When a policyholder reports a car accident or damage (an FNOL), the solution automatically verifies coverage, assesses severity and fraud/subrogation risk, assigns the claim to an available adjuster, and drafts claimant/adjuster communications — reducing manual triage time and cycle time to first contact.</w:t>
      </w:r>
    </w:p>
    <w:p>
      <w:r>
        <w:t>The solution unifies three Microsoft “IQ” pillars behind a single Copilot Studio Agent: Fabric IQ (structured claims/policy data and ontology), Foundry IQ (policy wording and regulatory knowledge with citations), and Work IQ (Outlook/Teams/SharePoint context via Microsoft Graph). Prerequisites and step-by-step deployment instructions for the sagarbathe tenant are covered in a separate Prerequisites document (Step 2).</w:t>
      </w:r>
    </w:p>
    <w:p>
      <w:r>
        <w:t>Validation status: Foundry IQ knowledge agent and Fabric IQ ontology data agent are confirmed working end-to-end in Microsoft Teams as of 2026-08-11. Work IQ M365 Copilot Search and Outlook Mail MCP tools are wired into the Copilot Studio orchestrator and ready to demonstrate.</w:t>
      </w:r>
    </w:p>
    <w:p>
      <w:pPr>
        <w:pStyle w:val="Heading1"/>
      </w:pPr>
      <w:r>
        <w:t>2. Business Scenario &amp; Objectives</w:t>
      </w:r>
    </w:p>
    <w:p>
      <w:r>
        <w:t>A claimant emails or submits an FNOL through a portal after an auto accident. Today, an intake specialist manually verifies the policy, checks coverage and exclusions, estimates severity, and assigns an adjuster — a process that can take hours and is inconsistent across staff. The goal is to compress this into a near-real-time, AI-assisted triage step with a human adjuster approving the final assignment.</w:t>
      </w:r>
    </w:p>
    <w:p>
      <w:r>
        <w:t>Objectives:</w:t>
      </w:r>
    </w:p>
    <w:p>
      <w:pPr>
        <w:pStyle w:val="ListBullet"/>
      </w:pPr>
      <w:r>
        <w:t>Reduce time from FNOL submission to adjuster assignment from hours to minutes.</w:t>
      </w:r>
    </w:p>
    <w:p>
      <w:pPr>
        <w:pStyle w:val="ListBullet"/>
      </w:pPr>
      <w:r>
        <w:t>Ensure consistent, policy-grounded severity/coverage triage decisions with citations.</w:t>
      </w:r>
    </w:p>
    <w:p>
      <w:pPr>
        <w:pStyle w:val="ListBullet"/>
      </w:pPr>
      <w:r>
        <w:t>Automatically flag likely fraud or subrogation opportunities early in the claim lifecycle.</w:t>
      </w:r>
    </w:p>
    <w:p>
      <w:pPr>
        <w:pStyle w:val="ListBullet"/>
      </w:pPr>
      <w:r>
        <w:t>Route each claim to the right available adjuster based on workload, specialty, and capacity.</w:t>
      </w:r>
    </w:p>
    <w:p>
      <w:pPr>
        <w:pStyle w:val="ListBullet"/>
      </w:pPr>
      <w:r>
        <w:t>Keep a human adjuster/supervisor in the loop for approval — the agent recommends, it does not auto-finalize coverage decisions.</w:t>
      </w:r>
    </w:p>
    <w:p>
      <w:pPr>
        <w:pStyle w:val="Heading1"/>
      </w:pPr>
      <w:r>
        <w:t>3. Personas &amp; Roles</w:t>
      </w:r>
    </w:p>
    <w:tbl>
      <w:tblPr>
        <w:tblStyle w:val="TableGrid"/>
        <w:tblW w:type="auto" w:w="0"/>
        <w:jc w:val="center"/>
        <w:tblLook w:firstColumn="1" w:firstRow="1" w:lastColumn="0" w:lastRow="0" w:noHBand="0" w:noVBand="1" w:val="04A0"/>
      </w:tblPr>
      <w:tblGrid>
        <w:gridCol w:w="4320"/>
        <w:gridCol w:w="4320"/>
      </w:tblGrid>
      <w:tr>
        <w:tc>
          <w:tcPr>
            <w:tcW w:type="dxa" w:w="2880"/>
            <w:shd w:fill="1F4E78"/>
          </w:tcPr>
          <w:p>
            <w:r>
              <w:rPr>
                <w:b/>
                <w:color w:val="FFFFFF"/>
                <w:sz w:val="20"/>
              </w:rPr>
              <w:t>Role</w:t>
            </w:r>
          </w:p>
        </w:tc>
        <w:tc>
          <w:tcPr>
            <w:tcW w:type="dxa" w:w="7056"/>
            <w:shd w:fill="1F4E78"/>
          </w:tcPr>
          <w:p>
            <w:r>
              <w:rPr>
                <w:b/>
                <w:color w:val="FFFFFF"/>
                <w:sz w:val="20"/>
              </w:rPr>
              <w:t>Responsibility in this Solution</w:t>
            </w:r>
          </w:p>
        </w:tc>
      </w:tr>
      <w:tr>
        <w:tc>
          <w:tcPr>
            <w:tcW w:type="dxa" w:w="2880"/>
          </w:tcPr>
          <w:p>
            <w:r>
              <w:rPr>
                <w:sz w:val="20"/>
              </w:rPr>
              <w:t>Claimant</w:t>
            </w:r>
          </w:p>
        </w:tc>
        <w:tc>
          <w:tcPr>
            <w:tcW w:type="dxa" w:w="7056"/>
          </w:tcPr>
          <w:p>
            <w:r>
              <w:rPr>
                <w:sz w:val="20"/>
              </w:rPr>
              <w:t>Submits the FNOL (accident details, photos, parties involved) via email or portal form.</w:t>
            </w:r>
          </w:p>
        </w:tc>
      </w:tr>
      <w:tr>
        <w:tc>
          <w:tcPr>
            <w:tcW w:type="dxa" w:w="2880"/>
          </w:tcPr>
          <w:p>
            <w:r>
              <w:rPr>
                <w:sz w:val="20"/>
              </w:rPr>
              <w:t>Claims Adjuster</w:t>
            </w:r>
          </w:p>
        </w:tc>
        <w:tc>
          <w:tcPr>
            <w:tcW w:type="dxa" w:w="7056"/>
          </w:tcPr>
          <w:p>
            <w:r>
              <w:rPr>
                <w:sz w:val="20"/>
              </w:rPr>
              <w:t>Receives the triaged, pre-assessed claim; reviews the agent's recommendation (coverage, severity tier, reserve estimate) and approves or overrides it.</w:t>
            </w:r>
          </w:p>
        </w:tc>
      </w:tr>
      <w:tr>
        <w:tc>
          <w:tcPr>
            <w:tcW w:type="dxa" w:w="2880"/>
          </w:tcPr>
          <w:p>
            <w:r>
              <w:rPr>
                <w:sz w:val="20"/>
              </w:rPr>
              <w:t>Claims Supervisor / Support Staff</w:t>
            </w:r>
          </w:p>
        </w:tc>
        <w:tc>
          <w:tcPr>
            <w:tcW w:type="dxa" w:w="7056"/>
          </w:tcPr>
          <w:p>
            <w:r>
              <w:rPr>
                <w:sz w:val="20"/>
              </w:rPr>
              <w:t>Validates edge cases, handles escalations the agent flags as low-confidence, and monitors overall triage queue health.</w:t>
            </w:r>
          </w:p>
        </w:tc>
      </w:tr>
      <w:tr>
        <w:tc>
          <w:tcPr>
            <w:tcW w:type="dxa" w:w="2880"/>
          </w:tcPr>
          <w:p>
            <w:r>
              <w:rPr>
                <w:sz w:val="20"/>
              </w:rPr>
              <w:t>SIU Analyst (downstream)</w:t>
            </w:r>
          </w:p>
        </w:tc>
        <w:tc>
          <w:tcPr>
            <w:tcW w:type="dxa" w:w="7056"/>
          </w:tcPr>
          <w:p>
            <w:r>
              <w:rPr>
                <w:sz w:val="20"/>
              </w:rPr>
              <w:t>Receives referral if the agent's fraud signal check flags the claim (hand-off point to the SIU Fraud Referral use case).</w:t>
            </w:r>
          </w:p>
        </w:tc>
      </w:tr>
    </w:tbl>
    <w:p>
      <w:pPr>
        <w:pStyle w:val="Heading1"/>
      </w:pPr>
      <w:r>
        <w:t>4. Solution Architecture Overview</w:t>
      </w:r>
    </w:p>
    <w:p>
      <w:r>
        <w:t>The Copilot Studio Agent is the orchestration hub. It receives the FNOL signal, routes specific record lookups to Fabric IQ first, uses Foundry IQ for general knowledge interpretation, incorporates Work IQ context, synthesizes a recommendation, and routes the outcome to a human for approval.</w:t>
      </w:r>
    </w:p>
    <w:p>
      <w:r>
        <w:rPr>
          <w:rFonts w:ascii="Consolas" w:hAnsi="Consolas"/>
          <w:sz w:val="16"/>
        </w:rPr>
        <w:t xml:space="preserve">                         ┌───────────────────────────────┐</w:t>
        <w:br/>
        <w:t xml:space="preserve">                         │   FNOL Email / Portal Form     │</w:t>
        <w:br/>
        <w:t xml:space="preserve">                         │   (Outlook inbox trigger)       │</w:t>
        <w:br/>
        <w:t xml:space="preserve">                         └───────────────┬────────────────┘</w:t>
        <w:br/>
        <w:t xml:space="preserve">                                         ▼</w:t>
        <w:br/>
        <w:t xml:space="preserve">                         ┌───────────────────────────────┐</w:t>
        <w:br/>
        <w:t xml:space="preserve">                         │   Power Automate Flow           │</w:t>
        <w:br/>
        <w:t xml:space="preserve">                         │  • Parse FNOL email/attachments │</w:t>
        <w:br/>
        <w:t xml:space="preserve">                         │  • Extract claim parameters      │</w:t>
        <w:br/>
        <w:t xml:space="preserve">                         │  • Invoke Copilot Studio Agent    │</w:t>
        <w:br/>
        <w:t xml:space="preserve">                         └───────────────┬────────────────┘</w:t>
        <w:br/>
        <w:t xml:space="preserve">                                         ▼</w:t>
        <w:br/>
        <w:t xml:space="preserve">                         ┌───────────────────────────────┐</w:t>
        <w:br/>
        <w:t xml:space="preserve">                         │     Copilot Studio Agent         │</w:t>
        <w:br/>
        <w:t xml:space="preserve">                         │  • Understand claim intent/entities│</w:t>
        <w:br/>
        <w:t xml:space="preserve">                         │  • Orchestrate parallel IQ queries │</w:t>
        <w:br/>
        <w:t xml:space="preserve">                         │  • Synthesize triage recommendation│</w:t>
        <w:br/>
        <w:t xml:space="preserve">                         └───┬──────────────┬──────────────┬─┘</w:t>
        <w:br/>
        <w:t xml:space="preserve">                             ▼              ▼              ▼</w:t>
        <w:br/>
        <w:t xml:space="preserve">                 ┌──────────────────┐┌──────────────────┐┌──────────────────┐</w:t>
        <w:br/>
        <w:t xml:space="preserve">                 │   Fabric IQ        ││   Foundry IQ       ││   Work IQ          │</w:t>
        <w:br/>
        <w:t xml:space="preserve">                 │ Ontology Data Agent││ Policy/Regulatory  ││ Microsoft Graph     │</w:t>
        <w:br/>
        <w:t xml:space="preserve">                 │ • Policy/coverage   ││ Knowledge Agent    ││ • Adjuster calendar │</w:t>
        <w:br/>
        <w:t xml:space="preserve">                 │ • Vehicle value     ││ • Coverage clauses ││ • Teams notify      │</w:t>
        <w:br/>
        <w:t xml:space="preserve">                 │ • Claim history     ││ • Exclusions/regs  ││ • Draft/send email  │</w:t>
        <w:br/>
        <w:t xml:space="preserve">                 │ • Fraud/sub. signals││ • Citations         ││ • SharePoint history│</w:t>
        <w:br/>
        <w:t xml:space="preserve">                 └──────────────────┘└──────────────────┘└──────────────────┘</w:t>
        <w:br/>
        <w:t xml:space="preserve">                             \             │              /</w:t>
        <w:br/>
        <w:t xml:space="preserve">                              \            ▼             /</w:t>
        <w:br/>
        <w:t xml:space="preserve">                         ┌───────────────────────────────┐</w:t>
        <w:br/>
        <w:t xml:space="preserve">                         │  Adjuster Review &amp; Approval       │</w:t>
        <w:br/>
        <w:t xml:space="preserve">                         │  (Teams / Outlook / Claims system)│</w:t>
        <w:br/>
        <w:t xml:space="preserve">                         └───────────────────────────────┘</w:t>
        <w:br/>
      </w:r>
    </w:p>
    <w:p>
      <w:pPr>
        <w:pStyle w:val="Heading1"/>
      </w:pPr>
      <w:r>
        <w:t>5. Fabric IQ Design</w:t>
      </w:r>
    </w:p>
    <w:p>
      <w:r>
        <w:t>Fabric IQ provides the structured, real-time facts about the policy, vehicle, claimant, and claim history needed to triage the FNOL.</w:t>
      </w:r>
    </w:p>
    <w:p>
      <w:pPr>
        <w:pStyle w:val="Heading2"/>
      </w:pPr>
      <w:r>
        <w:t>5.1 Data model / ontology</w:t>
      </w:r>
    </w:p>
    <w:tbl>
      <w:tblPr>
        <w:tblStyle w:val="TableGrid"/>
        <w:tblW w:type="auto" w:w="0"/>
        <w:jc w:val="center"/>
        <w:tblLook w:firstColumn="1" w:firstRow="1" w:lastColumn="0" w:lastRow="0" w:noHBand="0" w:noVBand="1" w:val="04A0"/>
      </w:tblPr>
      <w:tblGrid>
        <w:gridCol w:w="4320"/>
        <w:gridCol w:w="4320"/>
      </w:tblGrid>
      <w:tr>
        <w:tc>
          <w:tcPr>
            <w:tcW w:type="dxa" w:w="2304"/>
            <w:shd w:fill="1F4E78"/>
          </w:tcPr>
          <w:p>
            <w:r>
              <w:rPr>
                <w:b/>
                <w:color w:val="FFFFFF"/>
                <w:sz w:val="20"/>
              </w:rPr>
              <w:t>Entity</w:t>
            </w:r>
          </w:p>
        </w:tc>
        <w:tc>
          <w:tcPr>
            <w:tcW w:type="dxa" w:w="7632"/>
            <w:shd w:fill="1F4E78"/>
          </w:tcPr>
          <w:p>
            <w:r>
              <w:rPr>
                <w:b/>
                <w:color w:val="FFFFFF"/>
                <w:sz w:val="20"/>
              </w:rPr>
              <w:t>Key Attributes</w:t>
            </w:r>
          </w:p>
        </w:tc>
      </w:tr>
      <w:tr>
        <w:tc>
          <w:tcPr>
            <w:tcW w:type="dxa" w:w="2304"/>
          </w:tcPr>
          <w:p>
            <w:r>
              <w:rPr>
                <w:sz w:val="20"/>
              </w:rPr>
              <w:t>Policyholder</w:t>
            </w:r>
          </w:p>
        </w:tc>
        <w:tc>
          <w:tcPr>
            <w:tcW w:type="dxa" w:w="7632"/>
          </w:tcPr>
          <w:p>
            <w:r>
              <w:rPr>
                <w:sz w:val="20"/>
              </w:rPr>
              <w:t>PolicyholderId, Name, ContactInfo, TenureYears, PriorClaimsCount</w:t>
            </w:r>
          </w:p>
        </w:tc>
      </w:tr>
      <w:tr>
        <w:tc>
          <w:tcPr>
            <w:tcW w:type="dxa" w:w="2304"/>
          </w:tcPr>
          <w:p>
            <w:r>
              <w:rPr>
                <w:sz w:val="20"/>
              </w:rPr>
              <w:t>Policy</w:t>
            </w:r>
          </w:p>
        </w:tc>
        <w:tc>
          <w:tcPr>
            <w:tcW w:type="dxa" w:w="7632"/>
          </w:tcPr>
          <w:p>
            <w:r>
              <w:rPr>
                <w:sz w:val="20"/>
              </w:rPr>
              <w:t>PolicyId, PolicyholderId, EffectiveDate, ExpirationDate, CoverageTypes (Liability, Collision, Comprehensive, UM/UIM), Deductibles, Limits, Endorsements, State</w:t>
            </w:r>
          </w:p>
        </w:tc>
      </w:tr>
      <w:tr>
        <w:tc>
          <w:tcPr>
            <w:tcW w:type="dxa" w:w="2304"/>
          </w:tcPr>
          <w:p>
            <w:r>
              <w:rPr>
                <w:sz w:val="20"/>
              </w:rPr>
              <w:t>Vehicle</w:t>
            </w:r>
          </w:p>
        </w:tc>
        <w:tc>
          <w:tcPr>
            <w:tcW w:type="dxa" w:w="7632"/>
          </w:tcPr>
          <w:p>
            <w:r>
              <w:rPr>
                <w:sz w:val="20"/>
              </w:rPr>
              <w:t>VIN, Make/Model/Year, MarketValue, TelematicsScore, PriorDamageFlags</w:t>
            </w:r>
          </w:p>
        </w:tc>
      </w:tr>
      <w:tr>
        <w:tc>
          <w:tcPr>
            <w:tcW w:type="dxa" w:w="2304"/>
          </w:tcPr>
          <w:p>
            <w:r>
              <w:rPr>
                <w:sz w:val="20"/>
              </w:rPr>
              <w:t>Claim</w:t>
            </w:r>
          </w:p>
        </w:tc>
        <w:tc>
          <w:tcPr>
            <w:tcW w:type="dxa" w:w="7632"/>
          </w:tcPr>
          <w:p>
            <w:r>
              <w:rPr>
                <w:sz w:val="20"/>
              </w:rPr>
              <w:t>ClaimId, PolicyId, VehicleId, DateOfLoss, LossType, LossDescription, Location, ReportedChannel (email/portal), Severity, ReserveEstimate, Status</w:t>
            </w:r>
          </w:p>
        </w:tc>
      </w:tr>
      <w:tr>
        <w:tc>
          <w:tcPr>
            <w:tcW w:type="dxa" w:w="2304"/>
          </w:tcPr>
          <w:p>
            <w:r>
              <w:rPr>
                <w:sz w:val="20"/>
              </w:rPr>
              <w:t>Adjuster</w:t>
            </w:r>
          </w:p>
        </w:tc>
        <w:tc>
          <w:tcPr>
            <w:tcW w:type="dxa" w:w="7632"/>
          </w:tcPr>
          <w:p>
            <w:r>
              <w:rPr>
                <w:sz w:val="20"/>
              </w:rPr>
              <w:t>AdjusterId, Name, Specialty, Region, CurrentCaseload, AvailabilityStatus</w:t>
            </w:r>
          </w:p>
        </w:tc>
      </w:tr>
      <w:tr>
        <w:tc>
          <w:tcPr>
            <w:tcW w:type="dxa" w:w="2304"/>
          </w:tcPr>
          <w:p>
            <w:r>
              <w:rPr>
                <w:sz w:val="20"/>
              </w:rPr>
              <w:t>RepairShop</w:t>
            </w:r>
          </w:p>
        </w:tc>
        <w:tc>
          <w:tcPr>
            <w:tcW w:type="dxa" w:w="7632"/>
          </w:tcPr>
          <w:p>
            <w:r>
              <w:rPr>
                <w:sz w:val="20"/>
              </w:rPr>
              <w:t>ShopId, Name, Network (in/out-of-network), Region, AvgCycleTime</w:t>
            </w:r>
          </w:p>
        </w:tc>
      </w:tr>
      <w:tr>
        <w:tc>
          <w:tcPr>
            <w:tcW w:type="dxa" w:w="2304"/>
          </w:tcPr>
          <w:p>
            <w:r>
              <w:rPr>
                <w:sz w:val="20"/>
              </w:rPr>
              <w:t>FraudSignal</w:t>
            </w:r>
          </w:p>
        </w:tc>
        <w:tc>
          <w:tcPr>
            <w:tcW w:type="dxa" w:w="7632"/>
          </w:tcPr>
          <w:p>
            <w:r>
              <w:rPr>
                <w:sz w:val="20"/>
              </w:rPr>
              <w:t>ClaimId, SignalType, ScoreValue, RelatedClaims (graph edges to prior claims/shops/claimants)</w:t>
            </w:r>
          </w:p>
        </w:tc>
      </w:tr>
      <w:tr>
        <w:tc>
          <w:tcPr>
            <w:tcW w:type="dxa" w:w="2304"/>
          </w:tcPr>
          <w:p>
            <w:r>
              <w:rPr>
                <w:sz w:val="20"/>
              </w:rPr>
              <w:t>SubrogationFlag</w:t>
            </w:r>
          </w:p>
        </w:tc>
        <w:tc>
          <w:tcPr>
            <w:tcW w:type="dxa" w:w="7632"/>
          </w:tcPr>
          <w:p>
            <w:r>
              <w:rPr>
                <w:sz w:val="20"/>
              </w:rPr>
              <w:t>ClaimId, AtFaultParty, ThirdPartyInsurer, RecoveryLikelihood</w:t>
            </w:r>
          </w:p>
        </w:tc>
      </w:tr>
    </w:tbl>
    <w:p>
      <w:pPr>
        <w:pStyle w:val="Heading2"/>
      </w:pPr>
      <w:r>
        <w:t>5.2 Lakehouse layers</w:t>
      </w:r>
    </w:p>
    <w:p>
      <w:pPr>
        <w:pStyle w:val="ListBullet"/>
      </w:pPr>
      <w:r>
        <w:t>Bronze: raw ingested claims system exports, policy admin extracts, telematics feeds (synthetic data for this accelerator, generated via a Python datagen script as in the reference repo).</w:t>
      </w:r>
    </w:p>
    <w:p>
      <w:pPr>
        <w:pStyle w:val="ListBullet"/>
      </w:pPr>
      <w:r>
        <w:t>Silver: cleaned/conformed tables — Policy, Vehicle, Claim, Adjuster, RepairShop.</w:t>
      </w:r>
    </w:p>
    <w:p>
      <w:pPr>
        <w:pStyle w:val="ListBullet"/>
      </w:pPr>
      <w:r>
        <w:t>Gold: semantic model exposing Policy-Claim-Vehicle-Adjuster relationships for Power BI dashboards and the ontology used by the Fabric Data Agent.</w:t>
      </w:r>
    </w:p>
    <w:p>
      <w:pPr>
        <w:pStyle w:val="Heading2"/>
      </w:pPr>
      <w:r>
        <w:t>5.3 Semantic model / Power BI</w:t>
      </w:r>
    </w:p>
    <w:p>
      <w:r>
        <w:t>A Power BI semantic model over the Gold layer supports an operational dashboard: open claims by severity/region, adjuster caseload distribution, average time-to-assignment, and fraud/subrogation flag trends — used by Claims Supervisors to monitor the triage queue.</w:t>
      </w:r>
    </w:p>
    <w:p>
      <w:r>
        <w:t>Implementation status: DA_AutoFNOL_Ontology (ID f4f24b3a-8cb2-4f33-88ad-04ba57d8be8a) in workspace WS_AutoFNOL queries the AutoFNOL_Ontology graph model, not raw lakehouse tables. The previously missing Claim-to-Adjuster assignedToAdjuster relationship has been added at both the ontology and graph-model levels, and the data agent instructions/few-shot examples were updated accordingly.</w:t>
      </w:r>
    </w:p>
    <w:p>
      <w:pPr>
        <w:pStyle w:val="Heading2"/>
      </w:pPr>
      <w:r>
        <w:t>5.4 Fabric Ontology Data Agent — sample questions</w:t>
      </w:r>
    </w:p>
    <w:p>
      <w:pPr>
        <w:pStyle w:val="ListBullet"/>
      </w:pPr>
      <w:r>
        <w:t>“What is the coverage and deductible on policy POL-10432?”</w:t>
      </w:r>
    </w:p>
    <w:p>
      <w:pPr>
        <w:pStyle w:val="ListBullet"/>
      </w:pPr>
      <w:r>
        <w:t>“How many prior claims has this policyholder filed in the last 3 years?”</w:t>
      </w:r>
    </w:p>
    <w:p>
      <w:pPr>
        <w:pStyle w:val="ListBullet"/>
      </w:pPr>
      <w:r>
        <w:t>“What is the current market value of this vehicle, and is it a candidate for total loss?”</w:t>
      </w:r>
    </w:p>
    <w:p>
      <w:pPr>
        <w:pStyle w:val="ListBullet"/>
      </w:pPr>
      <w:r>
        <w:t>“Which adjusters in the Midwest region have capacity to take a new collision claim today?”</w:t>
      </w:r>
    </w:p>
    <w:p>
      <w:pPr>
        <w:pStyle w:val="ListBullet"/>
      </w:pPr>
      <w:r>
        <w:t>“Are there other claims linked to this repair shop or claimant in the last 90 days?”</w:t>
      </w:r>
    </w:p>
    <w:p>
      <w:pPr>
        <w:pStyle w:val="Heading1"/>
      </w:pPr>
      <w:r>
        <w:t>6. Foundry IQ Design</w:t>
      </w:r>
    </w:p>
    <w:p>
      <w:r>
        <w:t>Foundry IQ provides the unstructured knowledge — policy wording, exclusions, state regulations, and triage/SIU playbooks — needed to reason about what the facts from Fabric IQ mean for coverage and next steps, with citations back to source documents.</w:t>
      </w:r>
    </w:p>
    <w:p>
      <w:pPr>
        <w:pStyle w:val="Heading2"/>
      </w:pPr>
      <w:r>
        <w:t>6.1 Knowledge base documents</w:t>
      </w:r>
    </w:p>
    <w:p>
      <w:pPr>
        <w:pStyle w:val="ListBullet"/>
      </w:pPr>
      <w:r>
        <w:t>Auto policy wording and endorsement templates (per product/state).</w:t>
      </w:r>
    </w:p>
    <w:p>
      <w:pPr>
        <w:pStyle w:val="ListBullet"/>
      </w:pPr>
      <w:r>
        <w:t>Coverage exclusion clauses (e.g., livery use, racing, unlisted driver exclusions).</w:t>
      </w:r>
    </w:p>
    <w:p>
      <w:pPr>
        <w:pStyle w:val="ListBullet"/>
      </w:pPr>
      <w:r>
        <w:t>State-specific claims-handling regulations (e.g., unfair claims practices acts, prompt-payment deadlines).</w:t>
      </w:r>
    </w:p>
    <w:p>
      <w:pPr>
        <w:pStyle w:val="ListBullet"/>
      </w:pPr>
      <w:r>
        <w:t>SIU fraud red-flag playbook (e.g., staged-accident indicators, repair-shop collusion patterns).</w:t>
      </w:r>
    </w:p>
    <w:p>
      <w:pPr>
        <w:pStyle w:val="ListBullet"/>
      </w:pPr>
      <w:r>
        <w:t>Severity/triage guidelines (how to classify minor/moderate/total-loss/injury claims).</w:t>
      </w:r>
    </w:p>
    <w:p>
      <w:pPr>
        <w:pStyle w:val="ListBullet"/>
      </w:pPr>
      <w:r>
        <w:t>Actual Cash Value (ACV) / total-loss valuation methodology reference.</w:t>
      </w:r>
    </w:p>
    <w:p>
      <w:pPr>
        <w:pStyle w:val="Heading2"/>
      </w:pPr>
      <w:r>
        <w:t>6.2 Ingestion &amp; retrieval pipeline</w:t>
      </w:r>
    </w:p>
    <w:p>
      <w:r>
        <w:t>Documents are maintained locally in foundry\kb_docs\*.md (5 markdown files), chunked/embedded by foundry\build_search_index.py using text-embedding-ada-002 on sbazureaimodels, and indexed into Azure AI Search service sb-aisearch01 / index auto-fnol-kb-index with mergeOrUpload semantics. The actual indexed content can be browsed in Azure Portal &gt; sb-aisearch01 &gt; Indexes &gt; auto-fnol-kb-index &gt; Search explorer.</w:t>
      </w:r>
    </w:p>
    <w:p>
      <w:r>
        <w:t>The knowledge agent is Auto-FNOL-Knowledge-Agent in Foundry project sbazureaimodels-project01 on resource sbazureaimodels (westus3). It uses the newer PromptAgentDefinition pattern with a single MCP tool pointed at knowledge base ks-auto-fnol-kb-index on Azure AI Search service sb-aisearch01, with allowed_tools limited to knowledge_base_retrieve and api-version=2025-11-01-preview. retrievalReasoningEffort was tuned from minimal to medium, and the gpt-5-mini deployment capacity on sbazureaimodels was raised from 10K to 50K TPM to prevent 429 throttling under load.</w:t>
      </w:r>
    </w:p>
    <w:p>
      <w:r>
        <w:t>Critical Teams fix: for Copilot Studio/Teams runtime calls, the agent's agent_endpoint had to be explicitly updated to enable the Activity Protocol with the BotServiceRbac authorization scheme via AIProjectClient.agents.update_details(). This step is separate from creating the agent and attaching knowledge sources/tools, and is currently available through REST/Python SDK rather than the portal UI.</w:t>
      </w:r>
    </w:p>
    <w:p>
      <w:pPr>
        <w:pStyle w:val="Heading2"/>
      </w:pPr>
      <w:r>
        <w:t>6.3 Foundry Agent — sample questions</w:t>
      </w:r>
    </w:p>
    <w:p>
      <w:pPr>
        <w:pStyle w:val="ListBullet"/>
      </w:pPr>
      <w:r>
        <w:t>“Does this policy's comprehensive coverage exclude flood damage in this state?”</w:t>
      </w:r>
    </w:p>
    <w:p>
      <w:pPr>
        <w:pStyle w:val="ListBullet"/>
      </w:pPr>
      <w:r>
        <w:t>“What is the state-mandated deadline to acknowledge this FNOL?”</w:t>
      </w:r>
    </w:p>
    <w:p>
      <w:pPr>
        <w:pStyle w:val="ListBullet"/>
      </w:pPr>
      <w:r>
        <w:t>“What are the red flags for staged-accident fraud, and does this claim match any of them?”</w:t>
      </w:r>
    </w:p>
    <w:p>
      <w:pPr>
        <w:pStyle w:val="ListBullet"/>
      </w:pPr>
      <w:r>
        <w:t>“What is the ACV calculation methodology for a total-loss determination in this state?”</w:t>
      </w:r>
    </w:p>
    <w:p>
      <w:pPr>
        <w:pStyle w:val="Heading1"/>
      </w:pPr>
      <w:r>
        <w:t>7. Work IQ Design</w:t>
      </w:r>
    </w:p>
    <w:p>
      <w:r>
        <w:t>Work IQ brings Microsoft 365 actions into the orchestrator so the agent can search user context and work mail-related follow-ups, not just answer questions. The current Copilot Studio solution has two MCP-based Work IQ tools wired in and ready to demonstrate, although they have not yet been called out as independently Teams-validated in the same way as the Foundry and Fabric agents.</w:t>
      </w:r>
    </w:p>
    <w:tbl>
      <w:tblPr>
        <w:tblStyle w:val="TableGrid"/>
        <w:tblW w:type="auto" w:w="0"/>
        <w:jc w:val="center"/>
        <w:tblLook w:firstColumn="1" w:firstRow="1" w:lastColumn="0" w:lastRow="0" w:noHBand="0" w:noVBand="1" w:val="04A0"/>
      </w:tblPr>
      <w:tblGrid>
        <w:gridCol w:w="4320"/>
        <w:gridCol w:w="4320"/>
      </w:tblGrid>
      <w:tr>
        <w:tc>
          <w:tcPr>
            <w:tcW w:type="dxa" w:w="3024"/>
            <w:shd w:fill="1F4E78"/>
          </w:tcPr>
          <w:p>
            <w:r>
              <w:rPr>
                <w:b/>
                <w:color w:val="FFFFFF"/>
                <w:sz w:val="20"/>
              </w:rPr>
              <w:t>Work IQ Tool</w:t>
            </w:r>
          </w:p>
        </w:tc>
        <w:tc>
          <w:tcPr>
            <w:tcW w:type="dxa" w:w="6912"/>
            <w:shd w:fill="1F4E78"/>
          </w:tcPr>
          <w:p>
            <w:r>
              <w:rPr>
                <w:b/>
                <w:color w:val="FFFFFF"/>
                <w:sz w:val="20"/>
              </w:rPr>
              <w:t>Use in this Solution</w:t>
            </w:r>
          </w:p>
        </w:tc>
      </w:tr>
      <w:tr>
        <w:tc>
          <w:tcPr>
            <w:tcW w:type="dxa" w:w="3024"/>
          </w:tcPr>
          <w:p>
            <w:r>
              <w:rPr>
                <w:sz w:val="20"/>
              </w:rPr>
              <w:t>WorkIQCopilotMCP-WorkIQCopilotPreview</w:t>
            </w:r>
          </w:p>
        </w:tc>
        <w:tc>
          <w:tcPr>
            <w:tcW w:type="dxa" w:w="6912"/>
          </w:tcPr>
          <w:p>
            <w:r>
              <w:rPr>
                <w:sz w:val="20"/>
              </w:rPr>
              <w:t>Microsoft 365 Copilot Search MCP action (connector shared_a365copilotchatmcp, operationId mcp_m365copilot) for questions such as 'Search my recent emails/files for anything related to Claim CLM-00075.'</w:t>
            </w:r>
          </w:p>
        </w:tc>
      </w:tr>
      <w:tr>
        <w:tc>
          <w:tcPr>
            <w:tcW w:type="dxa" w:w="3024"/>
          </w:tcPr>
          <w:p>
            <w:r>
              <w:rPr>
                <w:sz w:val="20"/>
              </w:rPr>
              <w:t>WorkIQMailMCP-WorkIQMailPreview</w:t>
            </w:r>
          </w:p>
        </w:tc>
        <w:tc>
          <w:tcPr>
            <w:tcW w:type="dxa" w:w="6912"/>
          </w:tcPr>
          <w:p>
            <w:r>
              <w:rPr>
                <w:sz w:val="20"/>
              </w:rPr>
              <w:t>Outlook Mail MCP action (connector shared_a365outlookmailmcp, operationId mcp_MailTools) for finding the last email from a policyholder/supplier or sending a summary email.</w:t>
            </w:r>
          </w:p>
        </w:tc>
      </w:tr>
      <w:tr>
        <w:tc>
          <w:tcPr>
            <w:tcW w:type="dxa" w:w="3024"/>
          </w:tcPr>
          <w:p>
            <w:r>
              <w:rPr>
                <w:sz w:val="20"/>
              </w:rPr>
              <w:t>Outlook Calendar / Teams / SharePoint context</w:t>
            </w:r>
          </w:p>
        </w:tc>
        <w:tc>
          <w:tcPr>
            <w:tcW w:type="dxa" w:w="6912"/>
          </w:tcPr>
          <w:p>
            <w:r>
              <w:rPr>
                <w:sz w:val="20"/>
              </w:rPr>
              <w:t>Optional surrounding Microsoft Graph context still relevant to the solution story, including adjuster availability, collaboration, and document retrieval.</w:t>
            </w:r>
          </w:p>
        </w:tc>
      </w:tr>
    </w:tbl>
    <w:p>
      <w:pPr>
        <w:pStyle w:val="Heading1"/>
      </w:pPr>
      <w:r>
        <w:t>8. Copilot Studio Agent Design</w:t>
      </w:r>
    </w:p>
    <w:p>
      <w:pPr>
        <w:pStyle w:val="Heading2"/>
      </w:pPr>
      <w:r>
        <w:t>8.1 Trigger</w:t>
      </w:r>
    </w:p>
    <w:p>
      <w:r>
        <w:t>A Power Automate flow with an Outlook “When a new email arrives” trigger (scoped to the FNOL intake mailbox) parses the email body/attachments, extracts claim parameters (policy number, date of loss, description, photos), and invokes the Copilot Studio Agent.</w:t>
      </w:r>
    </w:p>
    <w:p>
      <w:pPr>
        <w:pStyle w:val="Heading2"/>
      </w:pPr>
      <w:r>
        <w:t>8.2 Topics / Actions</w:t>
      </w:r>
    </w:p>
    <w:tbl>
      <w:tblPr>
        <w:tblStyle w:val="TableGrid"/>
        <w:tblW w:type="auto" w:w="0"/>
        <w:jc w:val="center"/>
        <w:tblLook w:firstColumn="1" w:firstRow="1" w:lastColumn="0" w:lastRow="0" w:noHBand="0" w:noVBand="1" w:val="04A0"/>
      </w:tblPr>
      <w:tblGrid>
        <w:gridCol w:w="4320"/>
        <w:gridCol w:w="4320"/>
      </w:tblGrid>
      <w:tr>
        <w:tc>
          <w:tcPr>
            <w:tcW w:type="dxa" w:w="3168"/>
            <w:shd w:fill="1F4E78"/>
          </w:tcPr>
          <w:p>
            <w:r>
              <w:rPr>
                <w:b/>
                <w:color w:val="FFFFFF"/>
                <w:sz w:val="20"/>
              </w:rPr>
              <w:t>Topic/Action</w:t>
            </w:r>
          </w:p>
        </w:tc>
        <w:tc>
          <w:tcPr>
            <w:tcW w:type="dxa" w:w="6768"/>
            <w:shd w:fill="1F4E78"/>
          </w:tcPr>
          <w:p>
            <w:r>
              <w:rPr>
                <w:b/>
                <w:color w:val="FFFFFF"/>
                <w:sz w:val="20"/>
              </w:rPr>
              <w:t>Purpose</w:t>
            </w:r>
          </w:p>
        </w:tc>
      </w:tr>
      <w:tr>
        <w:tc>
          <w:tcPr>
            <w:tcW w:type="dxa" w:w="3168"/>
          </w:tcPr>
          <w:p>
            <w:r>
              <w:rPr>
                <w:sz w:val="20"/>
              </w:rPr>
              <w:t>Intake &amp; Entity Extraction</w:t>
            </w:r>
          </w:p>
        </w:tc>
        <w:tc>
          <w:tcPr>
            <w:tcW w:type="dxa" w:w="6768"/>
          </w:tcPr>
          <w:p>
            <w:r>
              <w:rPr>
                <w:sz w:val="20"/>
              </w:rPr>
              <w:t>Parse the FNOL content into structured fields: policy number, claimant, date/time/location of loss, description, parties involved, photos.</w:t>
            </w:r>
          </w:p>
        </w:tc>
      </w:tr>
      <w:tr>
        <w:tc>
          <w:tcPr>
            <w:tcW w:type="dxa" w:w="3168"/>
          </w:tcPr>
          <w:p>
            <w:r>
              <w:rPr>
                <w:sz w:val="20"/>
              </w:rPr>
              <w:t>Coverage Verification (Fabric action)</w:t>
            </w:r>
          </w:p>
        </w:tc>
        <w:tc>
          <w:tcPr>
            <w:tcW w:type="dxa" w:w="6768"/>
          </w:tcPr>
          <w:p>
            <w:r>
              <w:rPr>
                <w:sz w:val="20"/>
              </w:rPr>
              <w:t>Call the Fabric Data Agent to confirm the policy is active and pull coverage/deductible/limits and claim history.</w:t>
            </w:r>
          </w:p>
        </w:tc>
      </w:tr>
      <w:tr>
        <w:tc>
          <w:tcPr>
            <w:tcW w:type="dxa" w:w="3168"/>
          </w:tcPr>
          <w:p>
            <w:r>
              <w:rPr>
                <w:sz w:val="20"/>
              </w:rPr>
              <w:t>Policy Reasoning (Foundry action)</w:t>
            </w:r>
          </w:p>
        </w:tc>
        <w:tc>
          <w:tcPr>
            <w:tcW w:type="dxa" w:w="6768"/>
          </w:tcPr>
          <w:p>
            <w:r>
              <w:rPr>
                <w:sz w:val="20"/>
              </w:rPr>
              <w:t>Call the Foundry Agent to check exclusions, state regulatory deadlines, and applicable clauses for the reported loss type.</w:t>
            </w:r>
          </w:p>
        </w:tc>
      </w:tr>
      <w:tr>
        <w:tc>
          <w:tcPr>
            <w:tcW w:type="dxa" w:w="3168"/>
          </w:tcPr>
          <w:p>
            <w:r>
              <w:rPr>
                <w:sz w:val="20"/>
              </w:rPr>
              <w:t>Fraud/Subrogation Check (Fabric action)</w:t>
            </w:r>
          </w:p>
        </w:tc>
        <w:tc>
          <w:tcPr>
            <w:tcW w:type="dxa" w:w="6768"/>
          </w:tcPr>
          <w:p>
            <w:r>
              <w:rPr>
                <w:sz w:val="20"/>
              </w:rPr>
              <w:t>Query the ontology graph for related claims/shops/claimants and known fraud signal scores; check at-fault indicators for subrogation potential.</w:t>
            </w:r>
          </w:p>
        </w:tc>
      </w:tr>
      <w:tr>
        <w:tc>
          <w:tcPr>
            <w:tcW w:type="dxa" w:w="3168"/>
          </w:tcPr>
          <w:p>
            <w:r>
              <w:rPr>
                <w:sz w:val="20"/>
              </w:rPr>
              <w:t>Adjuster Routing (Work IQ + Fabric action)</w:t>
            </w:r>
          </w:p>
        </w:tc>
        <w:tc>
          <w:tcPr>
            <w:tcW w:type="dxa" w:w="6768"/>
          </w:tcPr>
          <w:p>
            <w:r>
              <w:rPr>
                <w:sz w:val="20"/>
              </w:rPr>
              <w:t>Combine adjuster caseload (Fabric) and calendar/presence (Graph) to recommend the best-fit available adjuster.</w:t>
            </w:r>
          </w:p>
        </w:tc>
      </w:tr>
      <w:tr>
        <w:tc>
          <w:tcPr>
            <w:tcW w:type="dxa" w:w="3168"/>
          </w:tcPr>
          <w:p>
            <w:r>
              <w:rPr>
                <w:sz w:val="20"/>
              </w:rPr>
              <w:t>Synthesize Recommendation</w:t>
            </w:r>
          </w:p>
        </w:tc>
        <w:tc>
          <w:tcPr>
            <w:tcW w:type="dxa" w:w="6768"/>
          </w:tcPr>
          <w:p>
            <w:r>
              <w:rPr>
                <w:sz w:val="20"/>
              </w:rPr>
              <w:t>Combine outputs into a structured recommendation: severity tier, reserve estimate, coverage confirmation, fraud/subrogation flags, and adjuster assignment.</w:t>
            </w:r>
          </w:p>
        </w:tc>
      </w:tr>
      <w:tr>
        <w:tc>
          <w:tcPr>
            <w:tcW w:type="dxa" w:w="3168"/>
          </w:tcPr>
          <w:p>
            <w:r>
              <w:rPr>
                <w:sz w:val="20"/>
              </w:rPr>
              <w:t>Notify &amp; Draft Communications (Work IQ action)</w:t>
            </w:r>
          </w:p>
        </w:tc>
        <w:tc>
          <w:tcPr>
            <w:tcW w:type="dxa" w:w="6768"/>
          </w:tcPr>
          <w:p>
            <w:r>
              <w:rPr>
                <w:sz w:val="20"/>
              </w:rPr>
              <w:t>Draft claimant acknowledgment email and adjuster Teams/email notification; send after workflow completes.</w:t>
            </w:r>
          </w:p>
        </w:tc>
      </w:tr>
      <w:tr>
        <w:tc>
          <w:tcPr>
            <w:tcW w:type="dxa" w:w="3168"/>
          </w:tcPr>
          <w:p>
            <w:r>
              <w:rPr>
                <w:sz w:val="20"/>
              </w:rPr>
              <w:t>Escalate to Human</w:t>
            </w:r>
          </w:p>
        </w:tc>
        <w:tc>
          <w:tcPr>
            <w:tcW w:type="dxa" w:w="6768"/>
          </w:tcPr>
          <w:p>
            <w:r>
              <w:rPr>
                <w:sz w:val="20"/>
              </w:rPr>
              <w:t>If confidence is low (e.g., ambiguous coverage, conflicting data), route to Claims Supervisor/Support Staff instead of auto-recommending.</w:t>
            </w:r>
          </w:p>
        </w:tc>
      </w:tr>
    </w:tbl>
    <w:p>
      <w:pPr>
        <w:pStyle w:val="Heading2"/>
      </w:pPr>
      <w:r>
        <w:t>8.3 Orchestration logic (decision flow)</w:t>
      </w:r>
    </w:p>
    <w:p>
      <w:pPr>
        <w:pStyle w:val="ListNumber"/>
      </w:pPr>
      <w:r>
        <w:t>Extract entities from the FNOL submission.</w:t>
      </w:r>
    </w:p>
    <w:p>
      <w:pPr>
        <w:pStyle w:val="ListNumber"/>
      </w:pPr>
      <w:r>
        <w:t>If the request references a specific Policy, Claim, Policyholder, Vehicle, or Adjuster identifier, call Fabric IQ first to retrieve the live record from the AutoFNOL_Ontology graph.</w:t>
      </w:r>
    </w:p>
    <w:p>
      <w:pPr>
        <w:pStyle w:val="ListNumber"/>
      </w:pPr>
      <w:r>
        <w:t>Use Foundry IQ first for general knowledge questions not tied to a specific identifier (policy wording, triage-tier rules, SIU red flags, state regulations, subrogation methodology).</w:t>
      </w:r>
    </w:p>
    <w:p>
      <w:pPr>
        <w:pStyle w:val="ListNumber"/>
      </w:pPr>
      <w:r>
        <w:t>For compound questions, retrieve the specific record from Fabric first, then use Foundry only if general policy wording interpretation is needed.</w:t>
      </w:r>
    </w:p>
    <w:p>
      <w:pPr>
        <w:pStyle w:val="ListNumber"/>
      </w:pPr>
      <w:r>
        <w:t>Run fraud/subrogation signal checks against the ontology graph (Fabric IQ).</w:t>
      </w:r>
    </w:p>
    <w:p>
      <w:pPr>
        <w:pStyle w:val="ListNumber"/>
      </w:pPr>
      <w:r>
        <w:t>If coverage is confirmed and no low-confidence conflicts exist, determine severity tier and reserve estimate.</w:t>
      </w:r>
    </w:p>
    <w:p>
      <w:pPr>
        <w:pStyle w:val="ListNumber"/>
      </w:pPr>
      <w:r>
        <w:t>Identify best-fit available adjuster using caseload + calendar/presence (Fabric + Work IQ).</w:t>
      </w:r>
    </w:p>
    <w:p>
      <w:pPr>
        <w:pStyle w:val="ListNumber"/>
      </w:pPr>
      <w:r>
        <w:t>Use Work IQ MCP tools for Microsoft 365 search or mail follow-up steps as needed.</w:t>
      </w:r>
    </w:p>
    <w:p>
      <w:pPr>
        <w:pStyle w:val="ListNumber"/>
      </w:pPr>
      <w:r>
        <w:t>Log the full recommendation, evidence, and citations back to Fabric for audit and reporting.</w:t>
      </w:r>
    </w:p>
    <w:p>
      <w:pPr>
        <w:pStyle w:val="Heading2"/>
      </w:pPr>
      <w:r>
        <w:t>8.4 Sample end-to-end trace</w:t>
      </w:r>
    </w:p>
    <w:p>
      <w:r>
        <w:t>FNOL: “Rear-ended at a stoplight, minor bumper damage, no injuries, other driver's insurance unknown.” → Agent confirms active policy with collision coverage and a $500 deductible → Foundry confirms no exclusion applies and this state requires acknowledgment within 10 business days → Fabric shows no related fraud signals and identifies a possible subrogation opportunity (other driver likely at fault) → Severity classified as “minor – collision, no injury” with an initial reserve estimate → Adjuster “J. Rivera” selected (collision specialty, regional match, lowest current caseload, free calendar slot) → Acknowledgment email drafted and sent to claimant; Teams card sent to J. Rivera with claim summary, citations, and a subrogation flag for review.</w:t>
      </w:r>
    </w:p>
    <w:p>
      <w:pPr>
        <w:pStyle w:val="Heading1"/>
      </w:pPr>
      <w:r>
        <w:t>9. End-to-End Workflow by System</w:t>
      </w:r>
    </w:p>
    <w:tbl>
      <w:tblPr>
        <w:tblStyle w:val="TableGrid"/>
        <w:tblW w:type="auto" w:w="0"/>
        <w:jc w:val="center"/>
        <w:tblLook w:firstColumn="1" w:firstRow="1" w:lastColumn="0" w:lastRow="0" w:noHBand="0" w:noVBand="1" w:val="04A0"/>
      </w:tblPr>
      <w:tblGrid>
        <w:gridCol w:w="2880"/>
        <w:gridCol w:w="2880"/>
        <w:gridCol w:w="2880"/>
      </w:tblGrid>
      <w:tr>
        <w:tc>
          <w:tcPr>
            <w:tcW w:type="dxa" w:w="720"/>
            <w:shd w:fill="1F4E78"/>
          </w:tcPr>
          <w:p>
            <w:r>
              <w:rPr>
                <w:b/>
                <w:color w:val="FFFFFF"/>
                <w:sz w:val="20"/>
              </w:rPr>
              <w:t>Step</w:t>
            </w:r>
          </w:p>
        </w:tc>
        <w:tc>
          <w:tcPr>
            <w:tcW w:type="dxa" w:w="2304"/>
            <w:shd w:fill="1F4E78"/>
          </w:tcPr>
          <w:p>
            <w:r>
              <w:rPr>
                <w:b/>
                <w:color w:val="FFFFFF"/>
                <w:sz w:val="20"/>
              </w:rPr>
              <w:t>System</w:t>
            </w:r>
          </w:p>
        </w:tc>
        <w:tc>
          <w:tcPr>
            <w:tcW w:type="dxa" w:w="7200"/>
            <w:shd w:fill="1F4E78"/>
          </w:tcPr>
          <w:p>
            <w:r>
              <w:rPr>
                <w:b/>
                <w:color w:val="FFFFFF"/>
                <w:sz w:val="20"/>
              </w:rPr>
              <w:t>Action</w:t>
            </w:r>
          </w:p>
        </w:tc>
      </w:tr>
      <w:tr>
        <w:tc>
          <w:tcPr>
            <w:tcW w:type="dxa" w:w="720"/>
          </w:tcPr>
          <w:p>
            <w:r>
              <w:rPr>
                <w:sz w:val="20"/>
              </w:rPr>
              <w:t>1</w:t>
            </w:r>
          </w:p>
        </w:tc>
        <w:tc>
          <w:tcPr>
            <w:tcW w:type="dxa" w:w="2304"/>
          </w:tcPr>
          <w:p>
            <w:r>
              <w:rPr>
                <w:sz w:val="20"/>
              </w:rPr>
              <w:t>Claimant / Outlook</w:t>
            </w:r>
          </w:p>
        </w:tc>
        <w:tc>
          <w:tcPr>
            <w:tcW w:type="dxa" w:w="7200"/>
          </w:tcPr>
          <w:p>
            <w:r>
              <w:rPr>
                <w:sz w:val="20"/>
              </w:rPr>
              <w:t>FNOL submitted via email to intake mailbox.</w:t>
            </w:r>
          </w:p>
        </w:tc>
      </w:tr>
      <w:tr>
        <w:tc>
          <w:tcPr>
            <w:tcW w:type="dxa" w:w="720"/>
          </w:tcPr>
          <w:p>
            <w:r>
              <w:rPr>
                <w:sz w:val="20"/>
              </w:rPr>
              <w:t>2</w:t>
            </w:r>
          </w:p>
        </w:tc>
        <w:tc>
          <w:tcPr>
            <w:tcW w:type="dxa" w:w="2304"/>
          </w:tcPr>
          <w:p>
            <w:r>
              <w:rPr>
                <w:sz w:val="20"/>
              </w:rPr>
              <w:t>Power Automate</w:t>
            </w:r>
          </w:p>
        </w:tc>
        <w:tc>
          <w:tcPr>
            <w:tcW w:type="dxa" w:w="7200"/>
          </w:tcPr>
          <w:p>
            <w:r>
              <w:rPr>
                <w:sz w:val="20"/>
              </w:rPr>
              <w:t>Trigger fires; parses email/attachments; invokes Copilot Studio Agent.</w:t>
            </w:r>
          </w:p>
        </w:tc>
      </w:tr>
      <w:tr>
        <w:tc>
          <w:tcPr>
            <w:tcW w:type="dxa" w:w="720"/>
          </w:tcPr>
          <w:p>
            <w:r>
              <w:rPr>
                <w:sz w:val="20"/>
              </w:rPr>
              <w:t>3</w:t>
            </w:r>
          </w:p>
        </w:tc>
        <w:tc>
          <w:tcPr>
            <w:tcW w:type="dxa" w:w="2304"/>
          </w:tcPr>
          <w:p>
            <w:r>
              <w:rPr>
                <w:sz w:val="20"/>
              </w:rPr>
              <w:t>Copilot Studio Agent</w:t>
            </w:r>
          </w:p>
        </w:tc>
        <w:tc>
          <w:tcPr>
            <w:tcW w:type="dxa" w:w="7200"/>
          </w:tcPr>
          <w:p>
            <w:r>
              <w:rPr>
                <w:sz w:val="20"/>
              </w:rPr>
              <w:t>Extracts claim entities; determines required checks.</w:t>
            </w:r>
          </w:p>
        </w:tc>
      </w:tr>
      <w:tr>
        <w:tc>
          <w:tcPr>
            <w:tcW w:type="dxa" w:w="720"/>
          </w:tcPr>
          <w:p>
            <w:r>
              <w:rPr>
                <w:sz w:val="20"/>
              </w:rPr>
              <w:t>4</w:t>
            </w:r>
          </w:p>
        </w:tc>
        <w:tc>
          <w:tcPr>
            <w:tcW w:type="dxa" w:w="2304"/>
          </w:tcPr>
          <w:p>
            <w:r>
              <w:rPr>
                <w:sz w:val="20"/>
              </w:rPr>
              <w:t>Fabric IQ</w:t>
            </w:r>
          </w:p>
        </w:tc>
        <w:tc>
          <w:tcPr>
            <w:tcW w:type="dxa" w:w="7200"/>
          </w:tcPr>
          <w:p>
            <w:r>
              <w:rPr>
                <w:sz w:val="20"/>
              </w:rPr>
              <w:t>Confirms policy/coverage, pulls vehicle value and claim history.</w:t>
            </w:r>
          </w:p>
        </w:tc>
      </w:tr>
      <w:tr>
        <w:tc>
          <w:tcPr>
            <w:tcW w:type="dxa" w:w="720"/>
          </w:tcPr>
          <w:p>
            <w:r>
              <w:rPr>
                <w:sz w:val="20"/>
              </w:rPr>
              <w:t>5</w:t>
            </w:r>
          </w:p>
        </w:tc>
        <w:tc>
          <w:tcPr>
            <w:tcW w:type="dxa" w:w="2304"/>
          </w:tcPr>
          <w:p>
            <w:r>
              <w:rPr>
                <w:sz w:val="20"/>
              </w:rPr>
              <w:t>Foundry IQ</w:t>
            </w:r>
          </w:p>
        </w:tc>
        <w:tc>
          <w:tcPr>
            <w:tcW w:type="dxa" w:w="7200"/>
          </w:tcPr>
          <w:p>
            <w:r>
              <w:rPr>
                <w:sz w:val="20"/>
              </w:rPr>
              <w:t>Handles general policy/rule interpretation and citations after Fabric has supplied any specific record context that is needed.</w:t>
            </w:r>
          </w:p>
        </w:tc>
      </w:tr>
      <w:tr>
        <w:tc>
          <w:tcPr>
            <w:tcW w:type="dxa" w:w="720"/>
          </w:tcPr>
          <w:p>
            <w:r>
              <w:rPr>
                <w:sz w:val="20"/>
              </w:rPr>
              <w:t>6</w:t>
            </w:r>
          </w:p>
        </w:tc>
        <w:tc>
          <w:tcPr>
            <w:tcW w:type="dxa" w:w="2304"/>
          </w:tcPr>
          <w:p>
            <w:r>
              <w:rPr>
                <w:sz w:val="20"/>
              </w:rPr>
              <w:t>Fabric IQ</w:t>
            </w:r>
          </w:p>
        </w:tc>
        <w:tc>
          <w:tcPr>
            <w:tcW w:type="dxa" w:w="7200"/>
          </w:tcPr>
          <w:p>
            <w:r>
              <w:rPr>
                <w:sz w:val="20"/>
              </w:rPr>
              <w:t>Runs fraud/subrogation signal check against the ontology graph.</w:t>
            </w:r>
          </w:p>
        </w:tc>
      </w:tr>
      <w:tr>
        <w:tc>
          <w:tcPr>
            <w:tcW w:type="dxa" w:w="720"/>
          </w:tcPr>
          <w:p>
            <w:r>
              <w:rPr>
                <w:sz w:val="20"/>
              </w:rPr>
              <w:t>7</w:t>
            </w:r>
          </w:p>
        </w:tc>
        <w:tc>
          <w:tcPr>
            <w:tcW w:type="dxa" w:w="2304"/>
          </w:tcPr>
          <w:p>
            <w:r>
              <w:rPr>
                <w:sz w:val="20"/>
              </w:rPr>
              <w:t>Copilot Studio Agent</w:t>
            </w:r>
          </w:p>
        </w:tc>
        <w:tc>
          <w:tcPr>
            <w:tcW w:type="dxa" w:w="7200"/>
          </w:tcPr>
          <w:p>
            <w:r>
              <w:rPr>
                <w:sz w:val="20"/>
              </w:rPr>
              <w:t>Synthesizes severity tier, reserve estimate, and flags.</w:t>
            </w:r>
          </w:p>
        </w:tc>
      </w:tr>
      <w:tr>
        <w:tc>
          <w:tcPr>
            <w:tcW w:type="dxa" w:w="720"/>
          </w:tcPr>
          <w:p>
            <w:r>
              <w:rPr>
                <w:sz w:val="20"/>
              </w:rPr>
              <w:t>8</w:t>
            </w:r>
          </w:p>
        </w:tc>
        <w:tc>
          <w:tcPr>
            <w:tcW w:type="dxa" w:w="2304"/>
          </w:tcPr>
          <w:p>
            <w:r>
              <w:rPr>
                <w:sz w:val="20"/>
              </w:rPr>
              <w:t>Work IQ</w:t>
            </w:r>
          </w:p>
        </w:tc>
        <w:tc>
          <w:tcPr>
            <w:tcW w:type="dxa" w:w="7200"/>
          </w:tcPr>
          <w:p>
            <w:r>
              <w:rPr>
                <w:sz w:val="20"/>
              </w:rPr>
              <w:t>Uses M365 Copilot Search and Outlook Mail MCP tools for Microsoft 365 search and mail follow-up steps; broader Graph context can still inform adjuster collaboration.</w:t>
            </w:r>
          </w:p>
        </w:tc>
      </w:tr>
      <w:tr>
        <w:tc>
          <w:tcPr>
            <w:tcW w:type="dxa" w:w="720"/>
          </w:tcPr>
          <w:p>
            <w:r>
              <w:rPr>
                <w:sz w:val="20"/>
              </w:rPr>
              <w:t>9</w:t>
            </w:r>
          </w:p>
        </w:tc>
        <w:tc>
          <w:tcPr>
            <w:tcW w:type="dxa" w:w="2304"/>
          </w:tcPr>
          <w:p>
            <w:r>
              <w:rPr>
                <w:sz w:val="20"/>
              </w:rPr>
              <w:t>Work IQ</w:t>
            </w:r>
          </w:p>
        </w:tc>
        <w:tc>
          <w:tcPr>
            <w:tcW w:type="dxa" w:w="7200"/>
          </w:tcPr>
          <w:p>
            <w:r>
              <w:rPr>
                <w:sz w:val="20"/>
              </w:rPr>
              <w:t>Supports follow-up communication tasks once triage is complete.</w:t>
            </w:r>
          </w:p>
        </w:tc>
      </w:tr>
      <w:tr>
        <w:tc>
          <w:tcPr>
            <w:tcW w:type="dxa" w:w="720"/>
          </w:tcPr>
          <w:p>
            <w:r>
              <w:rPr>
                <w:sz w:val="20"/>
              </w:rPr>
              <w:t>10</w:t>
            </w:r>
          </w:p>
        </w:tc>
        <w:tc>
          <w:tcPr>
            <w:tcW w:type="dxa" w:w="2304"/>
          </w:tcPr>
          <w:p>
            <w:r>
              <w:rPr>
                <w:sz w:val="20"/>
              </w:rPr>
              <w:t>Adjuster / Claims Supervisor</w:t>
            </w:r>
          </w:p>
        </w:tc>
        <w:tc>
          <w:tcPr>
            <w:tcW w:type="dxa" w:w="7200"/>
          </w:tcPr>
          <w:p>
            <w:r>
              <w:rPr>
                <w:sz w:val="20"/>
              </w:rPr>
              <w:t>Reviews and approves/overrides the recommendation in Teams or the claims system.</w:t>
            </w:r>
          </w:p>
        </w:tc>
      </w:tr>
      <w:tr>
        <w:tc>
          <w:tcPr>
            <w:tcW w:type="dxa" w:w="720"/>
          </w:tcPr>
          <w:p>
            <w:r>
              <w:rPr>
                <w:sz w:val="20"/>
              </w:rPr>
              <w:t>11</w:t>
            </w:r>
          </w:p>
        </w:tc>
        <w:tc>
          <w:tcPr>
            <w:tcW w:type="dxa" w:w="2304"/>
          </w:tcPr>
          <w:p>
            <w:r>
              <w:rPr>
                <w:sz w:val="20"/>
              </w:rPr>
              <w:t>Fabric IQ</w:t>
            </w:r>
          </w:p>
        </w:tc>
        <w:tc>
          <w:tcPr>
            <w:tcW w:type="dxa" w:w="7200"/>
          </w:tcPr>
          <w:p>
            <w:r>
              <w:rPr>
                <w:sz w:val="20"/>
              </w:rPr>
              <w:t>Final decision and evidence logged for audit and reporting dashboards.</w:t>
            </w:r>
          </w:p>
        </w:tc>
      </w:tr>
    </w:tbl>
    <w:p>
      <w:pPr>
        <w:pStyle w:val="Heading1"/>
      </w:pPr>
      <w:r>
        <w:t>10. Sample Data Requirements (Synthetic)</w:t>
      </w:r>
    </w:p>
    <w:p>
      <w:r>
        <w:t>As in the reference accelerator's datagen approach, synthetic data will be generated for: policyholders, policies (with varied coverage/state combinations), vehicles, historical claims (including a few intentionally flagged as fraud-pattern or subrogation-eligible for demo purposes), adjusters (with region/specialty/caseload variety), and repair shops. All data will be clearly marked synthetic and used for demonstration only.</w:t>
      </w:r>
    </w:p>
    <w:p>
      <w:pPr>
        <w:pStyle w:val="Heading1"/>
      </w:pPr>
      <w:r>
        <w:t>11. Success Metrics / KPIs</w:t>
      </w:r>
    </w:p>
    <w:p>
      <w:pPr>
        <w:pStyle w:val="ListBullet"/>
      </w:pPr>
      <w:r>
        <w:t>Median time from FNOL submission to adjuster assignment.</w:t>
      </w:r>
    </w:p>
    <w:p>
      <w:pPr>
        <w:pStyle w:val="ListBullet"/>
      </w:pPr>
      <w:r>
        <w:t>% of claims triaged with no human override needed (straight-through rate).</w:t>
      </w:r>
    </w:p>
    <w:p>
      <w:pPr>
        <w:pStyle w:val="ListBullet"/>
      </w:pPr>
      <w:r>
        <w:t>% reduction in claims requiring manual coverage lookup.</w:t>
      </w:r>
    </w:p>
    <w:p>
      <w:pPr>
        <w:pStyle w:val="ListBullet"/>
      </w:pPr>
      <w:r>
        <w:t>Fraud/subrogation flags surfaced at FNOL stage vs. later in the claim lifecycle.</w:t>
      </w:r>
    </w:p>
    <w:p>
      <w:pPr>
        <w:pStyle w:val="ListBullet"/>
      </w:pPr>
      <w:r>
        <w:t>Claimant acknowledgment SLA compliance rate (e.g., within state-mandated window).</w:t>
      </w:r>
    </w:p>
    <w:p>
      <w:pPr>
        <w:pStyle w:val="Heading1"/>
      </w:pPr>
      <w:r>
        <w:t>12. Security &amp; Responsible AI Considerations</w:t>
      </w:r>
    </w:p>
    <w:p>
      <w:pPr>
        <w:pStyle w:val="ListBullet"/>
      </w:pPr>
      <w:r>
        <w:t>Managed Identity for service-to-service auth; secrets in Azure Key Vault (no hardcoded credentials).</w:t>
      </w:r>
    </w:p>
    <w:p>
      <w:pPr>
        <w:pStyle w:val="ListBullet"/>
      </w:pPr>
      <w:r>
        <w:t>Role-based access: agent operates within the permissions of a service account scoped to claims data only, not broader tenant mailboxes.</w:t>
      </w:r>
    </w:p>
    <w:p>
      <w:pPr>
        <w:pStyle w:val="ListBullet"/>
      </w:pPr>
      <w:r>
        <w:t>Human-in-the-loop approval required for coverage/severity decisions above a defined risk threshold.</w:t>
      </w:r>
    </w:p>
    <w:p>
      <w:pPr>
        <w:pStyle w:val="ListBullet"/>
      </w:pPr>
      <w:r>
        <w:t>All Foundry-generated answers include citations back to source policy/regulatory documents.</w:t>
      </w:r>
    </w:p>
    <w:p>
      <w:pPr>
        <w:pStyle w:val="ListBullet"/>
      </w:pPr>
      <w:r>
        <w:t>Synthetic data only in this accelerator; production deployment requires a data protection/PII review before connecting real policyholder data.</w:t>
      </w:r>
    </w:p>
    <w:p>
      <w:pPr>
        <w:pStyle w:val="Heading1"/>
      </w:pPr>
      <w:r>
        <w:t>13. Next Steps</w:t>
      </w:r>
    </w:p>
    <w:p>
      <w:r>
        <w:t>This design is now validated end-to-end in Microsoft Teams for the Foundry IQ knowledge agent and Fabric IQ ontology data agent. The companion Prerequisites document captures the tenant setup, runtime fixes, and troubleshooting notes needed to keep that experience working and to demonstrate the wired Work IQ tools.</w:t>
      </w:r>
    </w:p>
    <w:p/>
    <w:p>
      <w:r>
        <w:rPr>
          <w:i/>
          <w:color w:val="808080"/>
          <w:sz w:val="18"/>
        </w:rPr>
        <w:t>Design pattern reference: github.com/microsoft/microsoft-iq-solution-accelerator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